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DC6753C" w:rsidR="007F1D3E" w:rsidRPr="00996E26" w:rsidRDefault="00E4224F">
      <w:pPr>
        <w:spacing w:line="276" w:lineRule="auto"/>
        <w:jc w:val="center"/>
        <w:rPr>
          <w:rFonts w:ascii="Times New Roman" w:eastAsia="標楷體" w:hAnsi="Times New Roman" w:cs="Times New Roman"/>
          <w:sz w:val="32"/>
          <w:szCs w:val="28"/>
        </w:rPr>
      </w:pPr>
      <w:r w:rsidRPr="00996E26">
        <w:rPr>
          <w:rFonts w:ascii="Times New Roman" w:eastAsia="標楷體" w:hAnsi="Times New Roman" w:cs="Times New Roman"/>
          <w:sz w:val="32"/>
          <w:szCs w:val="28"/>
        </w:rPr>
        <w:t>Guidelines</w:t>
      </w:r>
      <w:bookmarkStart w:id="0" w:name="_GoBack"/>
      <w:bookmarkEnd w:id="0"/>
      <w:r w:rsidRPr="00996E26">
        <w:rPr>
          <w:rFonts w:ascii="Times New Roman" w:eastAsia="標楷體" w:hAnsi="Times New Roman" w:cs="Times New Roman"/>
          <w:sz w:val="32"/>
          <w:szCs w:val="28"/>
        </w:rPr>
        <w:t xml:space="preserve"> for Operation of the Industrial Innovation and Transformation Fund of the National Development Fund, Executive Yuan</w:t>
      </w:r>
    </w:p>
    <w:p w14:paraId="00000002" w14:textId="77777777" w:rsidR="007F1D3E" w:rsidRPr="00BC44B9" w:rsidRDefault="007F1D3E">
      <w:pPr>
        <w:spacing w:line="276" w:lineRule="auto"/>
        <w:jc w:val="both"/>
        <w:rPr>
          <w:rFonts w:ascii="Times New Roman" w:eastAsia="標楷體" w:hAnsi="Times New Roman" w:cs="Times New Roman"/>
          <w:sz w:val="24"/>
          <w:szCs w:val="24"/>
        </w:rPr>
      </w:pPr>
    </w:p>
    <w:p w14:paraId="00000005" w14:textId="366D4029" w:rsidR="007F1D3E" w:rsidRPr="00BC44B9" w:rsidRDefault="001A2919">
      <w:pPr>
        <w:spacing w:line="276" w:lineRule="auto"/>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Adopted at the 51st </w:t>
      </w:r>
      <w:r w:rsidR="007F7B16">
        <w:rPr>
          <w:rFonts w:ascii="Times New Roman" w:eastAsia="標楷體" w:hAnsi="Times New Roman" w:cs="Times New Roman"/>
          <w:sz w:val="20"/>
          <w:szCs w:val="20"/>
        </w:rPr>
        <w:t>Management Committee</w:t>
      </w:r>
      <w:r w:rsidR="00E4224F" w:rsidRPr="00BC44B9">
        <w:rPr>
          <w:rFonts w:ascii="Times New Roman" w:eastAsia="標楷體" w:hAnsi="Times New Roman" w:cs="Times New Roman"/>
          <w:sz w:val="20"/>
          <w:szCs w:val="20"/>
        </w:rPr>
        <w:t xml:space="preserve"> on July 26, 2016 </w:t>
      </w:r>
    </w:p>
    <w:p w14:paraId="00000006" w14:textId="7EF47CF9" w:rsidR="007F1D3E" w:rsidRPr="00BC44B9" w:rsidRDefault="001A2919">
      <w:pPr>
        <w:spacing w:line="276" w:lineRule="auto"/>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Amended by the 69th </w:t>
      </w:r>
      <w:r w:rsidR="007F7B16">
        <w:rPr>
          <w:rFonts w:ascii="Times New Roman" w:eastAsia="標楷體" w:hAnsi="Times New Roman" w:cs="Times New Roman"/>
          <w:sz w:val="20"/>
          <w:szCs w:val="20"/>
        </w:rPr>
        <w:t>Management Committee</w:t>
      </w:r>
      <w:r w:rsidR="005717ED" w:rsidRPr="00BC44B9">
        <w:rPr>
          <w:rFonts w:ascii="Times New Roman" w:eastAsia="標楷體" w:hAnsi="Times New Roman" w:cs="Times New Roman"/>
          <w:sz w:val="20"/>
          <w:szCs w:val="20"/>
        </w:rPr>
        <w:t xml:space="preserve"> on</w:t>
      </w:r>
      <w:r w:rsidR="00E4224F" w:rsidRPr="00BC44B9">
        <w:rPr>
          <w:rFonts w:ascii="Times New Roman" w:eastAsia="標楷體" w:hAnsi="Times New Roman" w:cs="Times New Roman"/>
          <w:sz w:val="20"/>
          <w:szCs w:val="20"/>
        </w:rPr>
        <w:t xml:space="preserve"> September 27, 2018</w:t>
      </w:r>
    </w:p>
    <w:p w14:paraId="00000007" w14:textId="77777777" w:rsidR="007F1D3E" w:rsidRPr="00BC44B9" w:rsidRDefault="007F1D3E">
      <w:pPr>
        <w:spacing w:line="276" w:lineRule="auto"/>
        <w:jc w:val="both"/>
        <w:rPr>
          <w:rFonts w:ascii="Times New Roman" w:eastAsia="標楷體" w:hAnsi="Times New Roman" w:cs="Times New Roman"/>
          <w:sz w:val="24"/>
          <w:szCs w:val="24"/>
        </w:rPr>
      </w:pPr>
    </w:p>
    <w:p w14:paraId="3F5AFD49"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 Purpose</w:t>
      </w:r>
    </w:p>
    <w:p w14:paraId="0000000C" w14:textId="5D5DD73D"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The </w:t>
      </w:r>
      <w:r w:rsidR="001A2919" w:rsidRPr="00A46960">
        <w:rPr>
          <w:rFonts w:ascii="Times New Roman" w:eastAsia="標楷體" w:hAnsi="Times New Roman" w:cs="Times New Roman"/>
          <w:color w:val="000000"/>
          <w:sz w:val="24"/>
          <w:szCs w:val="24"/>
        </w:rPr>
        <w:t>Exec</w:t>
      </w:r>
      <w:r w:rsidR="001A2919" w:rsidRPr="009D018F">
        <w:rPr>
          <w:rFonts w:ascii="Times New Roman" w:eastAsia="標楷體" w:hAnsi="Times New Roman" w:cs="Times New Roman"/>
          <w:color w:val="000000"/>
          <w:sz w:val="24"/>
          <w:szCs w:val="24"/>
        </w:rPr>
        <w:t>utive Yuan National Development Fund</w:t>
      </w:r>
      <w:r w:rsidR="001A2919" w:rsidRPr="00BC44B9">
        <w:rPr>
          <w:rFonts w:ascii="Times New Roman" w:eastAsia="標楷體" w:hAnsi="Times New Roman" w:cs="Times New Roman"/>
          <w:sz w:val="24"/>
          <w:szCs w:val="24"/>
        </w:rPr>
        <w:t xml:space="preserve"> </w:t>
      </w:r>
      <w:r w:rsidRPr="00BC44B9">
        <w:rPr>
          <w:rFonts w:ascii="Times New Roman" w:eastAsia="標楷體" w:hAnsi="Times New Roman" w:cs="Times New Roman"/>
          <w:sz w:val="24"/>
          <w:szCs w:val="24"/>
        </w:rPr>
        <w:t xml:space="preserve"> (hereinafter referred as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has established the Industrial Innovation and Transformation Fund and formulated these Guidelines to assist existing domestic enterprises in innovation and transformation, promote the upgrading of domestic industry, and create jobs with the joint investment of private funds. </w:t>
      </w:r>
    </w:p>
    <w:p w14:paraId="0000000D" w14:textId="77777777" w:rsidR="007F1D3E" w:rsidRPr="00BC44B9" w:rsidRDefault="007F1D3E">
      <w:pPr>
        <w:spacing w:line="276" w:lineRule="auto"/>
        <w:jc w:val="both"/>
        <w:rPr>
          <w:rFonts w:ascii="Times New Roman" w:eastAsia="標楷體" w:hAnsi="Times New Roman" w:cs="Times New Roman"/>
          <w:sz w:val="24"/>
          <w:szCs w:val="24"/>
        </w:rPr>
      </w:pPr>
    </w:p>
    <w:p w14:paraId="61FF1EC5"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2. Allocated Amount</w:t>
      </w:r>
    </w:p>
    <w:p w14:paraId="00000012" w14:textId="0CB176CE"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These Guidelines allocate NT$100 billion, and will accept applications from the date when these Guidelines are implemented.</w:t>
      </w:r>
    </w:p>
    <w:p w14:paraId="00000013" w14:textId="77777777" w:rsidR="007F1D3E" w:rsidRPr="00BC44B9" w:rsidRDefault="007F1D3E">
      <w:pPr>
        <w:spacing w:line="276" w:lineRule="auto"/>
        <w:jc w:val="both"/>
        <w:rPr>
          <w:rFonts w:ascii="Times New Roman" w:eastAsia="標楷體" w:hAnsi="Times New Roman" w:cs="Times New Roman"/>
          <w:sz w:val="24"/>
          <w:szCs w:val="24"/>
        </w:rPr>
      </w:pPr>
    </w:p>
    <w:p w14:paraId="6C792BDB"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3. Investment Scope</w:t>
      </w:r>
    </w:p>
    <w:p w14:paraId="00000019" w14:textId="5570BF09"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and private investors jointly invest in the following matters to assist domestic </w:t>
      </w:r>
      <w:r w:rsidR="005717ED" w:rsidRPr="00BC44B9">
        <w:rPr>
          <w:rFonts w:ascii="Times New Roman" w:eastAsia="標楷體" w:hAnsi="Times New Roman" w:cs="Times New Roman"/>
          <w:sz w:val="24"/>
          <w:szCs w:val="24"/>
        </w:rPr>
        <w:t>enterprises in</w:t>
      </w:r>
      <w:r w:rsidRPr="00BC44B9">
        <w:rPr>
          <w:rFonts w:ascii="Times New Roman" w:eastAsia="標楷體" w:hAnsi="Times New Roman" w:cs="Times New Roman"/>
          <w:sz w:val="24"/>
          <w:szCs w:val="24"/>
        </w:rPr>
        <w:t xml:space="preserve"> achieving innovation and transformation:</w:t>
      </w:r>
    </w:p>
    <w:p w14:paraId="0000001E" w14:textId="5661F24E"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Merger plan. </w:t>
      </w:r>
    </w:p>
    <w:p w14:paraId="0000001F"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Acquisition plan. </w:t>
      </w:r>
    </w:p>
    <w:p w14:paraId="00000020"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(3) Division plan. </w:t>
      </w:r>
    </w:p>
    <w:p w14:paraId="00000021"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(4) Other investment plans that are conducive to the innovation and transformation of enterprises</w:t>
      </w:r>
    </w:p>
    <w:p w14:paraId="00000022" w14:textId="77777777" w:rsidR="007F1D3E" w:rsidRPr="00BC44B9" w:rsidRDefault="007F1D3E">
      <w:pPr>
        <w:spacing w:line="276" w:lineRule="auto"/>
        <w:jc w:val="both"/>
        <w:rPr>
          <w:rFonts w:ascii="Times New Roman" w:eastAsia="標楷體" w:hAnsi="Times New Roman" w:cs="Times New Roman"/>
          <w:sz w:val="24"/>
          <w:szCs w:val="24"/>
        </w:rPr>
      </w:pPr>
    </w:p>
    <w:p w14:paraId="4C1B4534"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4. Application Eligibility</w:t>
      </w:r>
    </w:p>
    <w:p w14:paraId="00000028" w14:textId="74EACE02" w:rsidR="007F1D3E" w:rsidRPr="00BC44B9" w:rsidRDefault="00E4224F" w:rsidP="009465A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Domestic enterprises requiring innovation and transformation </w:t>
      </w:r>
    </w:p>
    <w:p w14:paraId="00000029"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(2) Institutional or private investors assisting domestic enterprises in innovation and transformation</w:t>
      </w:r>
    </w:p>
    <w:p w14:paraId="0000002A" w14:textId="77777777" w:rsidR="007F1D3E" w:rsidRPr="00BC44B9" w:rsidRDefault="007F1D3E">
      <w:pPr>
        <w:spacing w:line="276" w:lineRule="auto"/>
        <w:jc w:val="both"/>
        <w:rPr>
          <w:rFonts w:ascii="Times New Roman" w:eastAsia="標楷體" w:hAnsi="Times New Roman" w:cs="Times New Roman"/>
          <w:sz w:val="24"/>
          <w:szCs w:val="24"/>
        </w:rPr>
      </w:pPr>
    </w:p>
    <w:p w14:paraId="41ECA88E"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 xml:space="preserve">5. Application Documents </w:t>
      </w:r>
    </w:p>
    <w:p w14:paraId="0000002F" w14:textId="4B035972"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color w:val="000000"/>
          <w:sz w:val="24"/>
          <w:szCs w:val="24"/>
        </w:rPr>
        <w:t>The applicant shall submit an application letter and</w:t>
      </w:r>
      <w:r w:rsidRPr="00BC44B9">
        <w:rPr>
          <w:rFonts w:ascii="Times New Roman" w:eastAsia="標楷體" w:hAnsi="Times New Roman" w:cs="Times New Roman"/>
          <w:sz w:val="24"/>
          <w:szCs w:val="24"/>
        </w:rPr>
        <w:t xml:space="preserve"> a business plan to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The business plan shall include information about the merger, acquisition, division or other investment plans that are conducive to the innovation and transformation of the enterprise, operation structure, investor exit mechanism, etc.</w:t>
      </w:r>
    </w:p>
    <w:p w14:paraId="00000030" w14:textId="77777777" w:rsidR="007F1D3E" w:rsidRPr="00BC44B9" w:rsidRDefault="007F1D3E">
      <w:pPr>
        <w:spacing w:line="276" w:lineRule="auto"/>
        <w:jc w:val="both"/>
        <w:rPr>
          <w:rFonts w:ascii="Times New Roman" w:eastAsia="標楷體" w:hAnsi="Times New Roman" w:cs="Times New Roman"/>
          <w:sz w:val="24"/>
          <w:szCs w:val="24"/>
        </w:rPr>
      </w:pPr>
    </w:p>
    <w:p w14:paraId="4BCB54A3" w14:textId="77777777"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6. Investment Target</w:t>
      </w:r>
    </w:p>
    <w:p w14:paraId="00000037" w14:textId="1714ACC4"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Domestic enterprises </w:t>
      </w:r>
      <w:r w:rsidR="005717ED" w:rsidRPr="00BC44B9">
        <w:rPr>
          <w:rFonts w:ascii="Times New Roman" w:eastAsia="標楷體" w:hAnsi="Times New Roman" w:cs="Times New Roman"/>
          <w:sz w:val="24"/>
          <w:szCs w:val="24"/>
        </w:rPr>
        <w:t>in need of</w:t>
      </w:r>
      <w:r w:rsidRPr="00BC44B9">
        <w:rPr>
          <w:rFonts w:ascii="Times New Roman" w:eastAsia="標楷體" w:hAnsi="Times New Roman" w:cs="Times New Roman"/>
          <w:sz w:val="24"/>
          <w:szCs w:val="24"/>
        </w:rPr>
        <w:t xml:space="preserve"> transformation</w:t>
      </w:r>
    </w:p>
    <w:p w14:paraId="00000038" w14:textId="61B48020"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Special Purpose Vehicles (SPVs) established by domestic enterprises in need of transformation </w:t>
      </w:r>
    </w:p>
    <w:p w14:paraId="00000039" w14:textId="1B29366B" w:rsidR="007F1D3E" w:rsidRPr="00BC44B9" w:rsidRDefault="004356BD" w:rsidP="009465AF">
      <w:pPr>
        <w:spacing w:line="276" w:lineRule="auto"/>
        <w:ind w:left="463" w:hangingChars="193" w:hanging="463"/>
        <w:jc w:val="both"/>
        <w:rPr>
          <w:rFonts w:ascii="Times New Roman" w:eastAsia="標楷體" w:hAnsi="Times New Roman" w:cs="Times New Roman"/>
          <w:sz w:val="24"/>
          <w:szCs w:val="24"/>
        </w:rPr>
      </w:pPr>
      <w:r>
        <w:rPr>
          <w:rFonts w:ascii="Times New Roman" w:eastAsia="標楷體" w:hAnsi="Times New Roman" w:cs="Times New Roman"/>
          <w:sz w:val="24"/>
          <w:szCs w:val="24"/>
        </w:rPr>
        <w:t>(3)</w:t>
      </w:r>
      <w:r w:rsidR="00E4224F" w:rsidRPr="00BC44B9">
        <w:rPr>
          <w:rFonts w:ascii="Times New Roman" w:eastAsia="標楷體" w:hAnsi="Times New Roman" w:cs="Times New Roman"/>
          <w:sz w:val="24"/>
          <w:szCs w:val="24"/>
        </w:rPr>
        <w:t>Special Purpose Vehicles (SPVs) established by private investment funds to assist in the transformation of domestic enterprises.</w:t>
      </w:r>
    </w:p>
    <w:p w14:paraId="0000003A" w14:textId="77777777" w:rsidR="007F1D3E" w:rsidRPr="00BC44B9" w:rsidRDefault="007F1D3E">
      <w:pPr>
        <w:spacing w:line="276" w:lineRule="auto"/>
        <w:jc w:val="both"/>
        <w:rPr>
          <w:rFonts w:ascii="Times New Roman" w:eastAsia="標楷體" w:hAnsi="Times New Roman" w:cs="Times New Roman"/>
          <w:sz w:val="24"/>
          <w:szCs w:val="24"/>
        </w:rPr>
      </w:pPr>
    </w:p>
    <w:p w14:paraId="0000003D" w14:textId="68D874E3" w:rsidR="007F1D3E" w:rsidRPr="00996E26" w:rsidRDefault="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7</w:t>
      </w:r>
      <w:r w:rsidR="00E4224F" w:rsidRPr="00996E26">
        <w:rPr>
          <w:rFonts w:ascii="Times New Roman" w:eastAsia="標楷體" w:hAnsi="Times New Roman" w:cs="Times New Roman"/>
          <w:b/>
          <w:sz w:val="24"/>
          <w:szCs w:val="24"/>
        </w:rPr>
        <w:t>. Investment Principles</w:t>
      </w:r>
    </w:p>
    <w:p w14:paraId="00000041" w14:textId="2DA36DD2"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not be the leading investor and the single highest cash contributor of the current offering. </w:t>
      </w:r>
    </w:p>
    <w:p w14:paraId="00000042" w14:textId="59475A87"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The amount of individual investment of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not exceed 20% of the paid in capital or </w:t>
      </w:r>
      <w:r w:rsidRPr="00BC44B9">
        <w:rPr>
          <w:rFonts w:ascii="Times New Roman" w:eastAsia="標楷體" w:hAnsi="Times New Roman" w:cs="Times New Roman"/>
          <w:sz w:val="24"/>
          <w:szCs w:val="24"/>
        </w:rPr>
        <w:lastRenderedPageBreak/>
        <w:t xml:space="preserve">the actual amount of capital raised by the invested enterprise. </w:t>
      </w:r>
    </w:p>
    <w:p w14:paraId="00000043" w14:textId="4DED0364"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(3) The aggregate investment amount of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in a single case or group shall not, in principle, exceed 10% of the amount set out in these Guidelines. The “group” shall be calculated in accordance with the identification of related parties and enterprises in the Company Act or relevant securities acts and regulations. </w:t>
      </w:r>
    </w:p>
    <w:p w14:paraId="00000044" w14:textId="77777777" w:rsidR="007F1D3E" w:rsidRPr="00BC44B9" w:rsidRDefault="007F1D3E">
      <w:pPr>
        <w:spacing w:line="276" w:lineRule="auto"/>
        <w:jc w:val="both"/>
        <w:rPr>
          <w:rFonts w:ascii="Times New Roman" w:eastAsia="標楷體" w:hAnsi="Times New Roman" w:cs="Times New Roman"/>
          <w:sz w:val="24"/>
          <w:szCs w:val="24"/>
        </w:rPr>
      </w:pPr>
    </w:p>
    <w:p w14:paraId="6DB792E8" w14:textId="368BCE69"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8. Investment Management Partners</w:t>
      </w:r>
    </w:p>
    <w:p w14:paraId="0000004C" w14:textId="1C4BFFAB"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If a private investor that co-invests with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is an investment fund, its consulting company or management team with the following conditions may be listed as an investment management partner of the </w:t>
      </w:r>
      <w:r w:rsidR="00E11468">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(hereinafter referred as the “investment partner”): </w:t>
      </w:r>
    </w:p>
    <w:p w14:paraId="0000004D" w14:textId="351F079D"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(1) The total size of the equity investment funds (enterprises) that have been managed amounted to NT$1.5 billion or US$50 million or more.</w:t>
      </w:r>
    </w:p>
    <w:p w14:paraId="0000004E" w14:textId="77777777"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There have been more than three cases of investment in business merger, acquisition, division or other innovation and transformation in the past three years. </w:t>
      </w:r>
    </w:p>
    <w:p w14:paraId="0000004F" w14:textId="7E835D37"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(3) Other requirements specified by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w:t>
      </w:r>
    </w:p>
    <w:p w14:paraId="00000050" w14:textId="77777777" w:rsidR="007F1D3E" w:rsidRPr="00BC44B9" w:rsidRDefault="007F1D3E">
      <w:pPr>
        <w:spacing w:line="276" w:lineRule="auto"/>
        <w:jc w:val="both"/>
        <w:rPr>
          <w:rFonts w:ascii="Times New Roman" w:eastAsia="標楷體" w:hAnsi="Times New Roman" w:cs="Times New Roman"/>
          <w:sz w:val="24"/>
          <w:szCs w:val="24"/>
        </w:rPr>
      </w:pPr>
    </w:p>
    <w:p w14:paraId="16038F0C" w14:textId="21937995"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9. Investment Assessment and Review</w:t>
      </w:r>
    </w:p>
    <w:p w14:paraId="00000055" w14:textId="27F9377B"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If an investment application is assessed to be in line with the policy direction of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it shall be submitted to the </w:t>
      </w:r>
      <w:r w:rsidR="003C4CDB">
        <w:rPr>
          <w:rFonts w:ascii="Times New Roman" w:eastAsia="標楷體" w:hAnsi="Times New Roman" w:cs="Times New Roman"/>
          <w:sz w:val="24"/>
          <w:szCs w:val="24"/>
        </w:rPr>
        <w:t xml:space="preserve">NDF </w:t>
      </w:r>
      <w:r w:rsidR="001A2919" w:rsidRPr="001A2919">
        <w:rPr>
          <w:rFonts w:ascii="Times New Roman" w:eastAsia="標楷體" w:hAnsi="Times New Roman" w:cs="Times New Roman" w:hint="eastAsia"/>
          <w:sz w:val="24"/>
          <w:szCs w:val="24"/>
        </w:rPr>
        <w:t>Investment Review Committee</w:t>
      </w:r>
      <w:r w:rsidR="004356BD">
        <w:rPr>
          <w:rFonts w:ascii="Times New Roman" w:eastAsia="標楷體" w:hAnsi="Times New Roman" w:cs="Times New Roman" w:hint="eastAsia"/>
          <w:sz w:val="24"/>
          <w:szCs w:val="24"/>
        </w:rPr>
        <w:t xml:space="preserve"> for consideratio</w:t>
      </w:r>
      <w:r w:rsidR="004356BD">
        <w:rPr>
          <w:rFonts w:ascii="Times New Roman" w:eastAsia="標楷體" w:hAnsi="Times New Roman" w:cs="Times New Roman"/>
          <w:sz w:val="24"/>
          <w:szCs w:val="24"/>
        </w:rPr>
        <w:t>n</w:t>
      </w:r>
      <w:r w:rsidRPr="00BC44B9">
        <w:rPr>
          <w:rFonts w:ascii="Times New Roman" w:eastAsia="標楷體" w:hAnsi="Times New Roman" w:cs="Times New Roman"/>
          <w:sz w:val="24"/>
          <w:szCs w:val="24"/>
        </w:rPr>
        <w:t xml:space="preserve">.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participate in the investment only after approval by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Management Committee. The relevant assessment and review procedures shall be conducted in accordance with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’s Investment Operation Specification and Guidelines for the Establishment of the Investment Review Committee.</w:t>
      </w:r>
    </w:p>
    <w:p w14:paraId="00000056" w14:textId="77777777" w:rsidR="007F1D3E" w:rsidRPr="00BC44B9" w:rsidRDefault="007F1D3E">
      <w:pPr>
        <w:spacing w:line="276" w:lineRule="auto"/>
        <w:jc w:val="both"/>
        <w:rPr>
          <w:rFonts w:ascii="Times New Roman" w:eastAsia="標楷體" w:hAnsi="Times New Roman" w:cs="Times New Roman"/>
          <w:sz w:val="24"/>
          <w:szCs w:val="24"/>
        </w:rPr>
      </w:pPr>
    </w:p>
    <w:p w14:paraId="0734E09F" w14:textId="1299F2B4" w:rsidR="009465AF" w:rsidRPr="00996E26" w:rsidRDefault="009465AF" w:rsidP="009465A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10. Entrusted Investment Evaluation</w:t>
      </w:r>
    </w:p>
    <w:p w14:paraId="0000005B" w14:textId="0C3BF612" w:rsidR="007F1D3E" w:rsidRPr="00BC44B9" w:rsidRDefault="00E4224F" w:rsidP="009465AF">
      <w:pPr>
        <w:spacing w:line="276" w:lineRule="auto"/>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entrust professional institutions with the following matters to evaluate the investment plan:</w:t>
      </w:r>
    </w:p>
    <w:p w14:paraId="0000006B" w14:textId="7130220D"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Financial and tax assessment </w:t>
      </w:r>
    </w:p>
    <w:p w14:paraId="0000006C" w14:textId="77777777" w:rsidR="007F1D3E" w:rsidRPr="00BC44B9" w:rsidRDefault="00E4224F">
      <w:pPr>
        <w:spacing w:line="276" w:lineRule="auto"/>
        <w:ind w:left="282" w:firstLine="1"/>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It shall at least include but not limited to the following: </w:t>
      </w:r>
    </w:p>
    <w:p w14:paraId="0000006D" w14:textId="27CCD698"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Quality of net assets </w:t>
      </w:r>
    </w:p>
    <w:p w14:paraId="0000006E" w14:textId="1D8F5C3F"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Capital expenditure </w:t>
      </w:r>
    </w:p>
    <w:p w14:paraId="0000006F" w14:textId="4FD1DCBC"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Contingent liabilities </w:t>
      </w:r>
    </w:p>
    <w:p w14:paraId="00000070" w14:textId="1502F8E7"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Related party transactions </w:t>
      </w:r>
    </w:p>
    <w:p w14:paraId="00000071" w14:textId="7D200D6E"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Earnings quality </w:t>
      </w:r>
    </w:p>
    <w:p w14:paraId="00000072" w14:textId="0281D03F"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Quality of financial information </w:t>
      </w:r>
    </w:p>
    <w:p w14:paraId="00000073" w14:textId="25EE6646" w:rsidR="007F1D3E" w:rsidRPr="00BC44B9" w:rsidRDefault="00E4224F" w:rsidP="009465AF">
      <w:pPr>
        <w:pStyle w:val="a5"/>
        <w:numPr>
          <w:ilvl w:val="0"/>
          <w:numId w:val="3"/>
        </w:numPr>
        <w:spacing w:line="276" w:lineRule="auto"/>
        <w:ind w:leftChars="0" w:left="567" w:hanging="284"/>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Tax risk assessment </w:t>
      </w:r>
    </w:p>
    <w:p w14:paraId="00000074"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 (2) Legal assessment </w:t>
      </w:r>
    </w:p>
    <w:p w14:paraId="00000075" w14:textId="77777777" w:rsidR="007F1D3E" w:rsidRPr="00BC44B9" w:rsidRDefault="00E4224F">
      <w:pPr>
        <w:spacing w:line="276" w:lineRule="auto"/>
        <w:ind w:firstLine="28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It shall at least include but not limited to the following: </w:t>
      </w:r>
    </w:p>
    <w:p w14:paraId="00000076" w14:textId="5FE622F4" w:rsidR="007F1D3E" w:rsidRPr="00BC44B9" w:rsidRDefault="00E4224F" w:rsidP="005166F9">
      <w:pPr>
        <w:pStyle w:val="a5"/>
        <w:numPr>
          <w:ilvl w:val="0"/>
          <w:numId w:val="4"/>
        </w:numPr>
        <w:spacing w:line="276" w:lineRule="auto"/>
        <w:ind w:leftChars="0" w:left="567" w:hanging="28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Major contracts </w:t>
      </w:r>
    </w:p>
    <w:p w14:paraId="00000077" w14:textId="531EF3D6" w:rsidR="007F1D3E" w:rsidRPr="00BC44B9" w:rsidRDefault="00E4224F" w:rsidP="005166F9">
      <w:pPr>
        <w:pStyle w:val="a5"/>
        <w:numPr>
          <w:ilvl w:val="0"/>
          <w:numId w:val="4"/>
        </w:numPr>
        <w:spacing w:line="276" w:lineRule="auto"/>
        <w:ind w:leftChars="0" w:left="567" w:hanging="28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Regulatory compliance and potential legal risks </w:t>
      </w:r>
    </w:p>
    <w:p w14:paraId="00000078" w14:textId="2FA4CEEE" w:rsidR="007F1D3E" w:rsidRPr="00BC44B9" w:rsidRDefault="00E4224F" w:rsidP="005166F9">
      <w:pPr>
        <w:pStyle w:val="a5"/>
        <w:numPr>
          <w:ilvl w:val="0"/>
          <w:numId w:val="4"/>
        </w:numPr>
        <w:spacing w:line="276" w:lineRule="auto"/>
        <w:ind w:leftChars="0" w:left="567" w:hanging="28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Matters related to employees’ rights and interests</w:t>
      </w:r>
    </w:p>
    <w:p w14:paraId="00000079" w14:textId="77777777"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 (3) Enterprise value evaluation</w:t>
      </w:r>
    </w:p>
    <w:p w14:paraId="0000007A" w14:textId="77777777" w:rsidR="007F1D3E" w:rsidRPr="00BC44B9" w:rsidRDefault="007F1D3E">
      <w:pPr>
        <w:spacing w:line="276" w:lineRule="auto"/>
        <w:jc w:val="both"/>
        <w:rPr>
          <w:rFonts w:ascii="Times New Roman" w:eastAsia="標楷體" w:hAnsi="Times New Roman" w:cs="Times New Roman"/>
          <w:sz w:val="24"/>
          <w:szCs w:val="24"/>
        </w:rPr>
      </w:pPr>
    </w:p>
    <w:p w14:paraId="32795762" w14:textId="134F8B00" w:rsidR="005166F9" w:rsidRPr="00996E26" w:rsidRDefault="005166F9" w:rsidP="005166F9">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lastRenderedPageBreak/>
        <w:t>11. Investment Management</w:t>
      </w:r>
    </w:p>
    <w:p w14:paraId="00000082" w14:textId="22FA1970" w:rsidR="007F1D3E" w:rsidRPr="00BC44B9" w:rsidRDefault="00E4224F" w:rsidP="005166F9">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entrust investment partners to carry out the investment management of the invested enterprise. </w:t>
      </w:r>
    </w:p>
    <w:p w14:paraId="00000083" w14:textId="188AB858"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If the invested enterprise is a stock limited company,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obtain the positions of directors or supervisors in accordance with the equity ratio. </w:t>
      </w:r>
    </w:p>
    <w:p w14:paraId="00000084" w14:textId="442D3CBD"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(3) The invested enterprise shall provide financial and operational information, and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shall visit the invested enterprise on the spot.</w:t>
      </w:r>
    </w:p>
    <w:p w14:paraId="00000085" w14:textId="460B5C92"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(4)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needs to disclose investment information in its annual accounts and annual reports.</w:t>
      </w:r>
    </w:p>
    <w:p w14:paraId="00000086" w14:textId="77777777" w:rsidR="007F1D3E" w:rsidRPr="00BC44B9" w:rsidRDefault="007F1D3E">
      <w:pPr>
        <w:spacing w:line="276" w:lineRule="auto"/>
        <w:jc w:val="both"/>
        <w:rPr>
          <w:rFonts w:ascii="Times New Roman" w:eastAsia="標楷體" w:hAnsi="Times New Roman" w:cs="Times New Roman"/>
          <w:sz w:val="24"/>
          <w:szCs w:val="24"/>
        </w:rPr>
      </w:pPr>
    </w:p>
    <w:p w14:paraId="76F73FE8" w14:textId="546D23BE" w:rsidR="005166F9" w:rsidRPr="00996E26" w:rsidRDefault="005166F9" w:rsidP="005166F9">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12. Exit and Incentive Mechanism</w:t>
      </w:r>
    </w:p>
    <w:p w14:paraId="0000008D" w14:textId="75BE20AF" w:rsidR="007F1D3E" w:rsidRPr="00BC44B9" w:rsidRDefault="00E4224F" w:rsidP="005166F9">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(1)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investment holding period shall be five years, while the exit mechanism shall be agreed with other investors or the invested enterprise at the time of investment. If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fails to exit within the agreed period, it shall be extended upon approval of the convener. </w:t>
      </w:r>
    </w:p>
    <w:p w14:paraId="0000008E" w14:textId="780A1898"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(2)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may exit through the public listing (OTC) of the invested enterprise’s shares, sell-back to private investors, other investors or business teams within the agreed period, or enterprise liquidation. </w:t>
      </w:r>
    </w:p>
    <w:p w14:paraId="0000008F" w14:textId="361C454D" w:rsidR="007F1D3E" w:rsidRPr="00BC44B9" w:rsidRDefault="00E4224F" w:rsidP="009465AF">
      <w:pPr>
        <w:spacing w:line="276" w:lineRule="auto"/>
        <w:ind w:left="463" w:hangingChars="193" w:hanging="463"/>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(3) In order to encourage investment partner to assist the invested enterprises,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and the investment partners may make an agreement that the investment partners have the priority to buy the shares that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holds or receive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's contribution to the invested enterprise at the price of a certain multiples of the cost of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during the period of investment and before the investment enterprise going public (or OTC).</w:t>
      </w:r>
    </w:p>
    <w:p w14:paraId="00000090" w14:textId="77777777" w:rsidR="007F1D3E" w:rsidRPr="00BC44B9" w:rsidRDefault="007F1D3E">
      <w:pPr>
        <w:spacing w:line="276" w:lineRule="auto"/>
        <w:jc w:val="both"/>
        <w:rPr>
          <w:rFonts w:ascii="Times New Roman" w:eastAsia="標楷體" w:hAnsi="Times New Roman" w:cs="Times New Roman"/>
          <w:sz w:val="24"/>
          <w:szCs w:val="24"/>
        </w:rPr>
      </w:pPr>
    </w:p>
    <w:p w14:paraId="00000093" w14:textId="77777777" w:rsidR="007F1D3E" w:rsidRPr="00996E26" w:rsidRDefault="00E4224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13. Confidentiality</w:t>
      </w:r>
    </w:p>
    <w:p w14:paraId="00000094" w14:textId="794B6914"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All institutions and personnel involved in the merger, acquisition, division or other investment projects that are conducive to the innovation and transformation of enterprises shall not disclose any information or information about the merger, acquisition, division or other investment plan that is conducive to the innovation and transformation of the enterprise before the information of the plan is made public, except as required by laws and regulations. If the investment application involves a listed (or OTC) company, it shall be handled in accordance with relevant laws and regulations.</w:t>
      </w:r>
    </w:p>
    <w:p w14:paraId="00000095" w14:textId="77777777" w:rsidR="007F1D3E" w:rsidRPr="00BC44B9" w:rsidRDefault="007F1D3E">
      <w:pPr>
        <w:spacing w:line="276" w:lineRule="auto"/>
        <w:jc w:val="both"/>
        <w:rPr>
          <w:rFonts w:ascii="Times New Roman" w:eastAsia="標楷體" w:hAnsi="Times New Roman" w:cs="Times New Roman"/>
          <w:sz w:val="24"/>
          <w:szCs w:val="24"/>
        </w:rPr>
      </w:pPr>
    </w:p>
    <w:p w14:paraId="00000098" w14:textId="77777777" w:rsidR="007F1D3E" w:rsidRPr="00996E26" w:rsidRDefault="00E4224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14. Others</w:t>
      </w:r>
    </w:p>
    <w:p w14:paraId="00000099" w14:textId="67C34265"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The matters not covered by these Guidelines shall be handled in accordance with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’s Investment Operation Specification and Guidelines for the Establishment of the Investment Review Committee.</w:t>
      </w:r>
    </w:p>
    <w:p w14:paraId="0000009A" w14:textId="77777777" w:rsidR="007F1D3E" w:rsidRPr="00BC44B9" w:rsidRDefault="007F1D3E">
      <w:pPr>
        <w:spacing w:line="276" w:lineRule="auto"/>
        <w:jc w:val="both"/>
        <w:rPr>
          <w:rFonts w:ascii="Times New Roman" w:eastAsia="標楷體" w:hAnsi="Times New Roman" w:cs="Times New Roman"/>
          <w:sz w:val="24"/>
          <w:szCs w:val="24"/>
        </w:rPr>
      </w:pPr>
    </w:p>
    <w:p w14:paraId="0000009D" w14:textId="77777777" w:rsidR="007F1D3E" w:rsidRPr="00996E26" w:rsidRDefault="00E4224F">
      <w:pPr>
        <w:spacing w:line="276" w:lineRule="auto"/>
        <w:jc w:val="both"/>
        <w:rPr>
          <w:rFonts w:ascii="Times New Roman" w:eastAsia="標楷體" w:hAnsi="Times New Roman" w:cs="Times New Roman"/>
          <w:b/>
          <w:sz w:val="24"/>
          <w:szCs w:val="24"/>
        </w:rPr>
      </w:pPr>
      <w:r w:rsidRPr="00996E26">
        <w:rPr>
          <w:rFonts w:ascii="Times New Roman" w:eastAsia="標楷體" w:hAnsi="Times New Roman" w:cs="Times New Roman"/>
          <w:b/>
          <w:sz w:val="24"/>
          <w:szCs w:val="24"/>
        </w:rPr>
        <w:t>15. Implementation and Amendment</w:t>
      </w:r>
    </w:p>
    <w:p w14:paraId="0000009E" w14:textId="7F3D11B4" w:rsidR="007F1D3E" w:rsidRPr="00BC44B9" w:rsidRDefault="00E4224F">
      <w:pPr>
        <w:spacing w:line="276" w:lineRule="auto"/>
        <w:jc w:val="both"/>
        <w:rPr>
          <w:rFonts w:ascii="Times New Roman" w:eastAsia="標楷體" w:hAnsi="Times New Roman" w:cs="Times New Roman"/>
          <w:sz w:val="24"/>
          <w:szCs w:val="24"/>
        </w:rPr>
      </w:pPr>
      <w:r w:rsidRPr="00BC44B9">
        <w:rPr>
          <w:rFonts w:ascii="Times New Roman" w:eastAsia="標楷體" w:hAnsi="Times New Roman" w:cs="Times New Roman"/>
          <w:sz w:val="24"/>
          <w:szCs w:val="24"/>
        </w:rPr>
        <w:t xml:space="preserve">These Guidelines shall be submitted to the </w:t>
      </w:r>
      <w:r w:rsidR="003C4CDB">
        <w:rPr>
          <w:rFonts w:ascii="Times New Roman" w:eastAsia="標楷體" w:hAnsi="Times New Roman" w:cs="Times New Roman"/>
          <w:sz w:val="24"/>
          <w:szCs w:val="24"/>
        </w:rPr>
        <w:t>NDF</w:t>
      </w:r>
      <w:r w:rsidRPr="00BC44B9">
        <w:rPr>
          <w:rFonts w:ascii="Times New Roman" w:eastAsia="標楷體" w:hAnsi="Times New Roman" w:cs="Times New Roman"/>
          <w:sz w:val="24"/>
          <w:szCs w:val="24"/>
        </w:rPr>
        <w:t xml:space="preserve"> Management Committee for approval before </w:t>
      </w:r>
      <w:r w:rsidR="005717ED" w:rsidRPr="00BC44B9">
        <w:rPr>
          <w:rFonts w:ascii="Times New Roman" w:eastAsia="標楷體" w:hAnsi="Times New Roman" w:cs="Times New Roman"/>
          <w:sz w:val="24"/>
          <w:szCs w:val="24"/>
        </w:rPr>
        <w:t xml:space="preserve">implementation. </w:t>
      </w:r>
      <w:r w:rsidRPr="00BC44B9">
        <w:rPr>
          <w:rFonts w:ascii="Times New Roman" w:eastAsia="標楷體" w:hAnsi="Times New Roman" w:cs="Times New Roman"/>
          <w:sz w:val="24"/>
          <w:szCs w:val="24"/>
        </w:rPr>
        <w:t>The same applies to amendment.</w:t>
      </w:r>
    </w:p>
    <w:sectPr w:rsidR="007F1D3E" w:rsidRPr="00BC44B9">
      <w:headerReference w:type="default" r:id="rId7"/>
      <w:footerReference w:type="default" r:id="rId8"/>
      <w:pgSz w:w="11910" w:h="16840"/>
      <w:pgMar w:top="1420" w:right="960" w:bottom="1080" w:left="1300" w:header="0" w:footer="9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4177" w14:textId="77777777" w:rsidR="001D7A79" w:rsidRDefault="001D7A79">
      <w:pPr>
        <w:rPr>
          <w:rFonts w:hint="eastAsia"/>
        </w:rPr>
      </w:pPr>
      <w:r>
        <w:separator/>
      </w:r>
    </w:p>
  </w:endnote>
  <w:endnote w:type="continuationSeparator" w:id="0">
    <w:p w14:paraId="171883C3" w14:textId="77777777" w:rsidR="001D7A79" w:rsidRDefault="001D7A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PMingLiu">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0" w14:textId="77777777" w:rsidR="007F1D3E" w:rsidRDefault="007F1D3E">
    <w:pPr>
      <w:pBdr>
        <w:top w:val="nil"/>
        <w:left w:val="nil"/>
        <w:bottom w:val="nil"/>
        <w:right w:val="nil"/>
        <w:between w:val="nil"/>
      </w:pBdr>
      <w:spacing w:line="14" w:lineRule="auto"/>
      <w:rPr>
        <w:rFonts w:hint="eastAsi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9B3D" w14:textId="77777777" w:rsidR="001D7A79" w:rsidRDefault="001D7A79">
      <w:pPr>
        <w:rPr>
          <w:rFonts w:hint="eastAsia"/>
        </w:rPr>
      </w:pPr>
      <w:r>
        <w:separator/>
      </w:r>
    </w:p>
  </w:footnote>
  <w:footnote w:type="continuationSeparator" w:id="0">
    <w:p w14:paraId="0ABEC792" w14:textId="77777777" w:rsidR="001D7A79" w:rsidRDefault="001D7A7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F" w14:textId="77777777" w:rsidR="007F1D3E" w:rsidRDefault="007F1D3E">
    <w:pPr>
      <w:pBdr>
        <w:top w:val="nil"/>
        <w:left w:val="nil"/>
        <w:bottom w:val="nil"/>
        <w:right w:val="nil"/>
        <w:between w:val="nil"/>
      </w:pBdr>
      <w:tabs>
        <w:tab w:val="center" w:pos="4680"/>
        <w:tab w:val="right" w:pos="9360"/>
      </w:tabs>
      <w:rPr>
        <w:rFonts w:hint="eastAs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664"/>
    <w:multiLevelType w:val="hybridMultilevel"/>
    <w:tmpl w:val="67B03980"/>
    <w:lvl w:ilvl="0" w:tplc="DF88120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75D2F53"/>
    <w:multiLevelType w:val="hybridMultilevel"/>
    <w:tmpl w:val="74D20F92"/>
    <w:lvl w:ilvl="0" w:tplc="94A4EAA8">
      <w:start w:val="1"/>
      <w:numFmt w:val="bullet"/>
      <w:lvlText w:val="．"/>
      <w:lvlJc w:val="left"/>
      <w:pPr>
        <w:ind w:left="763" w:hanging="480"/>
      </w:pPr>
      <w:rPr>
        <w:rFonts w:ascii="微軟正黑體" w:eastAsia="微軟正黑體" w:hAnsi="微軟正黑體"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 w15:restartNumberingAfterBreak="0">
    <w:nsid w:val="5E966B4E"/>
    <w:multiLevelType w:val="hybridMultilevel"/>
    <w:tmpl w:val="D48CA78C"/>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 w15:restartNumberingAfterBreak="0">
    <w:nsid w:val="687770DC"/>
    <w:multiLevelType w:val="hybridMultilevel"/>
    <w:tmpl w:val="F62EE3F8"/>
    <w:lvl w:ilvl="0" w:tplc="94A4EAA8">
      <w:start w:val="1"/>
      <w:numFmt w:val="bullet"/>
      <w:lvlText w:val="．"/>
      <w:lvlJc w:val="left"/>
      <w:pPr>
        <w:ind w:left="763" w:hanging="480"/>
      </w:pPr>
      <w:rPr>
        <w:rFonts w:ascii="微軟正黑體" w:eastAsia="微軟正黑體" w:hAnsi="微軟正黑體"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 w15:restartNumberingAfterBreak="0">
    <w:nsid w:val="7850634D"/>
    <w:multiLevelType w:val="hybridMultilevel"/>
    <w:tmpl w:val="972AA374"/>
    <w:lvl w:ilvl="0" w:tplc="4C6E96B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3E"/>
    <w:rsid w:val="001A2919"/>
    <w:rsid w:val="001D7A79"/>
    <w:rsid w:val="002F0D46"/>
    <w:rsid w:val="003C4CDB"/>
    <w:rsid w:val="004356BD"/>
    <w:rsid w:val="005166F9"/>
    <w:rsid w:val="005717ED"/>
    <w:rsid w:val="007F1D3E"/>
    <w:rsid w:val="007F7B16"/>
    <w:rsid w:val="008C4DA8"/>
    <w:rsid w:val="009465AF"/>
    <w:rsid w:val="00996E26"/>
    <w:rsid w:val="00B049BB"/>
    <w:rsid w:val="00BC44B9"/>
    <w:rsid w:val="00CA6847"/>
    <w:rsid w:val="00E11468"/>
    <w:rsid w:val="00E4224F"/>
    <w:rsid w:val="00E9205D"/>
    <w:rsid w:val="00F60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5C0EC-F8F5-47E7-BBA4-0A1A0319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MingLiu" w:eastAsiaTheme="minorEastAsia" w:hAnsi="PMingLiu" w:cs="PMingLiu"/>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191"/>
      <w:ind w:left="260"/>
      <w:outlineLvl w:val="0"/>
    </w:pPr>
    <w:rPr>
      <w:rFonts w:ascii="微軟正黑體" w:eastAsia="微軟正黑體" w:hAnsi="微軟正黑體" w:cs="微軟正黑體"/>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465AF"/>
    <w:pPr>
      <w:ind w:leftChars="200" w:left="480"/>
    </w:pPr>
  </w:style>
  <w:style w:type="paragraph" w:styleId="a6">
    <w:name w:val="header"/>
    <w:basedOn w:val="a"/>
    <w:link w:val="a7"/>
    <w:uiPriority w:val="99"/>
    <w:unhideWhenUsed/>
    <w:rsid w:val="001A2919"/>
    <w:pPr>
      <w:tabs>
        <w:tab w:val="center" w:pos="4153"/>
        <w:tab w:val="right" w:pos="8306"/>
      </w:tabs>
      <w:snapToGrid w:val="0"/>
    </w:pPr>
    <w:rPr>
      <w:sz w:val="20"/>
      <w:szCs w:val="20"/>
    </w:rPr>
  </w:style>
  <w:style w:type="character" w:customStyle="1" w:styleId="a7">
    <w:name w:val="頁首 字元"/>
    <w:basedOn w:val="a0"/>
    <w:link w:val="a6"/>
    <w:uiPriority w:val="99"/>
    <w:rsid w:val="001A2919"/>
    <w:rPr>
      <w:sz w:val="20"/>
      <w:szCs w:val="20"/>
    </w:rPr>
  </w:style>
  <w:style w:type="paragraph" w:styleId="a8">
    <w:name w:val="footer"/>
    <w:basedOn w:val="a"/>
    <w:link w:val="a9"/>
    <w:uiPriority w:val="99"/>
    <w:unhideWhenUsed/>
    <w:rsid w:val="001A2919"/>
    <w:pPr>
      <w:tabs>
        <w:tab w:val="center" w:pos="4153"/>
        <w:tab w:val="right" w:pos="8306"/>
      </w:tabs>
      <w:snapToGrid w:val="0"/>
    </w:pPr>
    <w:rPr>
      <w:sz w:val="20"/>
      <w:szCs w:val="20"/>
    </w:rPr>
  </w:style>
  <w:style w:type="character" w:customStyle="1" w:styleId="a9">
    <w:name w:val="頁尾 字元"/>
    <w:basedOn w:val="a0"/>
    <w:link w:val="a8"/>
    <w:uiPriority w:val="99"/>
    <w:rsid w:val="001A29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 詹凱宇 Jhan,Kai-Yu</cp:lastModifiedBy>
  <cp:revision>10</cp:revision>
  <dcterms:created xsi:type="dcterms:W3CDTF">2020-01-16T00:11:00Z</dcterms:created>
  <dcterms:modified xsi:type="dcterms:W3CDTF">2020-03-05T07:10:00Z</dcterms:modified>
</cp:coreProperties>
</file>