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8CDA9" w14:textId="77777777" w:rsidR="00482687" w:rsidRPr="00B31AB2" w:rsidRDefault="00482687" w:rsidP="00482687">
      <w:pPr>
        <w:rPr>
          <w:rFonts w:ascii="Times New Roman" w:eastAsia="新細明體" w:hAnsi="Times New Roman" w:cs="Times New Roman"/>
          <w:b/>
          <w:sz w:val="32"/>
          <w:szCs w:val="32"/>
        </w:rPr>
      </w:pPr>
      <w:r w:rsidRPr="00B31AB2">
        <w:rPr>
          <w:rFonts w:ascii="Times New Roman" w:hAnsi="Times New Roman" w:cs="Times New Roman"/>
          <w:noProof/>
          <w:sz w:val="32"/>
        </w:rPr>
        <w:drawing>
          <wp:inline distT="0" distB="0" distL="0" distR="0" wp14:anchorId="2E9D6E87" wp14:editId="68A5FDFE">
            <wp:extent cx="1132609" cy="226097"/>
            <wp:effectExtent l="0" t="0" r="0" b="254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國發會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3977" cy="268291"/>
                    </a:xfrm>
                    <a:prstGeom prst="rect">
                      <a:avLst/>
                    </a:prstGeom>
                  </pic:spPr>
                </pic:pic>
              </a:graphicData>
            </a:graphic>
          </wp:inline>
        </w:drawing>
      </w:r>
    </w:p>
    <w:p w14:paraId="00868D44" w14:textId="563CFBF6" w:rsidR="00482687" w:rsidRPr="00B31AB2" w:rsidRDefault="00482687" w:rsidP="00482687">
      <w:pPr>
        <w:spacing w:line="520" w:lineRule="exact"/>
        <w:ind w:leftChars="100" w:left="240"/>
        <w:jc w:val="center"/>
        <w:rPr>
          <w:rFonts w:ascii="Times New Roman" w:eastAsia="新細明體" w:hAnsi="Times New Roman" w:cs="Times New Roman"/>
          <w:color w:val="000000" w:themeColor="text1"/>
          <w:sz w:val="32"/>
          <w:szCs w:val="32"/>
        </w:rPr>
      </w:pPr>
      <w:r w:rsidRPr="00B31AB2">
        <w:rPr>
          <w:rFonts w:ascii="Times New Roman" w:hAnsi="Times New Roman" w:cs="Times New Roman"/>
          <w:b/>
          <w:color w:val="000000" w:themeColor="text1"/>
          <w:sz w:val="32"/>
        </w:rPr>
        <w:t>National Development Council Press Release</w:t>
      </w:r>
    </w:p>
    <w:p w14:paraId="36AD8987" w14:textId="4D344139" w:rsidR="001E0CD3" w:rsidRPr="00B31AB2" w:rsidRDefault="007A0457" w:rsidP="002D31CF">
      <w:pPr>
        <w:spacing w:beforeLines="50" w:before="180" w:afterLines="50" w:after="180" w:line="480" w:lineRule="exact"/>
        <w:jc w:val="center"/>
        <w:rPr>
          <w:rFonts w:ascii="Times New Roman" w:eastAsia="新細明體" w:hAnsi="Times New Roman" w:cs="Times New Roman"/>
          <w:b/>
          <w:bCs/>
          <w:color w:val="000000" w:themeColor="text1"/>
          <w:kern w:val="0"/>
          <w:sz w:val="36"/>
          <w:szCs w:val="36"/>
        </w:rPr>
      </w:pPr>
      <w:r w:rsidRPr="00B31AB2">
        <w:rPr>
          <w:rFonts w:ascii="Times New Roman" w:hAnsi="Times New Roman" w:cs="Times New Roman"/>
          <w:b/>
          <w:color w:val="000000" w:themeColor="text1"/>
          <w:sz w:val="36"/>
        </w:rPr>
        <w:t xml:space="preserve">The “12 Key </w:t>
      </w:r>
      <w:proofErr w:type="gramStart"/>
      <w:r w:rsidRPr="00B31AB2">
        <w:rPr>
          <w:rFonts w:ascii="Times New Roman" w:hAnsi="Times New Roman" w:cs="Times New Roman"/>
          <w:b/>
          <w:color w:val="000000" w:themeColor="text1"/>
          <w:sz w:val="36"/>
        </w:rPr>
        <w:t xml:space="preserve">Strategies </w:t>
      </w:r>
      <w:r w:rsidR="009B1BCE" w:rsidRPr="00B31AB2">
        <w:rPr>
          <w:rFonts w:ascii="Times New Roman" w:hAnsi="Times New Roman" w:cs="Times New Roman"/>
          <w:b/>
          <w:color w:val="000000" w:themeColor="text1"/>
          <w:sz w:val="36"/>
        </w:rPr>
        <w:t>”</w:t>
      </w:r>
      <w:r w:rsidRPr="00B31AB2">
        <w:rPr>
          <w:rFonts w:ascii="Times New Roman" w:hAnsi="Times New Roman" w:cs="Times New Roman"/>
          <w:b/>
          <w:color w:val="000000" w:themeColor="text1"/>
          <w:sz w:val="36"/>
        </w:rPr>
        <w:t>Action</w:t>
      </w:r>
      <w:proofErr w:type="gramEnd"/>
      <w:r w:rsidRPr="00B31AB2">
        <w:rPr>
          <w:rFonts w:ascii="Times New Roman" w:hAnsi="Times New Roman" w:cs="Times New Roman"/>
          <w:b/>
          <w:color w:val="000000" w:themeColor="text1"/>
          <w:sz w:val="36"/>
        </w:rPr>
        <w:t xml:space="preserve"> Plan is Announced to Fully Promote </w:t>
      </w:r>
      <w:r w:rsidR="009B1BCE" w:rsidRPr="00B31AB2">
        <w:rPr>
          <w:rFonts w:ascii="Times New Roman" w:hAnsi="Times New Roman" w:cs="Times New Roman"/>
          <w:b/>
          <w:color w:val="000000" w:themeColor="text1"/>
          <w:sz w:val="36"/>
        </w:rPr>
        <w:t xml:space="preserve">2050 </w:t>
      </w:r>
      <w:r w:rsidRPr="00B31AB2">
        <w:rPr>
          <w:rFonts w:ascii="Times New Roman" w:hAnsi="Times New Roman" w:cs="Times New Roman"/>
          <w:b/>
          <w:color w:val="000000" w:themeColor="text1"/>
          <w:sz w:val="36"/>
        </w:rPr>
        <w:t>Net</w:t>
      </w:r>
      <w:r w:rsidR="009B1BCE" w:rsidRPr="00B31AB2">
        <w:rPr>
          <w:rFonts w:ascii="Times New Roman" w:hAnsi="Times New Roman" w:cs="Times New Roman"/>
          <w:b/>
          <w:color w:val="000000" w:themeColor="text1"/>
          <w:sz w:val="36"/>
        </w:rPr>
        <w:t>-</w:t>
      </w:r>
      <w:r w:rsidRPr="00B31AB2">
        <w:rPr>
          <w:rFonts w:ascii="Times New Roman" w:hAnsi="Times New Roman" w:cs="Times New Roman"/>
          <w:b/>
          <w:color w:val="000000" w:themeColor="text1"/>
          <w:sz w:val="36"/>
        </w:rPr>
        <w:t xml:space="preserve">Zero </w:t>
      </w:r>
      <w:r w:rsidR="000445FB" w:rsidRPr="00B31AB2">
        <w:rPr>
          <w:rFonts w:ascii="Times New Roman" w:hAnsi="Times New Roman" w:cs="Times New Roman"/>
          <w:b/>
          <w:color w:val="000000" w:themeColor="text1"/>
          <w:sz w:val="36"/>
        </w:rPr>
        <w:t>Transition</w:t>
      </w:r>
      <w:r w:rsidRPr="00B31AB2">
        <w:rPr>
          <w:rFonts w:ascii="Times New Roman" w:hAnsi="Times New Roman" w:cs="Times New Roman"/>
          <w:b/>
          <w:color w:val="000000" w:themeColor="text1"/>
          <w:sz w:val="36"/>
        </w:rPr>
        <w:t xml:space="preserve"> </w:t>
      </w:r>
      <w:r w:rsidR="009B1BCE" w:rsidRPr="00B31AB2">
        <w:rPr>
          <w:rFonts w:ascii="Times New Roman" w:hAnsi="Times New Roman" w:cs="Times New Roman"/>
          <w:b/>
          <w:color w:val="000000" w:themeColor="text1"/>
          <w:sz w:val="36"/>
        </w:rPr>
        <w:t>Goal</w:t>
      </w:r>
      <w:r w:rsidRPr="00B31AB2">
        <w:rPr>
          <w:rFonts w:ascii="Times New Roman" w:hAnsi="Times New Roman" w:cs="Times New Roman"/>
          <w:b/>
          <w:color w:val="000000" w:themeColor="text1"/>
          <w:sz w:val="36"/>
        </w:rPr>
        <w:t>s</w:t>
      </w:r>
    </w:p>
    <w:p w14:paraId="6FF0757D" w14:textId="28EDCF62" w:rsidR="00482687" w:rsidRPr="00B31AB2" w:rsidRDefault="00482687" w:rsidP="00482687">
      <w:pPr>
        <w:spacing w:line="480" w:lineRule="exact"/>
        <w:ind w:right="84"/>
        <w:rPr>
          <w:rFonts w:ascii="Times New Roman" w:eastAsia="新細明體" w:hAnsi="Times New Roman" w:cs="Times New Roman"/>
          <w:bCs/>
          <w:color w:val="000000" w:themeColor="text1"/>
          <w:kern w:val="0"/>
          <w:sz w:val="28"/>
          <w:szCs w:val="28"/>
        </w:rPr>
      </w:pPr>
      <w:r w:rsidRPr="00B31AB2">
        <w:rPr>
          <w:rFonts w:ascii="Times New Roman" w:hAnsi="Times New Roman" w:cs="Times New Roman"/>
          <w:color w:val="000000" w:themeColor="text1"/>
          <w:sz w:val="28"/>
        </w:rPr>
        <w:t>Announced Date: December 28, 2022</w:t>
      </w:r>
    </w:p>
    <w:p w14:paraId="76D82E13" w14:textId="447181D2" w:rsidR="00482687" w:rsidRPr="00B31AB2" w:rsidRDefault="00482687" w:rsidP="00482687">
      <w:pPr>
        <w:spacing w:line="480" w:lineRule="exact"/>
        <w:ind w:right="84"/>
        <w:rPr>
          <w:rFonts w:ascii="Times New Roman" w:eastAsia="新細明體" w:hAnsi="Times New Roman" w:cs="Times New Roman"/>
          <w:bCs/>
          <w:color w:val="000000" w:themeColor="text1"/>
          <w:kern w:val="0"/>
          <w:sz w:val="28"/>
          <w:szCs w:val="28"/>
        </w:rPr>
      </w:pPr>
      <w:r w:rsidRPr="00B31AB2">
        <w:rPr>
          <w:rFonts w:ascii="Times New Roman" w:hAnsi="Times New Roman" w:cs="Times New Roman"/>
          <w:color w:val="000000" w:themeColor="text1"/>
          <w:sz w:val="28"/>
        </w:rPr>
        <w:t>Issuing Unit: Economic Development Division</w:t>
      </w:r>
    </w:p>
    <w:p w14:paraId="3DF5C9DE" w14:textId="0D7489D8" w:rsidR="00BA013B" w:rsidRPr="00B31AB2" w:rsidRDefault="00DE3EEA" w:rsidP="002D31CF">
      <w:pPr>
        <w:pStyle w:val="k02"/>
        <w:tabs>
          <w:tab w:val="left" w:pos="680"/>
          <w:tab w:val="left" w:pos="1302"/>
        </w:tabs>
        <w:spacing w:beforeLines="50" w:before="180" w:afterLines="50" w:after="180" w:line="540" w:lineRule="exact"/>
        <w:ind w:firstLineChars="200" w:firstLine="640"/>
        <w:rPr>
          <w:rFonts w:eastAsia="新細明體"/>
          <w:color w:val="000000" w:themeColor="text1"/>
          <w:sz w:val="32"/>
          <w:szCs w:val="32"/>
        </w:rPr>
      </w:pPr>
      <w:r w:rsidRPr="00B31AB2">
        <w:rPr>
          <w:color w:val="000000" w:themeColor="text1"/>
          <w:sz w:val="32"/>
        </w:rPr>
        <w:t>Kung Ming-</w:t>
      </w:r>
      <w:proofErr w:type="spellStart"/>
      <w:r w:rsidRPr="00B31AB2">
        <w:rPr>
          <w:color w:val="000000" w:themeColor="text1"/>
          <w:sz w:val="32"/>
        </w:rPr>
        <w:t>hsin</w:t>
      </w:r>
      <w:proofErr w:type="spellEnd"/>
      <w:r w:rsidRPr="00B31AB2">
        <w:rPr>
          <w:color w:val="000000" w:themeColor="text1"/>
          <w:sz w:val="32"/>
        </w:rPr>
        <w:t xml:space="preserve">, </w:t>
      </w:r>
      <w:r w:rsidR="000445FB" w:rsidRPr="00B31AB2">
        <w:rPr>
          <w:color w:val="000000" w:themeColor="text1"/>
          <w:sz w:val="32"/>
        </w:rPr>
        <w:t>Minister</w:t>
      </w:r>
      <w:r w:rsidRPr="00B31AB2">
        <w:rPr>
          <w:color w:val="000000" w:themeColor="text1"/>
          <w:sz w:val="32"/>
        </w:rPr>
        <w:t xml:space="preserve"> of the National Development Council, together with the Environmental Protection Administration of the Executive Yuan, Ministry of Economic Affairs, Ministry of Transportation and Communications, Financial Supervisory Commission, Ministry of Labor, Ministry of the Interior, National Science </w:t>
      </w:r>
      <w:r w:rsidR="000445FB" w:rsidRPr="00B31AB2">
        <w:rPr>
          <w:color w:val="000000" w:themeColor="text1"/>
          <w:sz w:val="32"/>
        </w:rPr>
        <w:t xml:space="preserve">and Technology </w:t>
      </w:r>
      <w:r w:rsidRPr="00B31AB2">
        <w:rPr>
          <w:color w:val="000000" w:themeColor="text1"/>
          <w:sz w:val="32"/>
        </w:rPr>
        <w:t>Council, and Council of Agriculture, attended the “Milestones and Key Strategies of Net</w:t>
      </w:r>
      <w:r w:rsidR="000445FB" w:rsidRPr="00B31AB2">
        <w:rPr>
          <w:color w:val="000000" w:themeColor="text1"/>
          <w:sz w:val="32"/>
        </w:rPr>
        <w:t>-</w:t>
      </w:r>
      <w:r w:rsidRPr="00B31AB2">
        <w:rPr>
          <w:color w:val="000000" w:themeColor="text1"/>
          <w:sz w:val="32"/>
        </w:rPr>
        <w:t xml:space="preserve">Zero </w:t>
      </w:r>
      <w:r w:rsidR="000445FB" w:rsidRPr="00B31AB2">
        <w:rPr>
          <w:color w:val="000000" w:themeColor="text1"/>
          <w:sz w:val="32"/>
        </w:rPr>
        <w:t>Transition</w:t>
      </w:r>
      <w:r w:rsidRPr="00B31AB2">
        <w:rPr>
          <w:color w:val="000000" w:themeColor="text1"/>
          <w:sz w:val="32"/>
        </w:rPr>
        <w:t xml:space="preserve">s” press conference today (28th). The 2030 milestones of Taiwan’s net zero </w:t>
      </w:r>
      <w:r w:rsidR="000445FB" w:rsidRPr="00B31AB2">
        <w:rPr>
          <w:color w:val="000000" w:themeColor="text1"/>
          <w:sz w:val="32"/>
        </w:rPr>
        <w:t>transition</w:t>
      </w:r>
      <w:r w:rsidRPr="00B31AB2">
        <w:rPr>
          <w:color w:val="000000" w:themeColor="text1"/>
          <w:sz w:val="32"/>
        </w:rPr>
        <w:t xml:space="preserve">s were officially announced and the specific actions and measures for the 12 key strategies were explained. </w:t>
      </w:r>
      <w:r w:rsidR="000445FB" w:rsidRPr="00B31AB2">
        <w:rPr>
          <w:color w:val="000000" w:themeColor="text1"/>
          <w:sz w:val="32"/>
        </w:rPr>
        <w:t>Minister</w:t>
      </w:r>
      <w:r w:rsidRPr="00B31AB2">
        <w:rPr>
          <w:color w:val="000000" w:themeColor="text1"/>
          <w:sz w:val="32"/>
        </w:rPr>
        <w:t xml:space="preserve"> Kung stated that the mid</w:t>
      </w:r>
      <w:r w:rsidR="000445FB" w:rsidRPr="00B31AB2">
        <w:rPr>
          <w:color w:val="000000" w:themeColor="text1"/>
          <w:sz w:val="32"/>
        </w:rPr>
        <w:t>-</w:t>
      </w:r>
      <w:r w:rsidRPr="00B31AB2">
        <w:rPr>
          <w:color w:val="000000" w:themeColor="text1"/>
          <w:sz w:val="32"/>
        </w:rPr>
        <w:t>to</w:t>
      </w:r>
      <w:r w:rsidR="000445FB" w:rsidRPr="00B31AB2">
        <w:rPr>
          <w:color w:val="000000" w:themeColor="text1"/>
          <w:sz w:val="32"/>
        </w:rPr>
        <w:t>-</w:t>
      </w:r>
      <w:r w:rsidRPr="00B31AB2">
        <w:rPr>
          <w:color w:val="000000" w:themeColor="text1"/>
          <w:sz w:val="32"/>
        </w:rPr>
        <w:t>long-term projects submitted by the central</w:t>
      </w:r>
      <w:r w:rsidR="000445FB" w:rsidRPr="00B31AB2">
        <w:rPr>
          <w:color w:val="000000" w:themeColor="text1"/>
          <w:sz w:val="32"/>
        </w:rPr>
        <w:t xml:space="preserve"> </w:t>
      </w:r>
      <w:proofErr w:type="spellStart"/>
      <w:r w:rsidR="000445FB" w:rsidRPr="00B31AB2">
        <w:rPr>
          <w:color w:val="000000" w:themeColor="text1"/>
          <w:sz w:val="32"/>
        </w:rPr>
        <w:t>govenment</w:t>
      </w:r>
      <w:proofErr w:type="spellEnd"/>
      <w:r w:rsidRPr="00B31AB2">
        <w:rPr>
          <w:color w:val="000000" w:themeColor="text1"/>
          <w:sz w:val="32"/>
        </w:rPr>
        <w:t xml:space="preserve"> agencies in the future should include net-zero and sustainable </w:t>
      </w:r>
      <w:r w:rsidR="000445FB" w:rsidRPr="00B31AB2">
        <w:rPr>
          <w:color w:val="000000" w:themeColor="text1"/>
          <w:sz w:val="32"/>
        </w:rPr>
        <w:t>consideration</w:t>
      </w:r>
      <w:r w:rsidRPr="00B31AB2">
        <w:rPr>
          <w:color w:val="000000" w:themeColor="text1"/>
          <w:sz w:val="32"/>
        </w:rPr>
        <w:t xml:space="preserve"> and plans. In addition, he announced new plans to help small and medium enterprises implement net-zero </w:t>
      </w:r>
      <w:r w:rsidR="000445FB" w:rsidRPr="00B31AB2">
        <w:rPr>
          <w:color w:val="000000" w:themeColor="text1"/>
          <w:sz w:val="32"/>
        </w:rPr>
        <w:t>transition</w:t>
      </w:r>
      <w:r w:rsidRPr="00B31AB2">
        <w:rPr>
          <w:color w:val="000000" w:themeColor="text1"/>
          <w:sz w:val="32"/>
        </w:rPr>
        <w:t xml:space="preserve">s. He emphasized that the 2050 </w:t>
      </w:r>
      <w:r w:rsidR="000445FB" w:rsidRPr="00B31AB2">
        <w:rPr>
          <w:color w:val="000000" w:themeColor="text1"/>
          <w:sz w:val="32"/>
        </w:rPr>
        <w:t>Net-Zero Emission P</w:t>
      </w:r>
      <w:r w:rsidRPr="00B31AB2">
        <w:rPr>
          <w:color w:val="000000" w:themeColor="text1"/>
          <w:sz w:val="32"/>
        </w:rPr>
        <w:t>lan is Taiwan’s longest inter-ministerial national development plan. Communication with different sectors will continue to seek better practices and actions.</w:t>
      </w:r>
    </w:p>
    <w:p w14:paraId="5E6F9B91" w14:textId="293D1CD4" w:rsidR="00F9242B" w:rsidRPr="00B31AB2" w:rsidRDefault="00BA013B" w:rsidP="002D31CF">
      <w:pPr>
        <w:pStyle w:val="k02"/>
        <w:tabs>
          <w:tab w:val="left" w:pos="680"/>
          <w:tab w:val="left" w:pos="1302"/>
        </w:tabs>
        <w:spacing w:beforeLines="50" w:before="180" w:afterLines="50" w:after="180" w:line="540" w:lineRule="exact"/>
        <w:ind w:firstLineChars="200" w:firstLine="640"/>
        <w:rPr>
          <w:rFonts w:eastAsia="新細明體"/>
          <w:color w:val="000000" w:themeColor="text1"/>
          <w:sz w:val="32"/>
          <w:szCs w:val="32"/>
        </w:rPr>
      </w:pPr>
      <w:r w:rsidRPr="00B31AB2">
        <w:rPr>
          <w:color w:val="000000" w:themeColor="text1"/>
          <w:sz w:val="32"/>
        </w:rPr>
        <w:lastRenderedPageBreak/>
        <w:t xml:space="preserve">Since the president announced the </w:t>
      </w:r>
      <w:r w:rsidR="000445FB" w:rsidRPr="00B31AB2">
        <w:rPr>
          <w:color w:val="000000" w:themeColor="text1"/>
          <w:sz w:val="32"/>
        </w:rPr>
        <w:t xml:space="preserve">2050 Net-Zero </w:t>
      </w:r>
      <w:proofErr w:type="spellStart"/>
      <w:r w:rsidR="000445FB" w:rsidRPr="00B31AB2">
        <w:rPr>
          <w:color w:val="000000" w:themeColor="text1"/>
          <w:sz w:val="32"/>
        </w:rPr>
        <w:t>Transion</w:t>
      </w:r>
      <w:proofErr w:type="spellEnd"/>
      <w:r w:rsidR="000445FB" w:rsidRPr="00B31AB2">
        <w:rPr>
          <w:color w:val="000000" w:themeColor="text1"/>
          <w:sz w:val="32"/>
        </w:rPr>
        <w:t xml:space="preserve"> </w:t>
      </w:r>
      <w:r w:rsidRPr="00B31AB2">
        <w:rPr>
          <w:color w:val="000000" w:themeColor="text1"/>
          <w:sz w:val="32"/>
        </w:rPr>
        <w:t xml:space="preserve">goal on Earth Day 2021, the government </w:t>
      </w:r>
      <w:r w:rsidR="000445FB" w:rsidRPr="00B31AB2">
        <w:rPr>
          <w:color w:val="000000" w:themeColor="text1"/>
          <w:sz w:val="32"/>
        </w:rPr>
        <w:t xml:space="preserve">has </w:t>
      </w:r>
      <w:r w:rsidRPr="00B31AB2">
        <w:rPr>
          <w:color w:val="000000" w:themeColor="text1"/>
          <w:sz w:val="32"/>
        </w:rPr>
        <w:t>continued to implement policy planning and announced the “</w:t>
      </w:r>
      <w:r w:rsidR="000445FB" w:rsidRPr="00B31AB2">
        <w:rPr>
          <w:color w:val="000000" w:themeColor="text1"/>
          <w:sz w:val="32"/>
        </w:rPr>
        <w:t>Taiwan’s Pathway to Net-Zero Emissions in 2050</w:t>
      </w:r>
      <w:r w:rsidRPr="00B31AB2">
        <w:rPr>
          <w:color w:val="000000" w:themeColor="text1"/>
          <w:sz w:val="32"/>
        </w:rPr>
        <w:t xml:space="preserve">” at the end of March this year. The four </w:t>
      </w:r>
      <w:r w:rsidR="000445FB" w:rsidRPr="00B31AB2">
        <w:rPr>
          <w:color w:val="000000" w:themeColor="text1"/>
          <w:sz w:val="32"/>
        </w:rPr>
        <w:t>transition</w:t>
      </w:r>
      <w:r w:rsidRPr="00B31AB2">
        <w:rPr>
          <w:color w:val="000000" w:themeColor="text1"/>
          <w:sz w:val="32"/>
        </w:rPr>
        <w:t xml:space="preserve"> strategies of “</w:t>
      </w:r>
      <w:r w:rsidR="000445FB" w:rsidRPr="00B31AB2">
        <w:rPr>
          <w:color w:val="000000" w:themeColor="text1"/>
          <w:sz w:val="32"/>
        </w:rPr>
        <w:t>E</w:t>
      </w:r>
      <w:r w:rsidRPr="00B31AB2">
        <w:rPr>
          <w:color w:val="000000" w:themeColor="text1"/>
          <w:sz w:val="32"/>
        </w:rPr>
        <w:t xml:space="preserve">nergy </w:t>
      </w:r>
      <w:r w:rsidR="000445FB" w:rsidRPr="00B31AB2">
        <w:rPr>
          <w:color w:val="000000" w:themeColor="text1"/>
          <w:sz w:val="32"/>
        </w:rPr>
        <w:t>Transition</w:t>
      </w:r>
      <w:r w:rsidRPr="00B31AB2">
        <w:rPr>
          <w:color w:val="000000" w:themeColor="text1"/>
          <w:sz w:val="32"/>
        </w:rPr>
        <w:t>s”, “</w:t>
      </w:r>
      <w:r w:rsidR="000445FB" w:rsidRPr="00B31AB2">
        <w:rPr>
          <w:color w:val="000000" w:themeColor="text1"/>
          <w:sz w:val="32"/>
        </w:rPr>
        <w:t>I</w:t>
      </w:r>
      <w:r w:rsidRPr="00B31AB2">
        <w:rPr>
          <w:color w:val="000000" w:themeColor="text1"/>
          <w:sz w:val="32"/>
        </w:rPr>
        <w:t>ndustr</w:t>
      </w:r>
      <w:r w:rsidR="000445FB" w:rsidRPr="00B31AB2">
        <w:rPr>
          <w:color w:val="000000" w:themeColor="text1"/>
          <w:sz w:val="32"/>
        </w:rPr>
        <w:t>ial</w:t>
      </w:r>
      <w:r w:rsidRPr="00B31AB2">
        <w:rPr>
          <w:color w:val="000000" w:themeColor="text1"/>
          <w:sz w:val="32"/>
        </w:rPr>
        <w:t xml:space="preserve"> </w:t>
      </w:r>
      <w:r w:rsidR="000445FB" w:rsidRPr="00B31AB2">
        <w:rPr>
          <w:color w:val="000000" w:themeColor="text1"/>
          <w:sz w:val="32"/>
        </w:rPr>
        <w:t>Transition</w:t>
      </w:r>
      <w:r w:rsidRPr="00B31AB2">
        <w:rPr>
          <w:color w:val="000000" w:themeColor="text1"/>
          <w:sz w:val="32"/>
        </w:rPr>
        <w:t>s”, “</w:t>
      </w:r>
      <w:r w:rsidR="000445FB" w:rsidRPr="00B31AB2">
        <w:rPr>
          <w:color w:val="000000" w:themeColor="text1"/>
          <w:sz w:val="32"/>
        </w:rPr>
        <w:t>L</w:t>
      </w:r>
      <w:r w:rsidRPr="00B31AB2">
        <w:rPr>
          <w:color w:val="000000" w:themeColor="text1"/>
          <w:sz w:val="32"/>
        </w:rPr>
        <w:t>ife</w:t>
      </w:r>
      <w:r w:rsidR="000445FB" w:rsidRPr="00B31AB2">
        <w:rPr>
          <w:color w:val="000000" w:themeColor="text1"/>
          <w:sz w:val="32"/>
        </w:rPr>
        <w:t>style</w:t>
      </w:r>
      <w:r w:rsidRPr="00B31AB2">
        <w:rPr>
          <w:color w:val="000000" w:themeColor="text1"/>
          <w:sz w:val="32"/>
        </w:rPr>
        <w:t xml:space="preserve"> </w:t>
      </w:r>
      <w:r w:rsidR="000445FB" w:rsidRPr="00B31AB2">
        <w:rPr>
          <w:color w:val="000000" w:themeColor="text1"/>
          <w:sz w:val="32"/>
        </w:rPr>
        <w:t>Transition</w:t>
      </w:r>
      <w:r w:rsidRPr="00B31AB2">
        <w:rPr>
          <w:color w:val="000000" w:themeColor="text1"/>
          <w:sz w:val="32"/>
        </w:rPr>
        <w:t>s”, and “</w:t>
      </w:r>
      <w:r w:rsidR="000445FB" w:rsidRPr="00B31AB2">
        <w:rPr>
          <w:color w:val="000000" w:themeColor="text1"/>
          <w:sz w:val="32"/>
        </w:rPr>
        <w:t>S</w:t>
      </w:r>
      <w:r w:rsidRPr="00B31AB2">
        <w:rPr>
          <w:color w:val="000000" w:themeColor="text1"/>
          <w:sz w:val="32"/>
        </w:rPr>
        <w:t xml:space="preserve">ocial </w:t>
      </w:r>
      <w:r w:rsidR="000445FB" w:rsidRPr="00B31AB2">
        <w:rPr>
          <w:color w:val="000000" w:themeColor="text1"/>
          <w:sz w:val="32"/>
        </w:rPr>
        <w:t>Transition</w:t>
      </w:r>
      <w:r w:rsidRPr="00B31AB2">
        <w:rPr>
          <w:color w:val="000000" w:themeColor="text1"/>
          <w:sz w:val="32"/>
        </w:rPr>
        <w:t>s” a</w:t>
      </w:r>
      <w:r w:rsidR="000445FB" w:rsidRPr="00B31AB2">
        <w:rPr>
          <w:color w:val="000000" w:themeColor="text1"/>
          <w:sz w:val="32"/>
        </w:rPr>
        <w:t>s well as</w:t>
      </w:r>
      <w:r w:rsidRPr="00B31AB2">
        <w:rPr>
          <w:color w:val="000000" w:themeColor="text1"/>
          <w:sz w:val="32"/>
        </w:rPr>
        <w:t xml:space="preserve"> two governance foundations of “</w:t>
      </w:r>
      <w:r w:rsidR="000445FB" w:rsidRPr="00B31AB2">
        <w:rPr>
          <w:color w:val="000000" w:themeColor="text1"/>
          <w:sz w:val="32"/>
        </w:rPr>
        <w:t>T</w:t>
      </w:r>
      <w:r w:rsidRPr="00B31AB2">
        <w:rPr>
          <w:color w:val="000000" w:themeColor="text1"/>
          <w:sz w:val="32"/>
        </w:rPr>
        <w:t>echnology R&amp;D” and “</w:t>
      </w:r>
      <w:r w:rsidR="000445FB" w:rsidRPr="00B31AB2">
        <w:rPr>
          <w:color w:val="000000" w:themeColor="text1"/>
          <w:sz w:val="32"/>
        </w:rPr>
        <w:t>C</w:t>
      </w:r>
      <w:r w:rsidRPr="00B31AB2">
        <w:rPr>
          <w:color w:val="000000" w:themeColor="text1"/>
          <w:sz w:val="32"/>
        </w:rPr>
        <w:t xml:space="preserve">limate </w:t>
      </w:r>
      <w:r w:rsidR="000445FB" w:rsidRPr="00B31AB2">
        <w:rPr>
          <w:color w:val="000000" w:themeColor="text1"/>
          <w:sz w:val="32"/>
        </w:rPr>
        <w:t>L</w:t>
      </w:r>
      <w:r w:rsidRPr="00B31AB2">
        <w:rPr>
          <w:color w:val="000000" w:themeColor="text1"/>
          <w:sz w:val="32"/>
        </w:rPr>
        <w:t>egislation” were defined to implement Taiwan's net</w:t>
      </w:r>
      <w:r w:rsidR="00CF1519" w:rsidRPr="00B31AB2">
        <w:rPr>
          <w:color w:val="000000" w:themeColor="text1"/>
          <w:sz w:val="32"/>
        </w:rPr>
        <w:t>-</w:t>
      </w:r>
      <w:r w:rsidRPr="00B31AB2">
        <w:rPr>
          <w:color w:val="000000" w:themeColor="text1"/>
          <w:sz w:val="32"/>
        </w:rPr>
        <w:t xml:space="preserve">zero </w:t>
      </w:r>
      <w:r w:rsidR="000445FB" w:rsidRPr="00B31AB2">
        <w:rPr>
          <w:color w:val="000000" w:themeColor="text1"/>
          <w:sz w:val="32"/>
        </w:rPr>
        <w:t>transition</w:t>
      </w:r>
      <w:r w:rsidRPr="00B31AB2">
        <w:rPr>
          <w:color w:val="000000" w:themeColor="text1"/>
          <w:sz w:val="32"/>
        </w:rPr>
        <w:t xml:space="preserve">s. According to the direction of the net-zero </w:t>
      </w:r>
      <w:r w:rsidR="00CF1519" w:rsidRPr="00B31AB2">
        <w:rPr>
          <w:color w:val="000000" w:themeColor="text1"/>
          <w:sz w:val="32"/>
        </w:rPr>
        <w:t>P</w:t>
      </w:r>
      <w:r w:rsidRPr="00B31AB2">
        <w:rPr>
          <w:color w:val="000000" w:themeColor="text1"/>
          <w:sz w:val="32"/>
        </w:rPr>
        <w:t xml:space="preserve">athway, </w:t>
      </w:r>
      <w:r w:rsidR="00CF1519" w:rsidRPr="00B31AB2">
        <w:rPr>
          <w:color w:val="000000" w:themeColor="text1"/>
          <w:sz w:val="32"/>
        </w:rPr>
        <w:t>Taiwan government</w:t>
      </w:r>
      <w:r w:rsidRPr="00B31AB2">
        <w:rPr>
          <w:color w:val="000000" w:themeColor="text1"/>
          <w:sz w:val="32"/>
        </w:rPr>
        <w:t xml:space="preserve"> completed the “12 </w:t>
      </w:r>
      <w:r w:rsidR="00CF1519" w:rsidRPr="00B31AB2">
        <w:rPr>
          <w:color w:val="000000" w:themeColor="text1"/>
          <w:sz w:val="32"/>
        </w:rPr>
        <w:t>K</w:t>
      </w:r>
      <w:r w:rsidRPr="00B31AB2">
        <w:rPr>
          <w:color w:val="000000" w:themeColor="text1"/>
          <w:sz w:val="32"/>
        </w:rPr>
        <w:t xml:space="preserve">ey </w:t>
      </w:r>
      <w:r w:rsidR="00CF1519" w:rsidRPr="00B31AB2">
        <w:rPr>
          <w:color w:val="000000" w:themeColor="text1"/>
          <w:sz w:val="32"/>
        </w:rPr>
        <w:t>S</w:t>
      </w:r>
      <w:r w:rsidRPr="00B31AB2">
        <w:rPr>
          <w:color w:val="000000" w:themeColor="text1"/>
          <w:sz w:val="32"/>
        </w:rPr>
        <w:t>trategies” action plan through months of cooperation and over 50 social meetings and seminars for opinion exchanges</w:t>
      </w:r>
      <w:r w:rsidR="00CF1519" w:rsidRPr="00B31AB2">
        <w:rPr>
          <w:color w:val="000000" w:themeColor="text1"/>
          <w:sz w:val="32"/>
        </w:rPr>
        <w:t>, so as to implement various transitions through practical actions. Besides, Taiwan government</w:t>
      </w:r>
      <w:r w:rsidRPr="00B31AB2">
        <w:rPr>
          <w:color w:val="000000" w:themeColor="text1"/>
          <w:sz w:val="32"/>
        </w:rPr>
        <w:t xml:space="preserve"> simultaneously reviewed the Nationally Determined Contribution (NDC) to</w:t>
      </w:r>
      <w:r w:rsidR="00F53F44" w:rsidRPr="00B31AB2">
        <w:rPr>
          <w:rFonts w:hint="eastAsia"/>
          <w:color w:val="000000" w:themeColor="text1"/>
          <w:sz w:val="32"/>
        </w:rPr>
        <w:t xml:space="preserve"> implement various transitions through </w:t>
      </w:r>
      <w:r w:rsidR="00F53F44" w:rsidRPr="00B31AB2">
        <w:rPr>
          <w:color w:val="000000" w:themeColor="text1"/>
          <w:sz w:val="32"/>
        </w:rPr>
        <w:t>practica</w:t>
      </w:r>
      <w:r w:rsidR="00F53F44" w:rsidRPr="00B31AB2">
        <w:rPr>
          <w:rFonts w:hint="eastAsia"/>
          <w:color w:val="000000" w:themeColor="text1"/>
          <w:sz w:val="32"/>
        </w:rPr>
        <w:t>l actions</w:t>
      </w:r>
      <w:r w:rsidRPr="00B31AB2">
        <w:rPr>
          <w:color w:val="000000" w:themeColor="text1"/>
          <w:sz w:val="32"/>
        </w:rPr>
        <w:t>.</w:t>
      </w:r>
    </w:p>
    <w:p w14:paraId="4DD9FA28" w14:textId="7D58686B" w:rsidR="008F723B" w:rsidRPr="00B31AB2" w:rsidRDefault="00F9242B" w:rsidP="00793FC6">
      <w:pPr>
        <w:pStyle w:val="k02"/>
        <w:tabs>
          <w:tab w:val="left" w:pos="680"/>
          <w:tab w:val="left" w:pos="1302"/>
        </w:tabs>
        <w:spacing w:beforeLines="50" w:before="180" w:afterLines="50" w:after="180" w:line="540" w:lineRule="exact"/>
        <w:ind w:firstLineChars="200" w:firstLine="640"/>
        <w:rPr>
          <w:rFonts w:eastAsia="新細明體"/>
          <w:color w:val="000000" w:themeColor="text1"/>
          <w:sz w:val="32"/>
          <w:szCs w:val="32"/>
        </w:rPr>
      </w:pPr>
      <w:r w:rsidRPr="00B31AB2">
        <w:rPr>
          <w:color w:val="000000" w:themeColor="text1"/>
          <w:sz w:val="32"/>
        </w:rPr>
        <w:t xml:space="preserve">Regarding the planning of the national long-term </w:t>
      </w:r>
      <w:r w:rsidR="00345F7A" w:rsidRPr="00B31AB2">
        <w:rPr>
          <w:color w:val="000000" w:themeColor="text1"/>
          <w:sz w:val="32"/>
        </w:rPr>
        <w:t xml:space="preserve">carbon </w:t>
      </w:r>
      <w:r w:rsidRPr="00B31AB2">
        <w:rPr>
          <w:color w:val="000000" w:themeColor="text1"/>
          <w:sz w:val="32"/>
        </w:rPr>
        <w:t xml:space="preserve">reduction pathway, in response to the 2021 COP26 Glasgow Climate </w:t>
      </w:r>
      <w:r w:rsidR="00345F7A" w:rsidRPr="00B31AB2">
        <w:rPr>
          <w:color w:val="000000" w:themeColor="text1"/>
          <w:sz w:val="32"/>
        </w:rPr>
        <w:t>Pac</w:t>
      </w:r>
      <w:r w:rsidRPr="00B31AB2">
        <w:rPr>
          <w:color w:val="000000" w:themeColor="text1"/>
          <w:sz w:val="32"/>
        </w:rPr>
        <w:t xml:space="preserve">t and the 2022 COP27 Sharm </w:t>
      </w:r>
      <w:r w:rsidR="00345F7A" w:rsidRPr="00B31AB2">
        <w:rPr>
          <w:color w:val="000000" w:themeColor="text1"/>
          <w:sz w:val="32"/>
        </w:rPr>
        <w:t>e</w:t>
      </w:r>
      <w:r w:rsidRPr="00B31AB2">
        <w:rPr>
          <w:color w:val="000000" w:themeColor="text1"/>
          <w:sz w:val="32"/>
        </w:rPr>
        <w:t>l</w:t>
      </w:r>
      <w:r w:rsidR="00345F7A" w:rsidRPr="00B31AB2">
        <w:rPr>
          <w:color w:val="000000" w:themeColor="text1"/>
          <w:sz w:val="32"/>
        </w:rPr>
        <w:t>-S</w:t>
      </w:r>
      <w:r w:rsidRPr="00B31AB2">
        <w:rPr>
          <w:color w:val="000000" w:themeColor="text1"/>
          <w:sz w:val="32"/>
        </w:rPr>
        <w:t>heik</w:t>
      </w:r>
      <w:r w:rsidR="00345F7A" w:rsidRPr="00B31AB2">
        <w:rPr>
          <w:color w:val="000000" w:themeColor="text1"/>
          <w:sz w:val="32"/>
        </w:rPr>
        <w:t>h</w:t>
      </w:r>
      <w:r w:rsidRPr="00B31AB2">
        <w:rPr>
          <w:color w:val="000000" w:themeColor="text1"/>
          <w:sz w:val="32"/>
        </w:rPr>
        <w:t xml:space="preserve"> Implementation Plan urging countries to strengthen reduction goals, Taiwan plans to increase the 2030 carbon reduction goal of 20% compared to the base period of 2005 to 24%±1%. Furthermore, to accelerate its carbon reduction rate, Taiwan will increase the capacity of renewable energy devices through investments by the “12 </w:t>
      </w:r>
      <w:r w:rsidR="00345F7A" w:rsidRPr="00B31AB2">
        <w:rPr>
          <w:color w:val="000000" w:themeColor="text1"/>
          <w:sz w:val="32"/>
        </w:rPr>
        <w:t>K</w:t>
      </w:r>
      <w:r w:rsidRPr="00B31AB2">
        <w:rPr>
          <w:color w:val="000000" w:themeColor="text1"/>
          <w:sz w:val="32"/>
        </w:rPr>
        <w:t xml:space="preserve">ey </w:t>
      </w:r>
      <w:r w:rsidR="00345F7A" w:rsidRPr="00B31AB2">
        <w:rPr>
          <w:color w:val="000000" w:themeColor="text1"/>
          <w:sz w:val="32"/>
        </w:rPr>
        <w:t>S</w:t>
      </w:r>
      <w:r w:rsidRPr="00B31AB2">
        <w:rPr>
          <w:color w:val="000000" w:themeColor="text1"/>
          <w:sz w:val="32"/>
        </w:rPr>
        <w:t xml:space="preserve">trategies”. Together with the </w:t>
      </w:r>
      <w:r w:rsidRPr="00B31AB2">
        <w:rPr>
          <w:color w:val="000000" w:themeColor="text1"/>
          <w:sz w:val="32"/>
        </w:rPr>
        <w:lastRenderedPageBreak/>
        <w:t>construction of electrical systems and energy storage equipment, the use of renewable energies</w:t>
      </w:r>
      <w:r w:rsidR="0085548F" w:rsidRPr="00B31AB2">
        <w:rPr>
          <w:rFonts w:hint="eastAsia"/>
          <w:color w:val="000000" w:themeColor="text1"/>
          <w:sz w:val="32"/>
        </w:rPr>
        <w:t xml:space="preserve"> will be hopefully expanded</w:t>
      </w:r>
      <w:r w:rsidRPr="00B31AB2">
        <w:rPr>
          <w:color w:val="000000" w:themeColor="text1"/>
          <w:sz w:val="32"/>
        </w:rPr>
        <w:t xml:space="preserve">. On the other hand, the benefits of energy conservation actions will be actively expanded, companies will be encouraged to invest in carbon reduction actions, and </w:t>
      </w:r>
      <w:r w:rsidR="00EA7B51" w:rsidRPr="00B31AB2">
        <w:rPr>
          <w:color w:val="000000" w:themeColor="text1"/>
          <w:sz w:val="32"/>
        </w:rPr>
        <w:t>electrifying transportation</w:t>
      </w:r>
      <w:r w:rsidRPr="00B31AB2">
        <w:rPr>
          <w:color w:val="000000" w:themeColor="text1"/>
          <w:sz w:val="32"/>
        </w:rPr>
        <w:t xml:space="preserve"> will be further promoted. The government is dedicated to realizing </w:t>
      </w:r>
      <w:r w:rsidR="000445FB" w:rsidRPr="00B31AB2">
        <w:rPr>
          <w:color w:val="000000" w:themeColor="text1"/>
          <w:sz w:val="32"/>
        </w:rPr>
        <w:t>transition</w:t>
      </w:r>
      <w:r w:rsidRPr="00B31AB2">
        <w:rPr>
          <w:color w:val="000000" w:themeColor="text1"/>
          <w:sz w:val="32"/>
        </w:rPr>
        <w:t>s in industries and in li</w:t>
      </w:r>
      <w:r w:rsidR="00EA7B51" w:rsidRPr="00B31AB2">
        <w:rPr>
          <w:color w:val="000000" w:themeColor="text1"/>
          <w:sz w:val="32"/>
        </w:rPr>
        <w:t>festyles</w:t>
      </w:r>
      <w:r w:rsidRPr="00B31AB2">
        <w:rPr>
          <w:color w:val="000000" w:themeColor="text1"/>
          <w:sz w:val="32"/>
        </w:rPr>
        <w:t>, maximizing the carbon reduction effects before 2030.</w:t>
      </w:r>
    </w:p>
    <w:p w14:paraId="11860689" w14:textId="1126B89E" w:rsidR="00A10877" w:rsidRPr="00B31AB2" w:rsidRDefault="00A10877" w:rsidP="00793FC6">
      <w:pPr>
        <w:pStyle w:val="k02"/>
        <w:tabs>
          <w:tab w:val="left" w:pos="680"/>
          <w:tab w:val="left" w:pos="1302"/>
        </w:tabs>
        <w:spacing w:beforeLines="50" w:before="180" w:afterLines="50" w:after="180" w:line="540" w:lineRule="exact"/>
        <w:ind w:firstLineChars="200" w:firstLine="640"/>
        <w:rPr>
          <w:rFonts w:eastAsia="新細明體"/>
          <w:color w:val="000000" w:themeColor="text1"/>
          <w:sz w:val="32"/>
          <w:szCs w:val="32"/>
        </w:rPr>
      </w:pPr>
      <w:r w:rsidRPr="00B31AB2">
        <w:rPr>
          <w:color w:val="000000" w:themeColor="text1"/>
          <w:sz w:val="32"/>
        </w:rPr>
        <w:t>In terms of forward-</w:t>
      </w:r>
      <w:r w:rsidR="00EA7B51" w:rsidRPr="00B31AB2">
        <w:rPr>
          <w:color w:val="000000" w:themeColor="text1"/>
          <w:sz w:val="32"/>
        </w:rPr>
        <w:t>looki</w:t>
      </w:r>
      <w:r w:rsidRPr="00B31AB2">
        <w:rPr>
          <w:color w:val="000000" w:themeColor="text1"/>
          <w:sz w:val="32"/>
        </w:rPr>
        <w:t>ng and emerging carbon reduction technologies, the government has invested in hydrogen energy, geothermal energy, ocean energy, biomass energy, and other renewable energies to decarbonize power sources through diversification. At the same time, the government has invested in the research and development of natural carbon sinks and negative emission</w:t>
      </w:r>
      <w:r w:rsidR="00876533" w:rsidRPr="00B31AB2">
        <w:rPr>
          <w:color w:val="000000" w:themeColor="text1"/>
          <w:sz w:val="32"/>
        </w:rPr>
        <w:t>s</w:t>
      </w:r>
      <w:r w:rsidRPr="00B31AB2">
        <w:rPr>
          <w:color w:val="000000" w:themeColor="text1"/>
          <w:sz w:val="32"/>
        </w:rPr>
        <w:t xml:space="preserve"> technologies. It plans to offset hard-to-reduce carbon emissions through natural channels, such as forests, soil, and the ocean, and carbon capture</w:t>
      </w:r>
      <w:r w:rsidR="00876533" w:rsidRPr="00B31AB2">
        <w:rPr>
          <w:color w:val="000000" w:themeColor="text1"/>
          <w:sz w:val="32"/>
        </w:rPr>
        <w:t xml:space="preserve">, utilization, </w:t>
      </w:r>
      <w:r w:rsidRPr="00B31AB2">
        <w:rPr>
          <w:color w:val="000000" w:themeColor="text1"/>
          <w:sz w:val="32"/>
        </w:rPr>
        <w:t>storage technologies.</w:t>
      </w:r>
    </w:p>
    <w:p w14:paraId="183EBA32" w14:textId="3AAF01EE" w:rsidR="00A12F70" w:rsidRPr="00B31AB2" w:rsidRDefault="00A12F70" w:rsidP="00793FC6">
      <w:pPr>
        <w:pStyle w:val="k02"/>
        <w:tabs>
          <w:tab w:val="left" w:pos="680"/>
          <w:tab w:val="left" w:pos="1302"/>
        </w:tabs>
        <w:spacing w:beforeLines="50" w:before="180" w:afterLines="50" w:after="180" w:line="540" w:lineRule="exact"/>
        <w:ind w:firstLineChars="200" w:firstLine="640"/>
        <w:rPr>
          <w:rFonts w:eastAsia="新細明體"/>
          <w:color w:val="000000" w:themeColor="text1"/>
          <w:sz w:val="32"/>
          <w:szCs w:val="32"/>
        </w:rPr>
      </w:pPr>
      <w:r w:rsidRPr="00B31AB2">
        <w:rPr>
          <w:color w:val="000000" w:themeColor="text1"/>
          <w:sz w:val="32"/>
        </w:rPr>
        <w:t xml:space="preserve">However, relying </w:t>
      </w:r>
      <w:r w:rsidR="00876533" w:rsidRPr="00B31AB2">
        <w:rPr>
          <w:color w:val="000000" w:themeColor="text1"/>
          <w:sz w:val="32"/>
        </w:rPr>
        <w:t>so</w:t>
      </w:r>
      <w:r w:rsidR="00046B64" w:rsidRPr="00B31AB2">
        <w:rPr>
          <w:rFonts w:hint="eastAsia"/>
          <w:color w:val="000000" w:themeColor="text1"/>
          <w:sz w:val="32"/>
        </w:rPr>
        <w:t>l</w:t>
      </w:r>
      <w:r w:rsidR="00876533" w:rsidRPr="00B31AB2">
        <w:rPr>
          <w:color w:val="000000" w:themeColor="text1"/>
          <w:sz w:val="32"/>
        </w:rPr>
        <w:t xml:space="preserve">ely </w:t>
      </w:r>
      <w:r w:rsidRPr="00B31AB2">
        <w:rPr>
          <w:color w:val="000000" w:themeColor="text1"/>
          <w:sz w:val="32"/>
        </w:rPr>
        <w:t xml:space="preserve">on existing technologies is insufficient to achieve the </w:t>
      </w:r>
      <w:r w:rsidR="00876533" w:rsidRPr="00B31AB2">
        <w:rPr>
          <w:color w:val="000000" w:themeColor="text1"/>
          <w:sz w:val="32"/>
        </w:rPr>
        <w:t>2050 Net-Zero Transition G</w:t>
      </w:r>
      <w:r w:rsidRPr="00B31AB2">
        <w:rPr>
          <w:color w:val="000000" w:themeColor="text1"/>
          <w:sz w:val="32"/>
        </w:rPr>
        <w:t>oal. Therefore, the government plans to promote net-zero technology solutions</w:t>
      </w:r>
      <w:r w:rsidR="00876533" w:rsidRPr="00B31AB2">
        <w:rPr>
          <w:color w:val="000000" w:themeColor="text1"/>
          <w:sz w:val="32"/>
        </w:rPr>
        <w:t xml:space="preserve">, investing in five </w:t>
      </w:r>
      <w:r w:rsidR="00B31AB2">
        <w:rPr>
          <w:rFonts w:hint="eastAsia"/>
          <w:color w:val="000000" w:themeColor="text1"/>
          <w:sz w:val="32"/>
        </w:rPr>
        <w:t>f</w:t>
      </w:r>
      <w:r w:rsidR="00B31AB2">
        <w:rPr>
          <w:color w:val="000000" w:themeColor="text1"/>
          <w:sz w:val="32"/>
        </w:rPr>
        <w:t>ield</w:t>
      </w:r>
      <w:r w:rsidR="00876533" w:rsidRPr="00B31AB2">
        <w:rPr>
          <w:color w:val="000000" w:themeColor="text1"/>
          <w:sz w:val="32"/>
        </w:rPr>
        <w:t xml:space="preserve">s </w:t>
      </w:r>
      <w:r w:rsidRPr="00B31AB2">
        <w:rPr>
          <w:color w:val="000000" w:themeColor="text1"/>
          <w:sz w:val="32"/>
        </w:rPr>
        <w:t>includ</w:t>
      </w:r>
      <w:r w:rsidR="00876533" w:rsidRPr="00B31AB2">
        <w:rPr>
          <w:color w:val="000000" w:themeColor="text1"/>
          <w:sz w:val="32"/>
        </w:rPr>
        <w:t>ing</w:t>
      </w:r>
      <w:r w:rsidRPr="00B31AB2">
        <w:rPr>
          <w:color w:val="000000" w:themeColor="text1"/>
          <w:sz w:val="32"/>
        </w:rPr>
        <w:t xml:space="preserve"> sustainable and forward-</w:t>
      </w:r>
      <w:r w:rsidR="00876533" w:rsidRPr="00B31AB2">
        <w:rPr>
          <w:color w:val="000000" w:themeColor="text1"/>
          <w:sz w:val="32"/>
        </w:rPr>
        <w:t>look</w:t>
      </w:r>
      <w:r w:rsidRPr="00B31AB2">
        <w:rPr>
          <w:color w:val="000000" w:themeColor="text1"/>
          <w:sz w:val="32"/>
        </w:rPr>
        <w:t xml:space="preserve">ing energies, low carbon (carbon reducing) technologies, negative carbon technologies, recycling, and humanities and social sciences, in order to strengthen Taiwan’s </w:t>
      </w:r>
      <w:r w:rsidRPr="00B31AB2">
        <w:rPr>
          <w:color w:val="000000" w:themeColor="text1"/>
          <w:sz w:val="32"/>
        </w:rPr>
        <w:lastRenderedPageBreak/>
        <w:t>net</w:t>
      </w:r>
      <w:r w:rsidR="00876533" w:rsidRPr="00B31AB2">
        <w:rPr>
          <w:color w:val="000000" w:themeColor="text1"/>
          <w:sz w:val="32"/>
        </w:rPr>
        <w:t>-</w:t>
      </w:r>
      <w:r w:rsidRPr="00B31AB2">
        <w:rPr>
          <w:color w:val="000000" w:themeColor="text1"/>
          <w:sz w:val="32"/>
        </w:rPr>
        <w:t>zero capabilities. Moreover, in terms of climate legislation, apart from the ongoing amendments to the “Greenhouse Gas Reduction and Management Act” and “Renewable Energy Development Act”, the government will continue to review and amend the laws and regulat</w:t>
      </w:r>
      <w:r w:rsidR="00876533" w:rsidRPr="00B31AB2">
        <w:rPr>
          <w:color w:val="000000" w:themeColor="text1"/>
          <w:sz w:val="32"/>
        </w:rPr>
        <w:t>ion</w:t>
      </w:r>
      <w:r w:rsidRPr="00B31AB2">
        <w:rPr>
          <w:color w:val="000000" w:themeColor="text1"/>
          <w:sz w:val="32"/>
        </w:rPr>
        <w:t>s related to the Energy Administration Act, in order to satisfy net</w:t>
      </w:r>
      <w:r w:rsidR="00876533" w:rsidRPr="00B31AB2">
        <w:rPr>
          <w:color w:val="000000" w:themeColor="text1"/>
          <w:sz w:val="32"/>
        </w:rPr>
        <w:t>-</w:t>
      </w:r>
      <w:r w:rsidRPr="00B31AB2">
        <w:rPr>
          <w:color w:val="000000" w:themeColor="text1"/>
          <w:sz w:val="32"/>
        </w:rPr>
        <w:t xml:space="preserve">zero </w:t>
      </w:r>
      <w:r w:rsidR="000445FB" w:rsidRPr="00B31AB2">
        <w:rPr>
          <w:color w:val="000000" w:themeColor="text1"/>
          <w:sz w:val="32"/>
        </w:rPr>
        <w:t>transition</w:t>
      </w:r>
      <w:r w:rsidRPr="00B31AB2">
        <w:rPr>
          <w:color w:val="000000" w:themeColor="text1"/>
          <w:sz w:val="32"/>
        </w:rPr>
        <w:t xml:space="preserve"> needs.</w:t>
      </w:r>
    </w:p>
    <w:p w14:paraId="705E3ABB" w14:textId="7A531A09" w:rsidR="00A12F70" w:rsidRPr="00B31AB2" w:rsidRDefault="002A36E8" w:rsidP="00793FC6">
      <w:pPr>
        <w:pStyle w:val="k02"/>
        <w:tabs>
          <w:tab w:val="left" w:pos="680"/>
          <w:tab w:val="left" w:pos="1302"/>
        </w:tabs>
        <w:spacing w:beforeLines="50" w:before="180" w:afterLines="50" w:after="180" w:line="540" w:lineRule="exact"/>
        <w:ind w:firstLineChars="200" w:firstLine="640"/>
        <w:rPr>
          <w:rFonts w:eastAsia="新細明體"/>
          <w:color w:val="000000" w:themeColor="text1"/>
          <w:sz w:val="32"/>
          <w:szCs w:val="32"/>
        </w:rPr>
      </w:pPr>
      <w:r w:rsidRPr="00B31AB2">
        <w:rPr>
          <w:color w:val="000000" w:themeColor="text1"/>
          <w:sz w:val="32"/>
        </w:rPr>
        <w:t xml:space="preserve">Through the implementation of the “12 </w:t>
      </w:r>
      <w:r w:rsidR="00876533" w:rsidRPr="00B31AB2">
        <w:rPr>
          <w:color w:val="000000" w:themeColor="text1"/>
          <w:sz w:val="32"/>
        </w:rPr>
        <w:t>K</w:t>
      </w:r>
      <w:r w:rsidRPr="00B31AB2">
        <w:rPr>
          <w:color w:val="000000" w:themeColor="text1"/>
          <w:sz w:val="32"/>
        </w:rPr>
        <w:t xml:space="preserve">ey </w:t>
      </w:r>
      <w:r w:rsidR="00876533" w:rsidRPr="00B31AB2">
        <w:rPr>
          <w:color w:val="000000" w:themeColor="text1"/>
          <w:sz w:val="32"/>
        </w:rPr>
        <w:t>S</w:t>
      </w:r>
      <w:r w:rsidRPr="00B31AB2">
        <w:rPr>
          <w:color w:val="000000" w:themeColor="text1"/>
          <w:sz w:val="32"/>
        </w:rPr>
        <w:t xml:space="preserve">trategies”, Taiwan will be able to reduce carbon emissions by 72 to 76 million tons, which is equivalent to 29% of carbon emissions in 2020, and create massive business opportunities. The plan is expected to attract over NT$4 trillion in private investments and create NT$5.9 trillion in industry </w:t>
      </w:r>
      <w:r w:rsidR="000E795C" w:rsidRPr="00B31AB2">
        <w:rPr>
          <w:color w:val="000000" w:themeColor="text1"/>
          <w:sz w:val="32"/>
        </w:rPr>
        <w:t xml:space="preserve">production </w:t>
      </w:r>
      <w:r w:rsidRPr="00B31AB2">
        <w:rPr>
          <w:color w:val="000000" w:themeColor="text1"/>
          <w:sz w:val="32"/>
        </w:rPr>
        <w:t xml:space="preserve">value from 2023 to 2030. It is also expected to create 551,000 jobs related to net-zero </w:t>
      </w:r>
      <w:r w:rsidR="000445FB" w:rsidRPr="00B31AB2">
        <w:rPr>
          <w:color w:val="000000" w:themeColor="text1"/>
          <w:sz w:val="32"/>
        </w:rPr>
        <w:t>transition</w:t>
      </w:r>
      <w:r w:rsidRPr="00B31AB2">
        <w:rPr>
          <w:color w:val="000000" w:themeColor="text1"/>
          <w:sz w:val="32"/>
        </w:rPr>
        <w:t>s, helping to f</w:t>
      </w:r>
      <w:r w:rsidR="00A55975" w:rsidRPr="00B31AB2">
        <w:rPr>
          <w:color w:val="000000" w:themeColor="text1"/>
          <w:sz w:val="32"/>
        </w:rPr>
        <w:t>or</w:t>
      </w:r>
      <w:r w:rsidRPr="00B31AB2">
        <w:rPr>
          <w:color w:val="000000" w:themeColor="text1"/>
          <w:sz w:val="32"/>
        </w:rPr>
        <w:t xml:space="preserve">m the supply chains for solar power, wind power, electric vehicles, and energy storage equipment in Taiwan. Energy </w:t>
      </w:r>
      <w:r w:rsidR="000E795C" w:rsidRPr="00B31AB2">
        <w:rPr>
          <w:color w:val="000000" w:themeColor="text1"/>
          <w:sz w:val="32"/>
        </w:rPr>
        <w:t>saving</w:t>
      </w:r>
      <w:r w:rsidRPr="00B31AB2">
        <w:rPr>
          <w:color w:val="000000" w:themeColor="text1"/>
          <w:sz w:val="32"/>
        </w:rPr>
        <w:t xml:space="preserve">s will drive production improvements in the 6 major industries, replacement of </w:t>
      </w:r>
      <w:r w:rsidR="000E795C" w:rsidRPr="00B31AB2">
        <w:rPr>
          <w:color w:val="000000" w:themeColor="text1"/>
          <w:sz w:val="32"/>
        </w:rPr>
        <w:t>household</w:t>
      </w:r>
      <w:r w:rsidRPr="00B31AB2">
        <w:rPr>
          <w:color w:val="000000" w:themeColor="text1"/>
          <w:sz w:val="32"/>
        </w:rPr>
        <w:t xml:space="preserve"> and commercial equipment, and introduc</w:t>
      </w:r>
      <w:r w:rsidR="000E795C" w:rsidRPr="00B31AB2">
        <w:rPr>
          <w:color w:val="000000" w:themeColor="text1"/>
          <w:sz w:val="32"/>
        </w:rPr>
        <w:t>tion of</w:t>
      </w:r>
      <w:r w:rsidRPr="00B31AB2">
        <w:rPr>
          <w:color w:val="000000" w:themeColor="text1"/>
          <w:sz w:val="32"/>
        </w:rPr>
        <w:t xml:space="preserve"> energy management systems. These improvements are expected to create NT$550 billion in related industry </w:t>
      </w:r>
      <w:r w:rsidR="000E795C" w:rsidRPr="00B31AB2">
        <w:rPr>
          <w:color w:val="000000" w:themeColor="text1"/>
          <w:sz w:val="32"/>
        </w:rPr>
        <w:t xml:space="preserve">production </w:t>
      </w:r>
      <w:r w:rsidRPr="00B31AB2">
        <w:rPr>
          <w:color w:val="000000" w:themeColor="text1"/>
          <w:sz w:val="32"/>
        </w:rPr>
        <w:t>value.</w:t>
      </w:r>
    </w:p>
    <w:p w14:paraId="73949592" w14:textId="087A5661" w:rsidR="00D95E47" w:rsidRPr="00B31AB2" w:rsidRDefault="0011364C" w:rsidP="00505540">
      <w:pPr>
        <w:pStyle w:val="k02"/>
        <w:tabs>
          <w:tab w:val="left" w:pos="680"/>
          <w:tab w:val="left" w:pos="1302"/>
        </w:tabs>
        <w:spacing w:beforeLines="50" w:before="180" w:afterLines="50" w:after="180" w:line="540" w:lineRule="exact"/>
        <w:ind w:firstLineChars="177" w:firstLine="566"/>
        <w:rPr>
          <w:rFonts w:eastAsia="新細明體"/>
          <w:color w:val="000000" w:themeColor="text1"/>
          <w:sz w:val="32"/>
          <w:szCs w:val="32"/>
        </w:rPr>
      </w:pPr>
      <w:r w:rsidRPr="00B31AB2">
        <w:rPr>
          <w:color w:val="000000" w:themeColor="text1"/>
          <w:sz w:val="32"/>
        </w:rPr>
        <w:t xml:space="preserve">However, </w:t>
      </w:r>
      <w:r w:rsidR="000E795C" w:rsidRPr="00B31AB2">
        <w:rPr>
          <w:color w:val="000000" w:themeColor="text1"/>
          <w:sz w:val="32"/>
        </w:rPr>
        <w:t>it is</w:t>
      </w:r>
      <w:r w:rsidRPr="00B31AB2">
        <w:rPr>
          <w:color w:val="000000" w:themeColor="text1"/>
          <w:sz w:val="32"/>
        </w:rPr>
        <w:t xml:space="preserve"> inevitabl</w:t>
      </w:r>
      <w:r w:rsidR="0085548F" w:rsidRPr="00B31AB2">
        <w:rPr>
          <w:rFonts w:hint="eastAsia"/>
          <w:color w:val="000000" w:themeColor="text1"/>
          <w:sz w:val="32"/>
        </w:rPr>
        <w:t>e</w:t>
      </w:r>
      <w:r w:rsidRPr="00B31AB2">
        <w:rPr>
          <w:color w:val="000000" w:themeColor="text1"/>
          <w:sz w:val="32"/>
        </w:rPr>
        <w:t xml:space="preserve"> </w:t>
      </w:r>
      <w:r w:rsidR="000E795C" w:rsidRPr="00B31AB2">
        <w:rPr>
          <w:color w:val="000000" w:themeColor="text1"/>
          <w:sz w:val="32"/>
        </w:rPr>
        <w:t xml:space="preserve">to face </w:t>
      </w:r>
      <w:r w:rsidRPr="00B31AB2">
        <w:rPr>
          <w:color w:val="000000" w:themeColor="text1"/>
          <w:sz w:val="32"/>
        </w:rPr>
        <w:t>challenges and difficulties</w:t>
      </w:r>
      <w:r w:rsidR="000E795C" w:rsidRPr="00B31AB2">
        <w:rPr>
          <w:color w:val="000000" w:themeColor="text1"/>
          <w:sz w:val="32"/>
        </w:rPr>
        <w:t xml:space="preserve"> on the way of transition</w:t>
      </w:r>
      <w:r w:rsidRPr="00B31AB2">
        <w:rPr>
          <w:color w:val="000000" w:themeColor="text1"/>
          <w:sz w:val="32"/>
        </w:rPr>
        <w:t xml:space="preserve">. The government will act as </w:t>
      </w:r>
      <w:r w:rsidR="000E795C" w:rsidRPr="00B31AB2">
        <w:rPr>
          <w:color w:val="000000" w:themeColor="text1"/>
          <w:sz w:val="32"/>
        </w:rPr>
        <w:t xml:space="preserve">the </w:t>
      </w:r>
      <w:r w:rsidRPr="00B31AB2">
        <w:rPr>
          <w:color w:val="000000" w:themeColor="text1"/>
          <w:sz w:val="32"/>
        </w:rPr>
        <w:t xml:space="preserve">support </w:t>
      </w:r>
      <w:r w:rsidR="000E795C" w:rsidRPr="00B31AB2">
        <w:rPr>
          <w:color w:val="000000" w:themeColor="text1"/>
          <w:sz w:val="32"/>
        </w:rPr>
        <w:t>to</w:t>
      </w:r>
      <w:r w:rsidRPr="00B31AB2">
        <w:rPr>
          <w:color w:val="000000" w:themeColor="text1"/>
          <w:sz w:val="32"/>
        </w:rPr>
        <w:t xml:space="preserve"> enterprises, especially in the provision of sufficient resources and assistance to a wide range of small and medium enterprises. To this end, the government will work hand in hand with industry </w:t>
      </w:r>
      <w:r w:rsidRPr="00B31AB2">
        <w:rPr>
          <w:color w:val="000000" w:themeColor="text1"/>
          <w:sz w:val="32"/>
        </w:rPr>
        <w:lastRenderedPageBreak/>
        <w:t>associations. State-owned enterprises will lead by example and adopt the model</w:t>
      </w:r>
      <w:r w:rsidR="000E795C" w:rsidRPr="00B31AB2">
        <w:rPr>
          <w:color w:val="000000" w:themeColor="text1"/>
          <w:sz w:val="32"/>
        </w:rPr>
        <w:t xml:space="preserve"> that</w:t>
      </w:r>
      <w:r w:rsidRPr="00B31AB2">
        <w:rPr>
          <w:color w:val="000000" w:themeColor="text1"/>
          <w:sz w:val="32"/>
        </w:rPr>
        <w:t xml:space="preserve"> </w:t>
      </w:r>
      <w:r w:rsidR="000E795C" w:rsidRPr="00B31AB2">
        <w:rPr>
          <w:color w:val="000000" w:themeColor="text1"/>
          <w:sz w:val="32"/>
        </w:rPr>
        <w:t>the major</w:t>
      </w:r>
      <w:r w:rsidRPr="00B31AB2">
        <w:rPr>
          <w:color w:val="000000" w:themeColor="text1"/>
          <w:sz w:val="32"/>
        </w:rPr>
        <w:t xml:space="preserve"> </w:t>
      </w:r>
      <w:r w:rsidR="000E795C" w:rsidRPr="00B31AB2">
        <w:rPr>
          <w:color w:val="000000" w:themeColor="text1"/>
          <w:sz w:val="32"/>
        </w:rPr>
        <w:t>take the lead, then help the others comply with transition policies, so as</w:t>
      </w:r>
      <w:r w:rsidRPr="00B31AB2">
        <w:rPr>
          <w:color w:val="000000" w:themeColor="text1"/>
          <w:sz w:val="32"/>
        </w:rPr>
        <w:t xml:space="preserve"> to gradually implement </w:t>
      </w:r>
      <w:r w:rsidR="000445FB" w:rsidRPr="00B31AB2">
        <w:rPr>
          <w:color w:val="000000" w:themeColor="text1"/>
          <w:sz w:val="32"/>
        </w:rPr>
        <w:t>transition</w:t>
      </w:r>
      <w:r w:rsidRPr="00B31AB2">
        <w:rPr>
          <w:color w:val="000000" w:themeColor="text1"/>
          <w:sz w:val="32"/>
        </w:rPr>
        <w:t xml:space="preserve">s for small and medium enterprises, </w:t>
      </w:r>
      <w:r w:rsidR="000E795C" w:rsidRPr="00B31AB2">
        <w:rPr>
          <w:color w:val="000000" w:themeColor="text1"/>
          <w:sz w:val="32"/>
        </w:rPr>
        <w:t xml:space="preserve">and </w:t>
      </w:r>
      <w:r w:rsidRPr="00B31AB2">
        <w:rPr>
          <w:color w:val="000000" w:themeColor="text1"/>
          <w:sz w:val="32"/>
        </w:rPr>
        <w:t>help them meet the carbon reduction requirements of their supply chains.</w:t>
      </w:r>
    </w:p>
    <w:p w14:paraId="721158BA" w14:textId="07928B74" w:rsidR="00C56084" w:rsidRPr="00B31AB2" w:rsidRDefault="000445FB" w:rsidP="00505540">
      <w:pPr>
        <w:pStyle w:val="k02"/>
        <w:tabs>
          <w:tab w:val="left" w:pos="680"/>
          <w:tab w:val="left" w:pos="1302"/>
        </w:tabs>
        <w:spacing w:beforeLines="50" w:before="180" w:afterLines="50" w:after="180" w:line="540" w:lineRule="exact"/>
        <w:ind w:firstLineChars="177" w:firstLine="566"/>
        <w:rPr>
          <w:rFonts w:eastAsia="新細明體"/>
          <w:color w:val="000000" w:themeColor="text1"/>
          <w:sz w:val="32"/>
          <w:szCs w:val="32"/>
        </w:rPr>
      </w:pPr>
      <w:r w:rsidRPr="00B31AB2">
        <w:rPr>
          <w:color w:val="000000" w:themeColor="text1"/>
          <w:sz w:val="32"/>
        </w:rPr>
        <w:t>Minister</w:t>
      </w:r>
      <w:r w:rsidR="00D95E47" w:rsidRPr="00B31AB2">
        <w:rPr>
          <w:color w:val="000000" w:themeColor="text1"/>
          <w:sz w:val="32"/>
        </w:rPr>
        <w:t xml:space="preserve"> Kung mentioned that the Environmental Protection Administration announced the “Greenhouse Gas Emission Inventory Guidelines”</w:t>
      </w:r>
      <w:r w:rsidR="000E795C" w:rsidRPr="00B31AB2">
        <w:rPr>
          <w:color w:val="000000" w:themeColor="text1"/>
          <w:sz w:val="32"/>
        </w:rPr>
        <w:t xml:space="preserve"> this year</w:t>
      </w:r>
      <w:r w:rsidR="00D95E47" w:rsidRPr="00B31AB2">
        <w:rPr>
          <w:color w:val="000000" w:themeColor="text1"/>
          <w:sz w:val="32"/>
        </w:rPr>
        <w:t xml:space="preserve">. Small and medium enterprises can </w:t>
      </w:r>
      <w:r w:rsidR="000E795C" w:rsidRPr="00B31AB2">
        <w:rPr>
          <w:color w:val="000000" w:themeColor="text1"/>
          <w:sz w:val="32"/>
        </w:rPr>
        <w:t>use</w:t>
      </w:r>
      <w:r w:rsidR="00D95E47" w:rsidRPr="00B31AB2">
        <w:rPr>
          <w:color w:val="000000" w:themeColor="text1"/>
          <w:sz w:val="32"/>
        </w:rPr>
        <w:t xml:space="preserve"> online</w:t>
      </w:r>
      <w:r w:rsidR="000E795C" w:rsidRPr="00B31AB2">
        <w:rPr>
          <w:color w:val="000000" w:themeColor="text1"/>
          <w:sz w:val="32"/>
        </w:rPr>
        <w:t xml:space="preserve"> tool</w:t>
      </w:r>
      <w:r w:rsidR="00D95E47" w:rsidRPr="00B31AB2">
        <w:rPr>
          <w:color w:val="000000" w:themeColor="text1"/>
          <w:sz w:val="32"/>
        </w:rPr>
        <w:t xml:space="preserve"> to calculate </w:t>
      </w:r>
      <w:r w:rsidR="00702106" w:rsidRPr="00B31AB2">
        <w:rPr>
          <w:color w:val="000000" w:themeColor="text1"/>
          <w:sz w:val="32"/>
        </w:rPr>
        <w:t xml:space="preserve">their emissions </w:t>
      </w:r>
      <w:r w:rsidR="00D95E47" w:rsidRPr="00B31AB2">
        <w:rPr>
          <w:color w:val="000000" w:themeColor="text1"/>
          <w:sz w:val="32"/>
        </w:rPr>
        <w:t>and gain a preliminary understanding of their</w:t>
      </w:r>
      <w:r w:rsidR="00702106" w:rsidRPr="00B31AB2">
        <w:rPr>
          <w:color w:val="000000" w:themeColor="text1"/>
          <w:sz w:val="32"/>
        </w:rPr>
        <w:t xml:space="preserve"> carbon footprints</w:t>
      </w:r>
      <w:r w:rsidR="00D95E47" w:rsidRPr="00B31AB2">
        <w:rPr>
          <w:color w:val="000000" w:themeColor="text1"/>
          <w:sz w:val="32"/>
        </w:rPr>
        <w:t xml:space="preserve">. In the future, the advisory group, formed by the Environmental Protection Administration, Ministry of Economic Affairs, and industry associations, will enhance their service capacity and help small and medium enterprises understand the smart and low carbon (net zero) technologies or services they need through enterprise diagnostics. Furthermore, the government will strengthen carbon reduction assistance for small and medium enterprises. The government aims to support the </w:t>
      </w:r>
      <w:r w:rsidRPr="00B31AB2">
        <w:rPr>
          <w:color w:val="000000" w:themeColor="text1"/>
          <w:sz w:val="32"/>
        </w:rPr>
        <w:t>transition</w:t>
      </w:r>
      <w:r w:rsidR="00D95E47" w:rsidRPr="00B31AB2">
        <w:rPr>
          <w:color w:val="000000" w:themeColor="text1"/>
          <w:sz w:val="32"/>
        </w:rPr>
        <w:t xml:space="preserve"> and upgrade of Taiwan’s small and medium enterprises, helping Taiwan’s industries seize business opportunities and showing the government’s determination to “leaving no one behind” in net-zero </w:t>
      </w:r>
      <w:r w:rsidRPr="00B31AB2">
        <w:rPr>
          <w:color w:val="000000" w:themeColor="text1"/>
          <w:sz w:val="32"/>
        </w:rPr>
        <w:t>transition</w:t>
      </w:r>
      <w:r w:rsidR="00D95E47" w:rsidRPr="00B31AB2">
        <w:rPr>
          <w:color w:val="000000" w:themeColor="text1"/>
          <w:sz w:val="32"/>
        </w:rPr>
        <w:t>s.</w:t>
      </w:r>
    </w:p>
    <w:p w14:paraId="58A84045" w14:textId="009E7458" w:rsidR="001C0208" w:rsidRPr="00B31AB2" w:rsidRDefault="000445FB" w:rsidP="00AE614B">
      <w:pPr>
        <w:pStyle w:val="k02"/>
        <w:tabs>
          <w:tab w:val="left" w:pos="680"/>
          <w:tab w:val="left" w:pos="1302"/>
        </w:tabs>
        <w:spacing w:beforeLines="50" w:before="180" w:afterLines="50" w:after="180" w:line="540" w:lineRule="exact"/>
        <w:ind w:firstLineChars="177" w:firstLine="566"/>
        <w:rPr>
          <w:rFonts w:eastAsia="新細明體"/>
          <w:color w:val="000000" w:themeColor="text1"/>
          <w:sz w:val="32"/>
          <w:szCs w:val="32"/>
        </w:rPr>
      </w:pPr>
      <w:r w:rsidRPr="00B31AB2">
        <w:rPr>
          <w:color w:val="000000" w:themeColor="text1"/>
          <w:sz w:val="32"/>
        </w:rPr>
        <w:t>Minister</w:t>
      </w:r>
      <w:r w:rsidR="001C0208" w:rsidRPr="00B31AB2">
        <w:rPr>
          <w:color w:val="000000" w:themeColor="text1"/>
          <w:sz w:val="32"/>
        </w:rPr>
        <w:t xml:space="preserve"> Kung also mentioned that as the agency in charge of planning, reviewing, and managing national developments, National Development Council will fulfill its responsibilities in </w:t>
      </w:r>
      <w:r w:rsidR="001C0208" w:rsidRPr="00B31AB2">
        <w:rPr>
          <w:color w:val="000000" w:themeColor="text1"/>
          <w:sz w:val="32"/>
        </w:rPr>
        <w:lastRenderedPageBreak/>
        <w:t xml:space="preserve">future net-zero </w:t>
      </w:r>
      <w:r w:rsidRPr="00B31AB2">
        <w:rPr>
          <w:color w:val="000000" w:themeColor="text1"/>
          <w:sz w:val="32"/>
        </w:rPr>
        <w:t>transition</w:t>
      </w:r>
      <w:r w:rsidR="001C0208" w:rsidRPr="00B31AB2">
        <w:rPr>
          <w:color w:val="000000" w:themeColor="text1"/>
          <w:sz w:val="32"/>
        </w:rPr>
        <w:t>s. The Council will review whether the mid</w:t>
      </w:r>
      <w:r w:rsidR="00702106" w:rsidRPr="00B31AB2">
        <w:rPr>
          <w:color w:val="000000" w:themeColor="text1"/>
          <w:sz w:val="32"/>
        </w:rPr>
        <w:t>-</w:t>
      </w:r>
      <w:r w:rsidR="001C0208" w:rsidRPr="00B31AB2">
        <w:rPr>
          <w:color w:val="000000" w:themeColor="text1"/>
          <w:sz w:val="32"/>
        </w:rPr>
        <w:t>to</w:t>
      </w:r>
      <w:r w:rsidR="00702106" w:rsidRPr="00B31AB2">
        <w:rPr>
          <w:color w:val="000000" w:themeColor="text1"/>
          <w:sz w:val="32"/>
        </w:rPr>
        <w:t>-</w:t>
      </w:r>
      <w:r w:rsidR="001C0208" w:rsidRPr="00B31AB2">
        <w:rPr>
          <w:color w:val="000000" w:themeColor="text1"/>
          <w:sz w:val="32"/>
        </w:rPr>
        <w:t xml:space="preserve">long-term projects submitted by the central </w:t>
      </w:r>
      <w:r w:rsidR="00702106" w:rsidRPr="00B31AB2">
        <w:rPr>
          <w:color w:val="000000" w:themeColor="text1"/>
          <w:sz w:val="32"/>
        </w:rPr>
        <w:t xml:space="preserve">government </w:t>
      </w:r>
      <w:r w:rsidR="001C0208" w:rsidRPr="00B31AB2">
        <w:rPr>
          <w:color w:val="000000" w:themeColor="text1"/>
          <w:sz w:val="32"/>
        </w:rPr>
        <w:t xml:space="preserve">agencies, including public construction, social development, and the construction of public buildings, </w:t>
      </w:r>
      <w:r w:rsidR="00702106" w:rsidRPr="00B31AB2">
        <w:rPr>
          <w:color w:val="000000" w:themeColor="text1"/>
          <w:sz w:val="32"/>
        </w:rPr>
        <w:t>and make sure all the projects adopt</w:t>
      </w:r>
      <w:r w:rsidR="001C0208" w:rsidRPr="00B31AB2">
        <w:rPr>
          <w:color w:val="000000" w:themeColor="text1"/>
          <w:sz w:val="32"/>
        </w:rPr>
        <w:t xml:space="preserve"> net</w:t>
      </w:r>
      <w:r w:rsidR="00702106" w:rsidRPr="00B31AB2">
        <w:rPr>
          <w:color w:val="000000" w:themeColor="text1"/>
          <w:sz w:val="32"/>
        </w:rPr>
        <w:t>-</w:t>
      </w:r>
      <w:r w:rsidR="001C0208" w:rsidRPr="00B31AB2">
        <w:rPr>
          <w:color w:val="000000" w:themeColor="text1"/>
          <w:sz w:val="32"/>
        </w:rPr>
        <w:t>zero and sustainable planning, so as to encourage the ministries to invest in net</w:t>
      </w:r>
      <w:r w:rsidR="00702106" w:rsidRPr="00B31AB2">
        <w:rPr>
          <w:color w:val="000000" w:themeColor="text1"/>
          <w:sz w:val="32"/>
        </w:rPr>
        <w:t>-</w:t>
      </w:r>
      <w:r w:rsidR="001C0208" w:rsidRPr="00B31AB2">
        <w:rPr>
          <w:color w:val="000000" w:themeColor="text1"/>
          <w:sz w:val="32"/>
        </w:rPr>
        <w:t xml:space="preserve">zero </w:t>
      </w:r>
      <w:r w:rsidRPr="00B31AB2">
        <w:rPr>
          <w:color w:val="000000" w:themeColor="text1"/>
          <w:sz w:val="32"/>
        </w:rPr>
        <w:t>transition</w:t>
      </w:r>
      <w:r w:rsidR="001C0208" w:rsidRPr="00B31AB2">
        <w:rPr>
          <w:color w:val="000000" w:themeColor="text1"/>
          <w:sz w:val="32"/>
        </w:rPr>
        <w:t>s first.</w:t>
      </w:r>
    </w:p>
    <w:p w14:paraId="597462B7" w14:textId="7E4CCBB7" w:rsidR="00763D9E" w:rsidRPr="00B31AB2" w:rsidRDefault="000445FB" w:rsidP="00CD4752">
      <w:pPr>
        <w:pStyle w:val="k02"/>
        <w:tabs>
          <w:tab w:val="left" w:pos="680"/>
          <w:tab w:val="left" w:pos="1302"/>
        </w:tabs>
        <w:spacing w:beforeLines="50" w:before="180" w:afterLines="50" w:after="180" w:line="540" w:lineRule="exact"/>
        <w:ind w:firstLineChars="177" w:firstLine="566"/>
        <w:rPr>
          <w:color w:val="000000" w:themeColor="text1"/>
          <w:sz w:val="32"/>
        </w:rPr>
      </w:pPr>
      <w:r w:rsidRPr="00B31AB2">
        <w:rPr>
          <w:color w:val="000000" w:themeColor="text1"/>
          <w:sz w:val="32"/>
        </w:rPr>
        <w:t>Minister</w:t>
      </w:r>
      <w:r w:rsidR="00F1104E" w:rsidRPr="00B31AB2">
        <w:rPr>
          <w:color w:val="000000" w:themeColor="text1"/>
          <w:sz w:val="32"/>
        </w:rPr>
        <w:t xml:space="preserve"> Kung stated net</w:t>
      </w:r>
      <w:r w:rsidR="00702106" w:rsidRPr="00B31AB2">
        <w:rPr>
          <w:color w:val="000000" w:themeColor="text1"/>
          <w:sz w:val="32"/>
        </w:rPr>
        <w:t>-</w:t>
      </w:r>
      <w:r w:rsidR="00F1104E" w:rsidRPr="00B31AB2">
        <w:rPr>
          <w:color w:val="000000" w:themeColor="text1"/>
          <w:sz w:val="32"/>
        </w:rPr>
        <w:t>zero by 2050 is Taiwan’s longest ever, inter-ministerial national development plan. There is no ultimate solution for net</w:t>
      </w:r>
      <w:r w:rsidR="00702106" w:rsidRPr="00B31AB2">
        <w:rPr>
          <w:color w:val="000000" w:themeColor="text1"/>
          <w:sz w:val="32"/>
        </w:rPr>
        <w:t>-</w:t>
      </w:r>
      <w:r w:rsidR="00F1104E" w:rsidRPr="00B31AB2">
        <w:rPr>
          <w:color w:val="000000" w:themeColor="text1"/>
          <w:sz w:val="32"/>
        </w:rPr>
        <w:t xml:space="preserve">zero, only better solutions. The attention from and the importance placed by different sectors are the sources of the government’s confidence in fulfilling the goals. The announcement of the “12 </w:t>
      </w:r>
      <w:r w:rsidR="00702106" w:rsidRPr="00B31AB2">
        <w:rPr>
          <w:color w:val="000000" w:themeColor="text1"/>
          <w:sz w:val="32"/>
        </w:rPr>
        <w:t>K</w:t>
      </w:r>
      <w:r w:rsidR="00F1104E" w:rsidRPr="00B31AB2">
        <w:rPr>
          <w:color w:val="000000" w:themeColor="text1"/>
          <w:sz w:val="32"/>
        </w:rPr>
        <w:t xml:space="preserve">ey </w:t>
      </w:r>
      <w:r w:rsidR="00702106" w:rsidRPr="00B31AB2">
        <w:rPr>
          <w:color w:val="000000" w:themeColor="text1"/>
          <w:sz w:val="32"/>
        </w:rPr>
        <w:t>S</w:t>
      </w:r>
      <w:r w:rsidR="00F1104E" w:rsidRPr="00B31AB2">
        <w:rPr>
          <w:color w:val="000000" w:themeColor="text1"/>
          <w:sz w:val="32"/>
        </w:rPr>
        <w:t xml:space="preserve">trategies” action plan symbolizes that Taiwan has made stable steps towards net zero. The government will use the plan as the basis for dialogue and continue to communicate with the various areas of society, in order to find better </w:t>
      </w:r>
      <w:r w:rsidR="00702106" w:rsidRPr="00B31AB2">
        <w:rPr>
          <w:color w:val="000000" w:themeColor="text1"/>
          <w:sz w:val="32"/>
        </w:rPr>
        <w:t>solution</w:t>
      </w:r>
      <w:r w:rsidR="00F1104E" w:rsidRPr="00B31AB2">
        <w:rPr>
          <w:color w:val="000000" w:themeColor="text1"/>
          <w:sz w:val="32"/>
        </w:rPr>
        <w:t xml:space="preserve">s and implement specific actions. </w:t>
      </w:r>
      <w:r w:rsidR="00763D9E" w:rsidRPr="00B31AB2">
        <w:rPr>
          <w:color w:val="000000" w:themeColor="text1"/>
          <w:sz w:val="32"/>
        </w:rPr>
        <w:t xml:space="preserve">By implementing the action plan, we hope that we can leave a better living environment and industry development opportunities for the next generation </w:t>
      </w:r>
    </w:p>
    <w:p w14:paraId="044DE857" w14:textId="77777777" w:rsidR="00AE614B" w:rsidRPr="00B31AB2" w:rsidRDefault="00AE614B" w:rsidP="00884A5F">
      <w:pPr>
        <w:pStyle w:val="k02"/>
        <w:tabs>
          <w:tab w:val="left" w:pos="680"/>
          <w:tab w:val="left" w:pos="1302"/>
        </w:tabs>
        <w:spacing w:line="480" w:lineRule="exact"/>
        <w:ind w:firstLine="0"/>
        <w:rPr>
          <w:rFonts w:eastAsia="新細明體"/>
          <w:color w:val="000000" w:themeColor="text1"/>
          <w:sz w:val="32"/>
          <w:szCs w:val="32"/>
        </w:rPr>
      </w:pPr>
    </w:p>
    <w:p w14:paraId="5B8DAEBB" w14:textId="72D68461" w:rsidR="00CA472E" w:rsidRPr="00B31AB2" w:rsidRDefault="00CA472E" w:rsidP="00702106">
      <w:pPr>
        <w:pStyle w:val="k02"/>
        <w:tabs>
          <w:tab w:val="clear" w:pos="960"/>
          <w:tab w:val="clear" w:pos="1920"/>
          <w:tab w:val="left" w:pos="2225"/>
          <w:tab w:val="left" w:pos="2255"/>
        </w:tabs>
        <w:spacing w:line="480" w:lineRule="exact"/>
        <w:ind w:firstLine="0"/>
        <w:rPr>
          <w:rFonts w:eastAsia="新細明體"/>
          <w:color w:val="000000" w:themeColor="text1"/>
          <w:sz w:val="32"/>
          <w:szCs w:val="32"/>
        </w:rPr>
      </w:pPr>
      <w:r w:rsidRPr="00B31AB2">
        <w:rPr>
          <w:color w:val="000000" w:themeColor="text1"/>
          <w:sz w:val="32"/>
        </w:rPr>
        <w:t xml:space="preserve">Contact Person: </w:t>
      </w:r>
      <w:r w:rsidR="00DF6F27" w:rsidRPr="00B31AB2">
        <w:rPr>
          <w:color w:val="000000" w:themeColor="text1"/>
          <w:sz w:val="32"/>
        </w:rPr>
        <w:t xml:space="preserve">Wu </w:t>
      </w:r>
      <w:r w:rsidR="00702106" w:rsidRPr="00B31AB2">
        <w:rPr>
          <w:color w:val="000000" w:themeColor="text1"/>
          <w:sz w:val="32"/>
        </w:rPr>
        <w:t>Ming-Hui</w:t>
      </w:r>
      <w:r w:rsidR="00702106" w:rsidRPr="00B31AB2">
        <w:rPr>
          <w:rFonts w:hint="eastAsia"/>
          <w:color w:val="000000" w:themeColor="text1"/>
          <w:sz w:val="32"/>
        </w:rPr>
        <w:t>,</w:t>
      </w:r>
      <w:r w:rsidR="00702106" w:rsidRPr="00B31AB2">
        <w:rPr>
          <w:color w:val="000000" w:themeColor="text1"/>
          <w:sz w:val="32"/>
        </w:rPr>
        <w:t xml:space="preserve"> Director Gen</w:t>
      </w:r>
      <w:r w:rsidR="00786888" w:rsidRPr="00B31AB2">
        <w:rPr>
          <w:rFonts w:hint="eastAsia"/>
          <w:color w:val="000000" w:themeColor="text1"/>
          <w:sz w:val="32"/>
        </w:rPr>
        <w:t>e</w:t>
      </w:r>
      <w:r w:rsidR="00702106" w:rsidRPr="00B31AB2">
        <w:rPr>
          <w:color w:val="000000" w:themeColor="text1"/>
          <w:sz w:val="32"/>
        </w:rPr>
        <w:t xml:space="preserve">ral, Department of </w:t>
      </w:r>
      <w:r w:rsidRPr="00B31AB2">
        <w:rPr>
          <w:color w:val="000000" w:themeColor="text1"/>
          <w:sz w:val="32"/>
        </w:rPr>
        <w:t xml:space="preserve">Economic Development </w:t>
      </w:r>
    </w:p>
    <w:p w14:paraId="714C8F60" w14:textId="72E5D734" w:rsidR="00CA472E" w:rsidRPr="00B31AB2" w:rsidRDefault="00702106" w:rsidP="00884A5F">
      <w:pPr>
        <w:pStyle w:val="k02"/>
        <w:tabs>
          <w:tab w:val="left" w:pos="680"/>
          <w:tab w:val="left" w:pos="1302"/>
        </w:tabs>
        <w:spacing w:line="480" w:lineRule="exact"/>
        <w:ind w:firstLine="0"/>
        <w:rPr>
          <w:rFonts w:eastAsia="新細明體"/>
          <w:color w:val="000000" w:themeColor="text1"/>
          <w:sz w:val="32"/>
          <w:szCs w:val="32"/>
        </w:rPr>
      </w:pPr>
      <w:r w:rsidRPr="00B31AB2">
        <w:rPr>
          <w:color w:val="000000" w:themeColor="text1"/>
          <w:sz w:val="32"/>
        </w:rPr>
        <w:t>Office Tel</w:t>
      </w:r>
      <w:r w:rsidR="00CA472E" w:rsidRPr="00B31AB2">
        <w:rPr>
          <w:color w:val="000000" w:themeColor="text1"/>
          <w:sz w:val="32"/>
        </w:rPr>
        <w:t>: (02)2316-5851</w:t>
      </w:r>
    </w:p>
    <w:sectPr w:rsidR="00CA472E" w:rsidRPr="00B31AB2">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EC747" w14:textId="77777777" w:rsidR="00E93FDA" w:rsidRDefault="00E93FDA" w:rsidP="00E6249C">
      <w:r>
        <w:separator/>
      </w:r>
    </w:p>
  </w:endnote>
  <w:endnote w:type="continuationSeparator" w:id="0">
    <w:p w14:paraId="679639CC" w14:textId="77777777" w:rsidR="00E93FDA" w:rsidRDefault="00E93FDA" w:rsidP="00E62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文鼎粗魏碑">
    <w:altName w:val="新細明體"/>
    <w:panose1 w:val="00000000000000000000"/>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0900366"/>
      <w:docPartObj>
        <w:docPartGallery w:val="Page Numbers (Bottom of Page)"/>
        <w:docPartUnique/>
      </w:docPartObj>
    </w:sdtPr>
    <w:sdtEndPr/>
    <w:sdtContent>
      <w:p w14:paraId="1D33D67C" w14:textId="42FEFB69" w:rsidR="000C4F0C" w:rsidRDefault="000C4F0C">
        <w:pPr>
          <w:pStyle w:val="a9"/>
          <w:jc w:val="center"/>
        </w:pPr>
        <w:r>
          <w:fldChar w:fldCharType="begin"/>
        </w:r>
        <w:r>
          <w:instrText>PAGE   \* MERGEFORMAT</w:instrText>
        </w:r>
        <w:r>
          <w:fldChar w:fldCharType="separate"/>
        </w:r>
        <w:r w:rsidR="00341110">
          <w:t>2</w:t>
        </w:r>
        <w:r>
          <w:fldChar w:fldCharType="end"/>
        </w:r>
      </w:p>
    </w:sdtContent>
  </w:sdt>
  <w:p w14:paraId="1411F009" w14:textId="77777777" w:rsidR="000C4F0C" w:rsidRDefault="000C4F0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863F3" w14:textId="77777777" w:rsidR="00E93FDA" w:rsidRDefault="00E93FDA" w:rsidP="00E6249C">
      <w:r>
        <w:separator/>
      </w:r>
    </w:p>
  </w:footnote>
  <w:footnote w:type="continuationSeparator" w:id="0">
    <w:p w14:paraId="1191F14B" w14:textId="77777777" w:rsidR="00E93FDA" w:rsidRDefault="00E93FDA" w:rsidP="00E624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F3318"/>
    <w:multiLevelType w:val="hybridMultilevel"/>
    <w:tmpl w:val="BDD06476"/>
    <w:lvl w:ilvl="0" w:tplc="04090015">
      <w:start w:val="1"/>
      <w:numFmt w:val="taiwaneseCountingThousand"/>
      <w:lvlText w:val="%1、"/>
      <w:lvlJc w:val="left"/>
      <w:pPr>
        <w:ind w:left="1120" w:hanging="480"/>
      </w:p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1" w15:restartNumberingAfterBreak="0">
    <w:nsid w:val="34097EB8"/>
    <w:multiLevelType w:val="hybridMultilevel"/>
    <w:tmpl w:val="C0A4D558"/>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43F181E"/>
    <w:multiLevelType w:val="hybridMultilevel"/>
    <w:tmpl w:val="DDB4E0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CE2669E"/>
    <w:multiLevelType w:val="hybridMultilevel"/>
    <w:tmpl w:val="31ACE8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EE2234"/>
    <w:multiLevelType w:val="hybridMultilevel"/>
    <w:tmpl w:val="DC3C86DA"/>
    <w:lvl w:ilvl="0" w:tplc="FD16C93A">
      <w:start w:val="1"/>
      <w:numFmt w:val="bullet"/>
      <w:lvlText w:val=""/>
      <w:lvlJc w:val="left"/>
      <w:pPr>
        <w:tabs>
          <w:tab w:val="num" w:pos="720"/>
        </w:tabs>
        <w:ind w:left="720" w:hanging="360"/>
      </w:pPr>
      <w:rPr>
        <w:rFonts w:ascii="Wingdings" w:hAnsi="Wingdings" w:hint="default"/>
      </w:rPr>
    </w:lvl>
    <w:lvl w:ilvl="1" w:tplc="2C148096">
      <w:start w:val="1"/>
      <w:numFmt w:val="bullet"/>
      <w:lvlText w:val=""/>
      <w:lvlJc w:val="left"/>
      <w:pPr>
        <w:tabs>
          <w:tab w:val="num" w:pos="1440"/>
        </w:tabs>
        <w:ind w:left="1440" w:hanging="360"/>
      </w:pPr>
      <w:rPr>
        <w:rFonts w:ascii="Wingdings" w:hAnsi="Wingdings" w:hint="default"/>
      </w:rPr>
    </w:lvl>
    <w:lvl w:ilvl="2" w:tplc="65749298" w:tentative="1">
      <w:start w:val="1"/>
      <w:numFmt w:val="bullet"/>
      <w:lvlText w:val=""/>
      <w:lvlJc w:val="left"/>
      <w:pPr>
        <w:tabs>
          <w:tab w:val="num" w:pos="2160"/>
        </w:tabs>
        <w:ind w:left="2160" w:hanging="360"/>
      </w:pPr>
      <w:rPr>
        <w:rFonts w:ascii="Wingdings" w:hAnsi="Wingdings" w:hint="default"/>
      </w:rPr>
    </w:lvl>
    <w:lvl w:ilvl="3" w:tplc="5DE23700" w:tentative="1">
      <w:start w:val="1"/>
      <w:numFmt w:val="bullet"/>
      <w:lvlText w:val=""/>
      <w:lvlJc w:val="left"/>
      <w:pPr>
        <w:tabs>
          <w:tab w:val="num" w:pos="2880"/>
        </w:tabs>
        <w:ind w:left="2880" w:hanging="360"/>
      </w:pPr>
      <w:rPr>
        <w:rFonts w:ascii="Wingdings" w:hAnsi="Wingdings" w:hint="default"/>
      </w:rPr>
    </w:lvl>
    <w:lvl w:ilvl="4" w:tplc="5C6C04FA" w:tentative="1">
      <w:start w:val="1"/>
      <w:numFmt w:val="bullet"/>
      <w:lvlText w:val=""/>
      <w:lvlJc w:val="left"/>
      <w:pPr>
        <w:tabs>
          <w:tab w:val="num" w:pos="3600"/>
        </w:tabs>
        <w:ind w:left="3600" w:hanging="360"/>
      </w:pPr>
      <w:rPr>
        <w:rFonts w:ascii="Wingdings" w:hAnsi="Wingdings" w:hint="default"/>
      </w:rPr>
    </w:lvl>
    <w:lvl w:ilvl="5" w:tplc="4BA8FDFC" w:tentative="1">
      <w:start w:val="1"/>
      <w:numFmt w:val="bullet"/>
      <w:lvlText w:val=""/>
      <w:lvlJc w:val="left"/>
      <w:pPr>
        <w:tabs>
          <w:tab w:val="num" w:pos="4320"/>
        </w:tabs>
        <w:ind w:left="4320" w:hanging="360"/>
      </w:pPr>
      <w:rPr>
        <w:rFonts w:ascii="Wingdings" w:hAnsi="Wingdings" w:hint="default"/>
      </w:rPr>
    </w:lvl>
    <w:lvl w:ilvl="6" w:tplc="70BC6720" w:tentative="1">
      <w:start w:val="1"/>
      <w:numFmt w:val="bullet"/>
      <w:lvlText w:val=""/>
      <w:lvlJc w:val="left"/>
      <w:pPr>
        <w:tabs>
          <w:tab w:val="num" w:pos="5040"/>
        </w:tabs>
        <w:ind w:left="5040" w:hanging="360"/>
      </w:pPr>
      <w:rPr>
        <w:rFonts w:ascii="Wingdings" w:hAnsi="Wingdings" w:hint="default"/>
      </w:rPr>
    </w:lvl>
    <w:lvl w:ilvl="7" w:tplc="B2260F1A" w:tentative="1">
      <w:start w:val="1"/>
      <w:numFmt w:val="bullet"/>
      <w:lvlText w:val=""/>
      <w:lvlJc w:val="left"/>
      <w:pPr>
        <w:tabs>
          <w:tab w:val="num" w:pos="5760"/>
        </w:tabs>
        <w:ind w:left="5760" w:hanging="360"/>
      </w:pPr>
      <w:rPr>
        <w:rFonts w:ascii="Wingdings" w:hAnsi="Wingdings" w:hint="default"/>
      </w:rPr>
    </w:lvl>
    <w:lvl w:ilvl="8" w:tplc="9FF867E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FA62A9"/>
    <w:multiLevelType w:val="hybridMultilevel"/>
    <w:tmpl w:val="59E0509E"/>
    <w:lvl w:ilvl="0" w:tplc="299A85E0">
      <w:start w:val="1"/>
      <w:numFmt w:val="decimal"/>
      <w:lvlText w:val="%1."/>
      <w:lvlJc w:val="left"/>
      <w:pPr>
        <w:ind w:left="1000" w:hanging="360"/>
      </w:pPr>
      <w:rPr>
        <w:rFonts w:hint="default"/>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6" w15:restartNumberingAfterBreak="0">
    <w:nsid w:val="710A5867"/>
    <w:multiLevelType w:val="hybridMultilevel"/>
    <w:tmpl w:val="7C344B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
  </w:num>
  <w:num w:numId="3">
    <w:abstractNumId w:val="6"/>
  </w:num>
  <w:num w:numId="4">
    <w:abstractNumId w:val="1"/>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M3NbI0NbY0MjEzNDBX0lEKTi0uzszPAykwqQUA36F7iCwAAAA="/>
  </w:docVars>
  <w:rsids>
    <w:rsidRoot w:val="000D5AFF"/>
    <w:rsid w:val="00014270"/>
    <w:rsid w:val="00015289"/>
    <w:rsid w:val="00017CAD"/>
    <w:rsid w:val="000432E1"/>
    <w:rsid w:val="000445FB"/>
    <w:rsid w:val="00046B64"/>
    <w:rsid w:val="0005790A"/>
    <w:rsid w:val="000622FE"/>
    <w:rsid w:val="000705F1"/>
    <w:rsid w:val="00083168"/>
    <w:rsid w:val="00091D7C"/>
    <w:rsid w:val="000C4CC4"/>
    <w:rsid w:val="000C4F0C"/>
    <w:rsid w:val="000D4447"/>
    <w:rsid w:val="000D5AFF"/>
    <w:rsid w:val="000E1F07"/>
    <w:rsid w:val="000E61C6"/>
    <w:rsid w:val="000E795C"/>
    <w:rsid w:val="000F75A6"/>
    <w:rsid w:val="0011364C"/>
    <w:rsid w:val="001410D0"/>
    <w:rsid w:val="00145FA3"/>
    <w:rsid w:val="00157B2D"/>
    <w:rsid w:val="00177C70"/>
    <w:rsid w:val="001811EE"/>
    <w:rsid w:val="00182546"/>
    <w:rsid w:val="00197FC5"/>
    <w:rsid w:val="001A499B"/>
    <w:rsid w:val="001C0208"/>
    <w:rsid w:val="001C34D1"/>
    <w:rsid w:val="001D2C41"/>
    <w:rsid w:val="001E0CD3"/>
    <w:rsid w:val="001E272B"/>
    <w:rsid w:val="0020354D"/>
    <w:rsid w:val="002204E7"/>
    <w:rsid w:val="002316C8"/>
    <w:rsid w:val="002437BE"/>
    <w:rsid w:val="00245065"/>
    <w:rsid w:val="0024636C"/>
    <w:rsid w:val="00260A38"/>
    <w:rsid w:val="0027254B"/>
    <w:rsid w:val="0027394C"/>
    <w:rsid w:val="002973C9"/>
    <w:rsid w:val="002A36E8"/>
    <w:rsid w:val="002A48B0"/>
    <w:rsid w:val="002C7CC3"/>
    <w:rsid w:val="002D31CF"/>
    <w:rsid w:val="002F3845"/>
    <w:rsid w:val="002F6A19"/>
    <w:rsid w:val="0033348F"/>
    <w:rsid w:val="00341110"/>
    <w:rsid w:val="00345F7A"/>
    <w:rsid w:val="00352536"/>
    <w:rsid w:val="00357B51"/>
    <w:rsid w:val="00364F54"/>
    <w:rsid w:val="00372EBD"/>
    <w:rsid w:val="00373C23"/>
    <w:rsid w:val="003A3B90"/>
    <w:rsid w:val="003C09EC"/>
    <w:rsid w:val="00431753"/>
    <w:rsid w:val="00462FA5"/>
    <w:rsid w:val="00471A81"/>
    <w:rsid w:val="00477AE7"/>
    <w:rsid w:val="00482687"/>
    <w:rsid w:val="00492FA3"/>
    <w:rsid w:val="004A7A2A"/>
    <w:rsid w:val="004D1FFD"/>
    <w:rsid w:val="004D2A88"/>
    <w:rsid w:val="004E5641"/>
    <w:rsid w:val="00505540"/>
    <w:rsid w:val="0056457B"/>
    <w:rsid w:val="0058134D"/>
    <w:rsid w:val="005A3EA9"/>
    <w:rsid w:val="005B5891"/>
    <w:rsid w:val="005C116A"/>
    <w:rsid w:val="005C568E"/>
    <w:rsid w:val="0060543C"/>
    <w:rsid w:val="00624850"/>
    <w:rsid w:val="006768F9"/>
    <w:rsid w:val="00677B2B"/>
    <w:rsid w:val="006A125C"/>
    <w:rsid w:val="006C3978"/>
    <w:rsid w:val="006F1735"/>
    <w:rsid w:val="00702106"/>
    <w:rsid w:val="00706382"/>
    <w:rsid w:val="00755415"/>
    <w:rsid w:val="00763D9E"/>
    <w:rsid w:val="00784721"/>
    <w:rsid w:val="00786888"/>
    <w:rsid w:val="00793FC6"/>
    <w:rsid w:val="007A0457"/>
    <w:rsid w:val="007B2AD9"/>
    <w:rsid w:val="007B4432"/>
    <w:rsid w:val="007B44C4"/>
    <w:rsid w:val="007C4CAC"/>
    <w:rsid w:val="007F1E92"/>
    <w:rsid w:val="007F4513"/>
    <w:rsid w:val="008002EF"/>
    <w:rsid w:val="0082051E"/>
    <w:rsid w:val="00820943"/>
    <w:rsid w:val="00827DF9"/>
    <w:rsid w:val="0085548F"/>
    <w:rsid w:val="00876533"/>
    <w:rsid w:val="00884A5F"/>
    <w:rsid w:val="008A60CA"/>
    <w:rsid w:val="008B4450"/>
    <w:rsid w:val="008C5C2D"/>
    <w:rsid w:val="008F723B"/>
    <w:rsid w:val="00906625"/>
    <w:rsid w:val="00907D37"/>
    <w:rsid w:val="0091149E"/>
    <w:rsid w:val="00915009"/>
    <w:rsid w:val="00920366"/>
    <w:rsid w:val="009241C5"/>
    <w:rsid w:val="009457C0"/>
    <w:rsid w:val="009B1BCE"/>
    <w:rsid w:val="009B7F6D"/>
    <w:rsid w:val="009E0CBF"/>
    <w:rsid w:val="009F1A71"/>
    <w:rsid w:val="00A074D0"/>
    <w:rsid w:val="00A07E85"/>
    <w:rsid w:val="00A10877"/>
    <w:rsid w:val="00A11FFA"/>
    <w:rsid w:val="00A12F70"/>
    <w:rsid w:val="00A27730"/>
    <w:rsid w:val="00A54B41"/>
    <w:rsid w:val="00A55975"/>
    <w:rsid w:val="00A64046"/>
    <w:rsid w:val="00A71EB9"/>
    <w:rsid w:val="00A87C8A"/>
    <w:rsid w:val="00A94CBC"/>
    <w:rsid w:val="00AE239D"/>
    <w:rsid w:val="00AE614B"/>
    <w:rsid w:val="00B04814"/>
    <w:rsid w:val="00B06697"/>
    <w:rsid w:val="00B20F83"/>
    <w:rsid w:val="00B2338E"/>
    <w:rsid w:val="00B31AB2"/>
    <w:rsid w:val="00B609AF"/>
    <w:rsid w:val="00B64946"/>
    <w:rsid w:val="00B751DD"/>
    <w:rsid w:val="00B90F97"/>
    <w:rsid w:val="00BA013B"/>
    <w:rsid w:val="00BA342E"/>
    <w:rsid w:val="00BC3849"/>
    <w:rsid w:val="00C261DE"/>
    <w:rsid w:val="00C3114B"/>
    <w:rsid w:val="00C32322"/>
    <w:rsid w:val="00C42C99"/>
    <w:rsid w:val="00C56084"/>
    <w:rsid w:val="00C93C59"/>
    <w:rsid w:val="00CA472E"/>
    <w:rsid w:val="00CD3A56"/>
    <w:rsid w:val="00CD4752"/>
    <w:rsid w:val="00CD5611"/>
    <w:rsid w:val="00CE16A4"/>
    <w:rsid w:val="00CF1519"/>
    <w:rsid w:val="00CF5167"/>
    <w:rsid w:val="00CF723D"/>
    <w:rsid w:val="00D52A26"/>
    <w:rsid w:val="00D95E47"/>
    <w:rsid w:val="00D96F6A"/>
    <w:rsid w:val="00DA0FB6"/>
    <w:rsid w:val="00DB524B"/>
    <w:rsid w:val="00DE3EEA"/>
    <w:rsid w:val="00DF22C0"/>
    <w:rsid w:val="00DF6F27"/>
    <w:rsid w:val="00E044C5"/>
    <w:rsid w:val="00E2643D"/>
    <w:rsid w:val="00E30991"/>
    <w:rsid w:val="00E57666"/>
    <w:rsid w:val="00E6249C"/>
    <w:rsid w:val="00E93FDA"/>
    <w:rsid w:val="00E941D9"/>
    <w:rsid w:val="00E9435D"/>
    <w:rsid w:val="00E95205"/>
    <w:rsid w:val="00EA39E2"/>
    <w:rsid w:val="00EA73CC"/>
    <w:rsid w:val="00EA7B51"/>
    <w:rsid w:val="00EB26B4"/>
    <w:rsid w:val="00F1104E"/>
    <w:rsid w:val="00F51757"/>
    <w:rsid w:val="00F53F44"/>
    <w:rsid w:val="00F57C80"/>
    <w:rsid w:val="00F74A4B"/>
    <w:rsid w:val="00F9242B"/>
    <w:rsid w:val="00FB3BDF"/>
    <w:rsid w:val="00FC009F"/>
    <w:rsid w:val="00FD1EC5"/>
    <w:rsid w:val="00FE4676"/>
    <w:rsid w:val="00FE7197"/>
    <w:rsid w:val="00FF0C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F62999"/>
  <w15:docId w15:val="{D6018A7F-E6EE-48D7-BB91-970DD538B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5AF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5AFF"/>
    <w:pPr>
      <w:ind w:leftChars="200" w:left="480"/>
    </w:pPr>
  </w:style>
  <w:style w:type="table" w:customStyle="1" w:styleId="1">
    <w:name w:val="表格格線1"/>
    <w:basedOn w:val="a1"/>
    <w:next w:val="a4"/>
    <w:uiPriority w:val="59"/>
    <w:rsid w:val="000D5A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0D5A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02">
    <w:name w:val="k02"/>
    <w:basedOn w:val="a"/>
    <w:rsid w:val="00E95205"/>
    <w:pPr>
      <w:tabs>
        <w:tab w:val="left" w:pos="960"/>
        <w:tab w:val="left" w:pos="1920"/>
        <w:tab w:val="left" w:pos="2880"/>
        <w:tab w:val="left" w:pos="3840"/>
        <w:tab w:val="left" w:pos="4800"/>
        <w:tab w:val="left" w:pos="5760"/>
      </w:tabs>
      <w:overflowPunct w:val="0"/>
      <w:autoSpaceDE w:val="0"/>
      <w:autoSpaceDN w:val="0"/>
      <w:adjustRightInd w:val="0"/>
      <w:snapToGrid w:val="0"/>
      <w:spacing w:line="450" w:lineRule="exact"/>
      <w:ind w:firstLine="567"/>
      <w:jc w:val="both"/>
      <w:textAlignment w:val="center"/>
    </w:pPr>
    <w:rPr>
      <w:rFonts w:ascii="Times New Roman" w:eastAsia="標楷體" w:hAnsi="Times New Roman" w:cs="Times New Roman"/>
      <w:kern w:val="0"/>
      <w:sz w:val="28"/>
      <w:szCs w:val="20"/>
    </w:rPr>
  </w:style>
  <w:style w:type="paragraph" w:styleId="a5">
    <w:name w:val="Balloon Text"/>
    <w:basedOn w:val="a"/>
    <w:link w:val="a6"/>
    <w:uiPriority w:val="99"/>
    <w:semiHidden/>
    <w:unhideWhenUsed/>
    <w:rsid w:val="00E95205"/>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E95205"/>
    <w:rPr>
      <w:rFonts w:asciiTheme="majorHAnsi" w:eastAsiaTheme="majorEastAsia" w:hAnsiTheme="majorHAnsi" w:cstheme="majorBidi"/>
      <w:sz w:val="18"/>
      <w:szCs w:val="18"/>
    </w:rPr>
  </w:style>
  <w:style w:type="paragraph" w:styleId="a7">
    <w:name w:val="header"/>
    <w:basedOn w:val="a"/>
    <w:link w:val="a8"/>
    <w:uiPriority w:val="99"/>
    <w:unhideWhenUsed/>
    <w:rsid w:val="00E6249C"/>
    <w:pPr>
      <w:tabs>
        <w:tab w:val="center" w:pos="4153"/>
        <w:tab w:val="right" w:pos="8306"/>
      </w:tabs>
      <w:snapToGrid w:val="0"/>
    </w:pPr>
    <w:rPr>
      <w:sz w:val="20"/>
      <w:szCs w:val="20"/>
    </w:rPr>
  </w:style>
  <w:style w:type="character" w:customStyle="1" w:styleId="a8">
    <w:name w:val="頁首 字元"/>
    <w:basedOn w:val="a0"/>
    <w:link w:val="a7"/>
    <w:uiPriority w:val="99"/>
    <w:rsid w:val="00E6249C"/>
    <w:rPr>
      <w:sz w:val="20"/>
      <w:szCs w:val="20"/>
    </w:rPr>
  </w:style>
  <w:style w:type="paragraph" w:styleId="a9">
    <w:name w:val="footer"/>
    <w:basedOn w:val="a"/>
    <w:link w:val="aa"/>
    <w:uiPriority w:val="99"/>
    <w:unhideWhenUsed/>
    <w:rsid w:val="00E6249C"/>
    <w:pPr>
      <w:tabs>
        <w:tab w:val="center" w:pos="4153"/>
        <w:tab w:val="right" w:pos="8306"/>
      </w:tabs>
      <w:snapToGrid w:val="0"/>
    </w:pPr>
    <w:rPr>
      <w:sz w:val="20"/>
      <w:szCs w:val="20"/>
    </w:rPr>
  </w:style>
  <w:style w:type="character" w:customStyle="1" w:styleId="aa">
    <w:name w:val="頁尾 字元"/>
    <w:basedOn w:val="a0"/>
    <w:link w:val="a9"/>
    <w:uiPriority w:val="99"/>
    <w:rsid w:val="00E6249C"/>
    <w:rPr>
      <w:sz w:val="20"/>
      <w:szCs w:val="20"/>
    </w:rPr>
  </w:style>
  <w:style w:type="paragraph" w:customStyle="1" w:styleId="k00t26">
    <w:name w:val="k00t26"/>
    <w:basedOn w:val="a"/>
    <w:uiPriority w:val="99"/>
    <w:rsid w:val="00B04814"/>
    <w:pPr>
      <w:tabs>
        <w:tab w:val="left" w:pos="960"/>
        <w:tab w:val="left" w:pos="1920"/>
        <w:tab w:val="left" w:pos="2880"/>
        <w:tab w:val="left" w:pos="3840"/>
        <w:tab w:val="left" w:pos="4800"/>
        <w:tab w:val="left" w:pos="5760"/>
      </w:tabs>
      <w:autoSpaceDE w:val="0"/>
      <w:autoSpaceDN w:val="0"/>
      <w:adjustRightInd w:val="0"/>
      <w:spacing w:before="240" w:after="480" w:line="560" w:lineRule="exact"/>
      <w:jc w:val="center"/>
      <w:textAlignment w:val="baseline"/>
    </w:pPr>
    <w:rPr>
      <w:rFonts w:ascii="Times New Roman" w:eastAsia="文鼎粗魏碑" w:hAnsi="Times New Roman" w:cs="Times New Roman"/>
      <w:kern w:val="0"/>
      <w:sz w:val="52"/>
      <w:szCs w:val="20"/>
    </w:rPr>
  </w:style>
  <w:style w:type="character" w:styleId="ab">
    <w:name w:val="Hyperlink"/>
    <w:basedOn w:val="a0"/>
    <w:uiPriority w:val="99"/>
    <w:unhideWhenUsed/>
    <w:rsid w:val="001E0CD3"/>
    <w:rPr>
      <w:color w:val="0000FF" w:themeColor="hyperlink"/>
      <w:u w:val="single"/>
    </w:rPr>
  </w:style>
  <w:style w:type="character" w:styleId="ac">
    <w:name w:val="Unresolved Mention"/>
    <w:basedOn w:val="a0"/>
    <w:uiPriority w:val="99"/>
    <w:semiHidden/>
    <w:unhideWhenUsed/>
    <w:rsid w:val="001E0CD3"/>
    <w:rPr>
      <w:color w:val="605E5C"/>
      <w:shd w:val="clear" w:color="auto" w:fill="E1DFDD"/>
    </w:rPr>
  </w:style>
  <w:style w:type="character" w:styleId="ad">
    <w:name w:val="annotation reference"/>
    <w:basedOn w:val="a0"/>
    <w:uiPriority w:val="99"/>
    <w:semiHidden/>
    <w:unhideWhenUsed/>
    <w:rsid w:val="000432E1"/>
    <w:rPr>
      <w:sz w:val="18"/>
      <w:szCs w:val="18"/>
    </w:rPr>
  </w:style>
  <w:style w:type="paragraph" w:styleId="ae">
    <w:name w:val="annotation text"/>
    <w:basedOn w:val="a"/>
    <w:link w:val="af"/>
    <w:uiPriority w:val="99"/>
    <w:semiHidden/>
    <w:unhideWhenUsed/>
    <w:rsid w:val="000432E1"/>
  </w:style>
  <w:style w:type="character" w:customStyle="1" w:styleId="af">
    <w:name w:val="註解文字 字元"/>
    <w:basedOn w:val="a0"/>
    <w:link w:val="ae"/>
    <w:uiPriority w:val="99"/>
    <w:semiHidden/>
    <w:rsid w:val="000432E1"/>
  </w:style>
  <w:style w:type="paragraph" w:styleId="af0">
    <w:name w:val="annotation subject"/>
    <w:basedOn w:val="ae"/>
    <w:next w:val="ae"/>
    <w:link w:val="af1"/>
    <w:uiPriority w:val="99"/>
    <w:semiHidden/>
    <w:unhideWhenUsed/>
    <w:rsid w:val="000432E1"/>
    <w:rPr>
      <w:b/>
      <w:bCs/>
    </w:rPr>
  </w:style>
  <w:style w:type="character" w:customStyle="1" w:styleId="af1">
    <w:name w:val="註解主旨 字元"/>
    <w:basedOn w:val="af"/>
    <w:link w:val="af0"/>
    <w:uiPriority w:val="99"/>
    <w:semiHidden/>
    <w:rsid w:val="000432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98893">
      <w:bodyDiv w:val="1"/>
      <w:marLeft w:val="0"/>
      <w:marRight w:val="0"/>
      <w:marTop w:val="0"/>
      <w:marBottom w:val="0"/>
      <w:divBdr>
        <w:top w:val="none" w:sz="0" w:space="0" w:color="auto"/>
        <w:left w:val="none" w:sz="0" w:space="0" w:color="auto"/>
        <w:bottom w:val="none" w:sz="0" w:space="0" w:color="auto"/>
        <w:right w:val="none" w:sz="0" w:space="0" w:color="auto"/>
      </w:divBdr>
    </w:div>
    <w:div w:id="777335551">
      <w:bodyDiv w:val="1"/>
      <w:marLeft w:val="0"/>
      <w:marRight w:val="0"/>
      <w:marTop w:val="0"/>
      <w:marBottom w:val="0"/>
      <w:divBdr>
        <w:top w:val="none" w:sz="0" w:space="0" w:color="auto"/>
        <w:left w:val="none" w:sz="0" w:space="0" w:color="auto"/>
        <w:bottom w:val="none" w:sz="0" w:space="0" w:color="auto"/>
        <w:right w:val="none" w:sz="0" w:space="0" w:color="auto"/>
      </w:divBdr>
    </w:div>
    <w:div w:id="929578385">
      <w:bodyDiv w:val="1"/>
      <w:marLeft w:val="0"/>
      <w:marRight w:val="0"/>
      <w:marTop w:val="0"/>
      <w:marBottom w:val="0"/>
      <w:divBdr>
        <w:top w:val="none" w:sz="0" w:space="0" w:color="auto"/>
        <w:left w:val="none" w:sz="0" w:space="0" w:color="auto"/>
        <w:bottom w:val="none" w:sz="0" w:space="0" w:color="auto"/>
        <w:right w:val="none" w:sz="0" w:space="0" w:color="auto"/>
      </w:divBdr>
      <w:divsChild>
        <w:div w:id="527186656">
          <w:marLeft w:val="547"/>
          <w:marRight w:val="0"/>
          <w:marTop w:val="0"/>
          <w:marBottom w:val="0"/>
          <w:divBdr>
            <w:top w:val="none" w:sz="0" w:space="0" w:color="auto"/>
            <w:left w:val="none" w:sz="0" w:space="0" w:color="auto"/>
            <w:bottom w:val="none" w:sz="0" w:space="0" w:color="auto"/>
            <w:right w:val="none" w:sz="0" w:space="0" w:color="auto"/>
          </w:divBdr>
        </w:div>
      </w:divsChild>
    </w:div>
    <w:div w:id="133005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1981D-F82C-4617-A998-43D6A567C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Pages>
  <Words>1270</Words>
  <Characters>7245</Characters>
  <Application>Microsoft Office Word</Application>
  <DocSecurity>0</DocSecurity>
  <Lines>60</Lines>
  <Paragraphs>16</Paragraphs>
  <ScaleCrop>false</ScaleCrop>
  <Company/>
  <LinksUpToDate>false</LinksUpToDate>
  <CharactersWithSpaces>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王濟蕙</dc:creator>
  <cp:lastModifiedBy>戴劭芩</cp:lastModifiedBy>
  <cp:revision>13</cp:revision>
  <cp:lastPrinted>2022-12-28T06:14:00Z</cp:lastPrinted>
  <dcterms:created xsi:type="dcterms:W3CDTF">2023-01-03T07:27:00Z</dcterms:created>
  <dcterms:modified xsi:type="dcterms:W3CDTF">2023-01-04T07:02:00Z</dcterms:modified>
</cp:coreProperties>
</file>