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46B9" w14:textId="77777777" w:rsidR="00426A7E" w:rsidRPr="00545B8D" w:rsidRDefault="00426A7E" w:rsidP="00426A7E">
      <w:pPr>
        <w:spacing w:line="500" w:lineRule="exact"/>
        <w:rPr>
          <w:rFonts w:asciiTheme="minorEastAsia" w:hAnsiTheme="minorEastAsia"/>
          <w:b/>
          <w:sz w:val="22"/>
        </w:rPr>
      </w:pPr>
      <w:r w:rsidRPr="00545B8D">
        <w:rPr>
          <w:rFonts w:asciiTheme="minorEastAsia" w:hAnsiTheme="minorEastAsia" w:cs="Times New Roman"/>
          <w:noProof/>
          <w:sz w:val="22"/>
        </w:rPr>
        <w:drawing>
          <wp:inline distT="0" distB="0" distL="0" distR="0" wp14:anchorId="4282A002" wp14:editId="28414465">
            <wp:extent cx="1132609" cy="226097"/>
            <wp:effectExtent l="0" t="0" r="0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24869" w14:textId="52C93BDA" w:rsidR="00861F17" w:rsidRPr="004312B8" w:rsidRDefault="00861F17" w:rsidP="00861F17">
      <w:pPr>
        <w:tabs>
          <w:tab w:val="left" w:pos="68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napToGrid w:val="0"/>
        <w:spacing w:beforeLines="50" w:before="180" w:line="0" w:lineRule="atLeast"/>
        <w:ind w:rightChars="-58" w:right="-139"/>
        <w:jc w:val="center"/>
        <w:textAlignment w:val="center"/>
        <w:rPr>
          <w:rFonts w:ascii="Times New Roman" w:hAnsi="Times New Roman" w:cs="Times New Roman"/>
          <w:b/>
          <w:color w:val="000000" w:themeColor="text1"/>
          <w:kern w:val="0"/>
          <w:sz w:val="28"/>
          <w:szCs w:val="28"/>
          <w:lang w:bidi="ta-IN"/>
        </w:rPr>
      </w:pPr>
      <w:r w:rsidRPr="004312B8">
        <w:rPr>
          <w:rFonts w:ascii="Times New Roman" w:hAnsi="Times New Roman" w:cs="Times New Roman"/>
          <w:b/>
          <w:color w:val="000000" w:themeColor="text1"/>
          <w:kern w:val="0"/>
          <w:sz w:val="28"/>
          <w:szCs w:val="28"/>
          <w:lang w:bidi="ta-IN"/>
        </w:rPr>
        <w:t>National Development Council Press Release</w:t>
      </w:r>
    </w:p>
    <w:p w14:paraId="147FD89B" w14:textId="609473EA" w:rsidR="00861F17" w:rsidRPr="004312B8" w:rsidRDefault="00861F17" w:rsidP="00861F17">
      <w:pPr>
        <w:tabs>
          <w:tab w:val="left" w:pos="68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napToGrid w:val="0"/>
        <w:spacing w:beforeLines="50" w:before="180" w:line="0" w:lineRule="atLeast"/>
        <w:ind w:rightChars="-58" w:right="-139"/>
        <w:jc w:val="center"/>
        <w:textAlignment w:val="center"/>
        <w:rPr>
          <w:rFonts w:ascii="Times New Roman" w:hAnsi="Times New Roman" w:cs="Times New Roman"/>
          <w:b/>
          <w:color w:val="000000" w:themeColor="text1"/>
          <w:kern w:val="0"/>
          <w:sz w:val="28"/>
          <w:szCs w:val="28"/>
          <w:shd w:val="pct15" w:color="auto" w:fill="FFFFFF"/>
          <w:lang w:bidi="ta-IN"/>
        </w:rPr>
      </w:pPr>
      <w:r w:rsidRPr="004312B8">
        <w:rPr>
          <w:rFonts w:ascii="Times New Roman" w:hAnsi="Times New Roman" w:cs="Times New Roman"/>
          <w:b/>
          <w:color w:val="000000" w:themeColor="text1"/>
          <w:kern w:val="0"/>
          <w:sz w:val="28"/>
          <w:szCs w:val="28"/>
          <w:lang w:bidi="ta-IN"/>
        </w:rPr>
        <w:t xml:space="preserve">Taiwan and Europe look </w:t>
      </w:r>
      <w:r w:rsidR="00841958" w:rsidRPr="004312B8">
        <w:rPr>
          <w:rFonts w:ascii="Times New Roman" w:hAnsi="Times New Roman" w:cs="Times New Roman"/>
          <w:b/>
          <w:color w:val="000000" w:themeColor="text1"/>
          <w:kern w:val="0"/>
          <w:sz w:val="28"/>
          <w:szCs w:val="28"/>
          <w:lang w:bidi="ta-IN"/>
        </w:rPr>
        <w:t xml:space="preserve">to grasp </w:t>
      </w:r>
      <w:r w:rsidRPr="004312B8">
        <w:rPr>
          <w:rFonts w:ascii="Times New Roman" w:hAnsi="Times New Roman" w:cs="Times New Roman"/>
          <w:b/>
          <w:color w:val="000000" w:themeColor="text1"/>
          <w:kern w:val="0"/>
          <w:sz w:val="28"/>
          <w:szCs w:val="28"/>
          <w:lang w:bidi="ta-IN"/>
        </w:rPr>
        <w:t>opportunities for trans</w:t>
      </w:r>
      <w:r w:rsidR="00571BF9" w:rsidRPr="004312B8">
        <w:rPr>
          <w:rFonts w:ascii="Times New Roman" w:hAnsi="Times New Roman" w:cs="Times New Roman"/>
          <w:b/>
          <w:color w:val="000000" w:themeColor="text1"/>
          <w:kern w:val="0"/>
          <w:sz w:val="28"/>
          <w:szCs w:val="28"/>
          <w:lang w:bidi="ta-IN"/>
        </w:rPr>
        <w:t>form</w:t>
      </w:r>
      <w:r w:rsidRPr="004312B8">
        <w:rPr>
          <w:rFonts w:ascii="Times New Roman" w:hAnsi="Times New Roman" w:cs="Times New Roman"/>
          <w:b/>
          <w:color w:val="000000" w:themeColor="text1"/>
          <w:kern w:val="0"/>
          <w:sz w:val="28"/>
          <w:szCs w:val="28"/>
          <w:lang w:bidi="ta-IN"/>
        </w:rPr>
        <w:t xml:space="preserve">ation </w:t>
      </w:r>
      <w:r w:rsidR="00AF04F3" w:rsidRPr="004312B8">
        <w:rPr>
          <w:rFonts w:ascii="Times New Roman" w:hAnsi="Times New Roman" w:cs="Times New Roman"/>
          <w:b/>
          <w:color w:val="000000" w:themeColor="text1"/>
          <w:kern w:val="0"/>
          <w:sz w:val="28"/>
          <w:szCs w:val="28"/>
          <w:lang w:bidi="ta-IN"/>
        </w:rPr>
        <w:t xml:space="preserve">together </w:t>
      </w:r>
      <w:r w:rsidRPr="004312B8">
        <w:rPr>
          <w:rFonts w:ascii="Times New Roman" w:hAnsi="Times New Roman" w:cs="Times New Roman"/>
          <w:b/>
          <w:color w:val="000000" w:themeColor="text1"/>
          <w:kern w:val="0"/>
          <w:sz w:val="28"/>
          <w:szCs w:val="28"/>
          <w:lang w:bidi="ta-IN"/>
        </w:rPr>
        <w:t xml:space="preserve">in an unstable world </w:t>
      </w:r>
    </w:p>
    <w:p w14:paraId="56EBCD80" w14:textId="77777777" w:rsidR="004312B8" w:rsidRDefault="004312B8" w:rsidP="00861F17">
      <w:pPr>
        <w:tabs>
          <w:tab w:val="left" w:pos="68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napToGrid w:val="0"/>
        <w:spacing w:line="0" w:lineRule="atLeast"/>
        <w:textAlignment w:val="center"/>
        <w:rPr>
          <w:rFonts w:ascii="Times New Roman" w:hAnsi="Times New Roman" w:cs="Times New Roman"/>
          <w:color w:val="000000" w:themeColor="text1"/>
          <w:kern w:val="0"/>
          <w:sz w:val="22"/>
        </w:rPr>
      </w:pPr>
    </w:p>
    <w:p w14:paraId="66EFE918" w14:textId="4543D915" w:rsidR="00861F17" w:rsidRPr="00841958" w:rsidRDefault="00861F17" w:rsidP="00861F17">
      <w:pPr>
        <w:tabs>
          <w:tab w:val="left" w:pos="68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napToGrid w:val="0"/>
        <w:spacing w:line="0" w:lineRule="atLeast"/>
        <w:textAlignment w:val="center"/>
        <w:rPr>
          <w:rFonts w:ascii="Times New Roman" w:hAnsi="Times New Roman" w:cs="Times New Roman"/>
          <w:color w:val="000000" w:themeColor="text1"/>
          <w:kern w:val="0"/>
          <w:sz w:val="22"/>
        </w:rPr>
      </w:pPr>
      <w:r w:rsidRPr="00841958">
        <w:rPr>
          <w:rFonts w:ascii="Times New Roman" w:hAnsi="Times New Roman" w:cs="Times New Roman"/>
          <w:color w:val="000000" w:themeColor="text1"/>
          <w:kern w:val="0"/>
          <w:sz w:val="22"/>
        </w:rPr>
        <w:t>Issue date: November 25, 2022</w:t>
      </w:r>
    </w:p>
    <w:p w14:paraId="1F4FBC56" w14:textId="3ACE1924" w:rsidR="00861F17" w:rsidRPr="00841958" w:rsidRDefault="00861F17" w:rsidP="00861F17">
      <w:pPr>
        <w:tabs>
          <w:tab w:val="left" w:pos="68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napToGrid w:val="0"/>
        <w:spacing w:line="0" w:lineRule="atLeast"/>
        <w:textAlignment w:val="center"/>
        <w:rPr>
          <w:rFonts w:ascii="Times New Roman" w:hAnsi="Times New Roman" w:cs="Times New Roman"/>
          <w:color w:val="000000" w:themeColor="text1"/>
          <w:kern w:val="0"/>
          <w:sz w:val="22"/>
        </w:rPr>
      </w:pPr>
      <w:r w:rsidRPr="004312B8">
        <w:rPr>
          <w:rFonts w:ascii="Times New Roman" w:hAnsi="Times New Roman" w:cs="Times New Roman"/>
          <w:color w:val="000000" w:themeColor="text1"/>
          <w:kern w:val="0"/>
          <w:sz w:val="22"/>
        </w:rPr>
        <w:t>Issuing unit:</w:t>
      </w:r>
      <w:r w:rsidR="00691380" w:rsidRPr="004312B8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</w:t>
      </w:r>
      <w:r w:rsidRPr="004312B8">
        <w:rPr>
          <w:rFonts w:ascii="Times New Roman" w:hAnsi="Times New Roman" w:cs="Times New Roman"/>
          <w:color w:val="000000" w:themeColor="text1"/>
          <w:kern w:val="0"/>
          <w:sz w:val="22"/>
        </w:rPr>
        <w:t>Department of Regulatory Reform</w:t>
      </w:r>
    </w:p>
    <w:p w14:paraId="776EDA5D" w14:textId="3D6DB0C7" w:rsidR="0028511D" w:rsidRPr="004312B8" w:rsidRDefault="0028511D" w:rsidP="0028511D">
      <w:pPr>
        <w:tabs>
          <w:tab w:val="left" w:pos="68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napToGrid w:val="0"/>
        <w:spacing w:beforeLines="50" w:before="180"/>
        <w:ind w:rightChars="-58" w:right="-139"/>
        <w:jc w:val="both"/>
        <w:textAlignment w:val="center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bidi="ta-IN"/>
        </w:rPr>
      </w:pPr>
      <w:r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ab/>
      </w:r>
      <w:r w:rsidR="00571BF9" w:rsidRPr="004312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National Development Council (NDC) Deputy Minister </w:t>
      </w:r>
      <w:r w:rsidRPr="004312B8">
        <w:rPr>
          <w:rStyle w:val="af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Kao</w:t>
      </w:r>
      <w:r w:rsidRPr="004312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71BF9" w:rsidRPr="004312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Shien-</w:t>
      </w:r>
      <w:proofErr w:type="spellStart"/>
      <w:r w:rsidR="00571BF9" w:rsidRPr="004312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quey</w:t>
      </w:r>
      <w:proofErr w:type="spellEnd"/>
      <w:r w:rsidR="008B2F5F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1F17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attended the </w:t>
      </w:r>
      <w:r w:rsidR="00EC3766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presentation meeting </w:t>
      </w:r>
      <w:r w:rsidR="00861F17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of the </w:t>
      </w:r>
      <w:r w:rsidR="00861F17" w:rsidRPr="004312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European Chamber of Commerce Taiwan 2023 Position Papers and accepted </w:t>
      </w:r>
      <w:r w:rsidR="00841958" w:rsidRPr="004312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them </w:t>
      </w:r>
      <w:r w:rsidR="00861F17" w:rsidRPr="004312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on behalf of the government</w:t>
      </w:r>
      <w:r w:rsidR="008B2F5F" w:rsidRPr="004312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on November 25, 2022</w:t>
      </w:r>
      <w:r w:rsidR="00861F17" w:rsidRPr="004312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In her speech, she </w:t>
      </w:r>
      <w:r w:rsidR="00571BF9" w:rsidRPr="004312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thanked</w:t>
      </w:r>
      <w:r w:rsidR="00861F17" w:rsidRPr="004312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</w:t>
      </w:r>
      <w:r w:rsidRPr="004312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European Chamber of Commerce Taiwan</w:t>
      </w:r>
      <w:r w:rsidR="00861F17" w:rsidRPr="004312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312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861F17" w:rsidRPr="004312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ECCT</w:t>
      </w:r>
      <w:r w:rsidRPr="004312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861F17" w:rsidRPr="004312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for working to promote bilateral relations over a long period </w:t>
      </w:r>
      <w:r w:rsidR="00841958" w:rsidRPr="004312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of time </w:t>
      </w:r>
      <w:r w:rsidR="00861F17" w:rsidRPr="004312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and said that, at a time of increased geo-</w:t>
      </w:r>
      <w:r w:rsidR="00571BF9" w:rsidRPr="004312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political</w:t>
      </w:r>
      <w:r w:rsidR="00861F17" w:rsidRPr="004312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risk, Taiwan has been deeply </w:t>
      </w:r>
      <w:r w:rsidR="00571BF9" w:rsidRPr="004312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encouraged</w:t>
      </w:r>
      <w:r w:rsidR="00861F17" w:rsidRPr="004312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by the </w:t>
      </w:r>
      <w:r w:rsidR="00841958" w:rsidRPr="004312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positive </w:t>
      </w:r>
      <w:r w:rsidR="00861F17" w:rsidRPr="004312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expression of support for </w:t>
      </w:r>
      <w:r w:rsidR="00571BF9" w:rsidRPr="004312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Taiwan</w:t>
      </w:r>
      <w:r w:rsidR="00861F17" w:rsidRPr="004312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of the European Parliament and </w:t>
      </w:r>
      <w:r w:rsidR="00571BF9" w:rsidRPr="004312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visits</w:t>
      </w:r>
      <w:r w:rsidR="00861F17" w:rsidRPr="004312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by various </w:t>
      </w:r>
      <w:proofErr w:type="gramStart"/>
      <w:r w:rsidR="00861F17" w:rsidRPr="004312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high level</w:t>
      </w:r>
      <w:proofErr w:type="gramEnd"/>
      <w:r w:rsidR="00861F17" w:rsidRPr="004312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offic</w:t>
      </w:r>
      <w:r w:rsidR="00571BF9" w:rsidRPr="004312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ials</w:t>
      </w:r>
      <w:r w:rsidR="00861F17" w:rsidRPr="004312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In her </w:t>
      </w:r>
      <w:r w:rsidR="00571BF9" w:rsidRPr="004312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New</w:t>
      </w:r>
      <w:r w:rsidR="00861F17" w:rsidRPr="004312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Year’s Day speech this year, President Tsai </w:t>
      </w:r>
      <w:r w:rsidR="00841958" w:rsidRPr="004312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unveil</w:t>
      </w:r>
      <w:r w:rsidR="00861F17" w:rsidRPr="004312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ed the </w:t>
      </w:r>
      <w:r w:rsidR="00571BF9" w:rsidRPr="004312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Plan to Strengthen </w:t>
      </w:r>
      <w:r w:rsidRPr="004312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tie</w:t>
      </w:r>
      <w:r w:rsidR="00571BF9" w:rsidRPr="004312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 with Europe</w:t>
      </w:r>
      <w:r w:rsidR="00861F17" w:rsidRPr="004312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and </w:t>
      </w:r>
      <w:r w:rsidR="00571BF9" w:rsidRPr="004312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the administrative team </w:t>
      </w:r>
      <w:r w:rsidR="00861F17" w:rsidRPr="004312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put forward a US$1.2 billion </w:t>
      </w:r>
      <w:r w:rsidR="00571BF9" w:rsidRPr="004312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Eastern</w:t>
      </w:r>
      <w:r w:rsidR="00861F17" w:rsidRPr="004312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Europe Investment and Finance Fund, </w:t>
      </w:r>
      <w:r w:rsidR="00571BF9" w:rsidRPr="004312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showing</w:t>
      </w:r>
      <w:r w:rsidR="00861F17" w:rsidRPr="004312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that Taiwan-Europe trade and economic relations are moving towards a new milestone</w:t>
      </w:r>
      <w:r w:rsidR="00571BF9" w:rsidRPr="004312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292C9C3C" w14:textId="77777777" w:rsidR="00F86C64" w:rsidRPr="004312B8" w:rsidRDefault="004E6323" w:rsidP="00F86C64">
      <w:pPr>
        <w:tabs>
          <w:tab w:val="left" w:pos="68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napToGrid w:val="0"/>
        <w:spacing w:beforeLines="50" w:before="180"/>
        <w:ind w:rightChars="-58" w:right="-139"/>
        <w:jc w:val="both"/>
        <w:textAlignment w:val="center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bidi="ta-IN"/>
        </w:rPr>
      </w:pPr>
      <w:r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ECCT Position </w:t>
      </w:r>
      <w:r w:rsidR="00841958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>apers this year ha</w:t>
      </w:r>
      <w:r w:rsidR="00841958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>ve</w:t>
      </w:r>
      <w:r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theme of “</w:t>
      </w:r>
      <w:r w:rsidRPr="004312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Recognizing Taiwan’s Success - Seizing Opportunities in the Changing World Order</w:t>
      </w:r>
      <w:r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41958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putting forward suggestions with regard</w:t>
      </w:r>
      <w:r w:rsidR="0028511D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>energy transformation, technology innovation</w:t>
      </w:r>
      <w:r w:rsidR="00841958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industry and other aspects, expressing willingness to grasp opportunities amidst the changing situation together with </w:t>
      </w:r>
      <w:r w:rsidR="005B59FE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>Taiwan. Minister</w:t>
      </w:r>
      <w:r w:rsidR="008E07D9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Kao pointed out, facing the new </w:t>
      </w:r>
      <w:r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8E07D9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ost-pandemic </w:t>
      </w:r>
      <w:r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>situation</w:t>
      </w:r>
      <w:r w:rsidR="008E07D9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>globally</w:t>
      </w:r>
      <w:r w:rsidR="008E07D9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>, the government is actively promoting the dual trans</w:t>
      </w:r>
      <w:r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>formations</w:t>
      </w:r>
      <w:r w:rsidR="008E07D9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of “net zero” and “digital”</w:t>
      </w:r>
      <w:r w:rsidR="00841958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07D9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and </w:t>
      </w:r>
      <w:r w:rsidR="00841958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is </w:t>
      </w:r>
      <w:r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>buil</w:t>
      </w:r>
      <w:r w:rsidR="00841958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>ding</w:t>
      </w:r>
      <w:r w:rsidR="0028511D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07D9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>resilient global supply chains with the EU and other allies</w:t>
      </w:r>
      <w:r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>. ECCT’s suggestions match the main policy themes at present</w:t>
      </w:r>
      <w:r w:rsidR="00841958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>, she said</w:t>
      </w:r>
      <w:r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4577B6C" w14:textId="7C340D49" w:rsidR="004E6323" w:rsidRPr="004312B8" w:rsidRDefault="004E6323" w:rsidP="00F86C64">
      <w:pPr>
        <w:tabs>
          <w:tab w:val="left" w:pos="68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 w:val="0"/>
        <w:snapToGrid w:val="0"/>
        <w:spacing w:beforeLines="50" w:before="180"/>
        <w:ind w:rightChars="-58" w:right="-139"/>
        <w:jc w:val="both"/>
        <w:textAlignment w:val="center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bidi="ta-IN"/>
        </w:rPr>
      </w:pPr>
      <w:r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>In th</w:t>
      </w:r>
      <w:r w:rsidR="00193D26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3D26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>are</w:t>
      </w:r>
      <w:r w:rsidR="005B59FE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of net zero, energy transformation is the government’s most important task. Taiwan </w:t>
      </w:r>
      <w:r w:rsidR="0028511D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officially </w:t>
      </w:r>
      <w:r w:rsidR="005B59FE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announced </w:t>
      </w:r>
      <w:r w:rsidR="0028511D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>“Taiwan's Pathway to Net-Zero Emissions in 2050”</w:t>
      </w:r>
      <w:r w:rsidR="005B59FE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setting stage milestones</w:t>
      </w:r>
      <w:r w:rsidR="00841958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March this year</w:t>
      </w:r>
      <w:r w:rsidR="005B59FE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and, at year end, will put forward the concrete execution plan of the 12 Key Strategies</w:t>
      </w:r>
      <w:r w:rsidR="00841958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B59FE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covering issues of concern to ECCT such as wind power, photovoltaic power and other renewable energy</w:t>
      </w:r>
      <w:r w:rsidR="00841958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B59FE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energy storage, power systems and vehicle electrification. Deputy Minster Kao said that the government has allocated a net zero related budget of NT$ 68.2 billion next year; the 10-year 564.5 billion </w:t>
      </w:r>
      <w:r w:rsidR="00CB6C17" w:rsidRPr="004312B8">
        <w:rPr>
          <w:rFonts w:ascii="Times New Roman" w:hAnsi="Times New Roman" w:cs="Times New Roman"/>
          <w:sz w:val="28"/>
          <w:szCs w:val="28"/>
        </w:rPr>
        <w:t>“</w:t>
      </w:r>
      <w:r w:rsidR="005B59FE" w:rsidRPr="004312B8">
        <w:rPr>
          <w:rFonts w:ascii="Times New Roman" w:hAnsi="Times New Roman" w:cs="Times New Roman" w:hint="eastAsia"/>
          <w:sz w:val="28"/>
          <w:szCs w:val="28"/>
        </w:rPr>
        <w:t>C</w:t>
      </w:r>
      <w:r w:rsidR="005B59FE" w:rsidRPr="004312B8">
        <w:rPr>
          <w:rFonts w:ascii="Times New Roman" w:hAnsi="Times New Roman" w:cs="Times New Roman"/>
          <w:sz w:val="28"/>
          <w:szCs w:val="28"/>
        </w:rPr>
        <w:t>onstruction Plan for Strengthening Grid Resilience</w:t>
      </w:r>
      <w:r w:rsidR="00CB6C17" w:rsidRPr="004312B8">
        <w:rPr>
          <w:rFonts w:ascii="Times New Roman" w:hAnsi="Times New Roman" w:cs="Times New Roman"/>
          <w:sz w:val="28"/>
          <w:szCs w:val="28"/>
        </w:rPr>
        <w:t>”</w:t>
      </w:r>
      <w:r w:rsidR="005B59FE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has also been officially launched. She thanked European companies for their involvement in renewable energy in Taiwan and </w:t>
      </w:r>
      <w:r w:rsidR="00EC3766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>exhor</w:t>
      </w:r>
      <w:r w:rsidR="005B59FE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>ted European companies to continue to take part in Taiwan’s energy related construction to take advantage of Taiwan’s green transformation business opportunities.</w:t>
      </w:r>
      <w:r w:rsidR="0028511D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4E8919B" w14:textId="477E0DBC" w:rsidR="00CB6C17" w:rsidRPr="004312B8" w:rsidRDefault="005372B9" w:rsidP="0028511D">
      <w:pPr>
        <w:tabs>
          <w:tab w:val="left" w:pos="4253"/>
        </w:tabs>
        <w:snapToGrid w:val="0"/>
        <w:spacing w:beforeLines="100" w:before="360" w:afterLines="50" w:after="1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In the area of promoting digital transformation to activate next-generation Taiwan industry, Deputy Minister Kao said that the </w:t>
      </w:r>
      <w:r w:rsidR="00CB6C17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>Six Core Strategic Industries</w:t>
      </w:r>
      <w:r w:rsidR="00CB6C17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are being actively promoted by the government on the foundation of the 5</w:t>
      </w:r>
      <w:r w:rsidR="00CB6C17" w:rsidRPr="004312B8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+</w:t>
      </w:r>
      <w:r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Pr="004312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Industr</w:t>
      </w:r>
      <w:r w:rsidR="00CB6C17" w:rsidRPr="004312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ial</w:t>
      </w:r>
      <w:r w:rsidRPr="004312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Innovation Plan</w:t>
      </w:r>
      <w:r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>. To continue consolidating the competitive advantage of the semi-conductor industry, the Executive Yuan</w:t>
      </w:r>
      <w:r w:rsidR="0028511D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>has put forward an amendment to Article 10-2 of the Statue for Industrial Innovation; in addition,</w:t>
      </w:r>
      <w:r w:rsidR="0028511D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>innovative technology such as AI and 5G will be used to</w:t>
      </w:r>
      <w:r w:rsidR="0028511D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>drive digital transformation of finance, traditional manufacturing and service industries</w:t>
      </w:r>
      <w:r w:rsidR="00EC3766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other industries. A</w:t>
      </w:r>
      <w:r w:rsidR="00841958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for the issues of talent recruitment</w:t>
      </w:r>
      <w:r w:rsidR="00EC3766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bilingual </w:t>
      </w:r>
      <w:r w:rsidR="00841958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policy </w:t>
      </w:r>
      <w:r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and other issues of concern to ECCT, </w:t>
      </w:r>
      <w:r w:rsidR="00841958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they are being </w:t>
      </w:r>
      <w:r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>actively promot</w:t>
      </w:r>
      <w:r w:rsidR="00841958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>ed by each ministry</w:t>
      </w:r>
      <w:r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Taking professional talent recruitment as an example, the NDC has established the Employment </w:t>
      </w:r>
      <w:r w:rsidR="00CB6C17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>Gold Card Office</w:t>
      </w:r>
      <w:r w:rsidR="00CB6C17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that provides integrated service</w:t>
      </w:r>
      <w:r w:rsidR="00841958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from work to life to international talent; to date there are almost 6</w:t>
      </w:r>
      <w:r w:rsidR="00CB6C17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>200 valid Employment Gold Cards.</w:t>
      </w:r>
    </w:p>
    <w:p w14:paraId="5E79F405" w14:textId="3BA49B5A" w:rsidR="00B448CD" w:rsidRPr="004312B8" w:rsidRDefault="00B448CD" w:rsidP="0028511D">
      <w:pPr>
        <w:tabs>
          <w:tab w:val="left" w:pos="4253"/>
        </w:tabs>
        <w:snapToGrid w:val="0"/>
        <w:spacing w:beforeLines="100" w:before="360" w:afterLines="50" w:after="1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>In terms of resilience of supply chains, Deputy Minster Kao echoed ECCT</w:t>
      </w:r>
      <w:r w:rsidR="00EC3766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>’s Position Papers</w:t>
      </w:r>
      <w:r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372B9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>saying</w:t>
      </w:r>
      <w:r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that many countries are restructuring supply chains in the face of the </w:t>
      </w:r>
      <w:r w:rsidR="005372B9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>challenges</w:t>
      </w:r>
      <w:r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of the current situation and </w:t>
      </w:r>
      <w:r w:rsidR="005372B9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>that</w:t>
      </w:r>
      <w:r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Taiwan has </w:t>
      </w:r>
      <w:r w:rsidR="005372B9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>advantages</w:t>
      </w:r>
      <w:r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semi-conductors and ITC and shares the ideas of </w:t>
      </w:r>
      <w:r w:rsidR="005372B9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>democracy</w:t>
      </w:r>
      <w:r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rule of law with the EU, making</w:t>
      </w:r>
      <w:r w:rsidR="00EC3766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Taiwan and the EU </w:t>
      </w:r>
      <w:r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each </w:t>
      </w:r>
      <w:r w:rsidR="005372B9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>other’s</w:t>
      </w:r>
      <w:r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most </w:t>
      </w:r>
      <w:r w:rsidR="005372B9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>trustworthy</w:t>
      </w:r>
      <w:r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partners in </w:t>
      </w:r>
      <w:r w:rsidR="005372B9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>restructuring</w:t>
      </w:r>
      <w:r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of supply chains; Taiwan and Europe have enormous space for cooperation in the area</w:t>
      </w:r>
      <w:r w:rsidR="0028511D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>of new strategic industries in future.</w:t>
      </w:r>
      <w:r w:rsidR="005372B9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>Th</w:t>
      </w:r>
      <w:r w:rsidR="005372B9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72B9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>best</w:t>
      </w:r>
      <w:r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72B9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>example</w:t>
      </w:r>
      <w:r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was last week’s ASML announcement that it will launch its biggest ever </w:t>
      </w:r>
      <w:r w:rsidR="005372B9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>investment</w:t>
      </w:r>
      <w:r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Taiwan next year to together </w:t>
      </w:r>
      <w:r w:rsidR="005372B9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>build</w:t>
      </w:r>
      <w:r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4106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more </w:t>
      </w:r>
      <w:r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>secure and resilient global supply chain.</w:t>
      </w:r>
    </w:p>
    <w:p w14:paraId="3AB71B5A" w14:textId="1DA1B0AE" w:rsidR="00861F17" w:rsidRPr="004312B8" w:rsidRDefault="000A624B" w:rsidP="0028511D">
      <w:pPr>
        <w:tabs>
          <w:tab w:val="left" w:pos="4253"/>
        </w:tabs>
        <w:adjustRightInd w:val="0"/>
        <w:snapToGrid w:val="0"/>
        <w:spacing w:beforeLines="100" w:before="360" w:afterLines="50" w:after="18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>Deputy</w:t>
      </w:r>
      <w:r w:rsidR="005B59FE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>Minister</w:t>
      </w:r>
      <w:r w:rsidR="005B59FE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Kao</w:t>
      </w:r>
      <w:r w:rsidR="0028511D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59FE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>thanked</w:t>
      </w:r>
      <w:r w:rsidR="0028511D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ECCT for </w:t>
      </w:r>
      <w:r w:rsidR="009E641C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>its</w:t>
      </w:r>
      <w:r w:rsidR="00841958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>long term</w:t>
      </w:r>
      <w:proofErr w:type="gramEnd"/>
      <w:r w:rsidR="0028511D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involvement in Taiwan and, facing a new post-pandemic world, </w:t>
      </w:r>
      <w:r w:rsidR="00841958"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expressed the </w:t>
      </w:r>
      <w:r w:rsidRPr="00431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hoped ECCT can continue to support Taiwan and grasp opportunities for transformation together in the new post-pandemic situation. </w:t>
      </w:r>
    </w:p>
    <w:p w14:paraId="1DEABEC8" w14:textId="77777777" w:rsidR="00193D26" w:rsidRPr="00545B8D" w:rsidRDefault="00193D26" w:rsidP="0028511D">
      <w:pPr>
        <w:tabs>
          <w:tab w:val="left" w:pos="4253"/>
        </w:tabs>
        <w:adjustRightInd w:val="0"/>
        <w:snapToGrid w:val="0"/>
        <w:spacing w:beforeLines="100" w:before="360" w:afterLines="50" w:after="180"/>
        <w:ind w:firstLine="709"/>
        <w:jc w:val="both"/>
        <w:rPr>
          <w:rFonts w:asciiTheme="minorEastAsia" w:hAnsiTheme="minorEastAsia" w:cs="Times New Roman"/>
          <w:color w:val="000000" w:themeColor="text1"/>
          <w:sz w:val="22"/>
        </w:rPr>
      </w:pPr>
    </w:p>
    <w:p w14:paraId="3193F6D4" w14:textId="6E14692B" w:rsidR="00861F17" w:rsidRPr="004312B8" w:rsidRDefault="00861F17" w:rsidP="004312B8">
      <w:pPr>
        <w:tabs>
          <w:tab w:val="left" w:pos="4253"/>
        </w:tabs>
        <w:adjustRightInd w:val="0"/>
        <w:snapToGrid w:val="0"/>
        <w:spacing w:before="100" w:beforeAutospacing="1" w:after="100" w:afterAutospacing="1" w:line="280" w:lineRule="exac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2B8">
        <w:rPr>
          <w:rFonts w:ascii="Times New Roman" w:hAnsi="Times New Roman" w:cs="Times New Roman"/>
          <w:color w:val="000000" w:themeColor="text1"/>
          <w:sz w:val="26"/>
          <w:szCs w:val="26"/>
        </w:rPr>
        <w:t>Contact person:</w:t>
      </w:r>
      <w:r w:rsidR="004312B8" w:rsidRPr="004312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71BF9" w:rsidRPr="004312B8">
        <w:rPr>
          <w:rFonts w:ascii="Times New Roman" w:hAnsi="Times New Roman" w:cs="Times New Roman"/>
          <w:color w:val="000000" w:themeColor="text1"/>
          <w:sz w:val="26"/>
          <w:szCs w:val="26"/>
        </w:rPr>
        <w:t>Director</w:t>
      </w:r>
      <w:r w:rsidRPr="004312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312B8" w:rsidRPr="004312B8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G</w:t>
      </w:r>
      <w:r w:rsidR="004312B8" w:rsidRPr="004312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eneral </w:t>
      </w:r>
      <w:r w:rsidRPr="004312B8">
        <w:rPr>
          <w:rFonts w:ascii="Times New Roman" w:hAnsi="Times New Roman" w:cs="Times New Roman"/>
          <w:color w:val="000000" w:themeColor="text1"/>
          <w:sz w:val="26"/>
          <w:szCs w:val="26"/>
        </w:rPr>
        <w:t>Yang Shu-ling</w:t>
      </w:r>
      <w:r w:rsidR="004312B8" w:rsidRPr="004312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312B8" w:rsidRPr="004312B8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/</w:t>
      </w:r>
      <w:r w:rsidR="004312B8" w:rsidRPr="004312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312B8">
        <w:rPr>
          <w:rFonts w:ascii="Times New Roman" w:hAnsi="Times New Roman" w:cs="Times New Roman"/>
          <w:color w:val="000000" w:themeColor="text1"/>
          <w:sz w:val="26"/>
          <w:szCs w:val="26"/>
        </w:rPr>
        <w:t>Department of Regulatory Reform</w:t>
      </w:r>
    </w:p>
    <w:p w14:paraId="471ECD7D" w14:textId="5DCE0BA3" w:rsidR="00861F17" w:rsidRPr="004312B8" w:rsidRDefault="004312B8" w:rsidP="004312B8">
      <w:pPr>
        <w:tabs>
          <w:tab w:val="left" w:pos="4253"/>
        </w:tabs>
        <w:adjustRightInd w:val="0"/>
        <w:snapToGrid w:val="0"/>
        <w:spacing w:before="100" w:beforeAutospacing="1" w:after="100" w:afterAutospacing="1" w:line="280" w:lineRule="exac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312B8">
        <w:rPr>
          <w:rFonts w:ascii="Times New Roman" w:hAnsi="Times New Roman" w:cs="Times New Roman"/>
          <w:color w:val="000000" w:themeColor="text1"/>
          <w:sz w:val="26"/>
          <w:szCs w:val="26"/>
        </w:rPr>
        <w:t>O</w:t>
      </w:r>
      <w:r w:rsidR="00861F17" w:rsidRPr="004312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ffice </w:t>
      </w:r>
      <w:proofErr w:type="gramStart"/>
      <w:r w:rsidR="00861F17" w:rsidRPr="004312B8">
        <w:rPr>
          <w:rFonts w:ascii="Times New Roman" w:hAnsi="Times New Roman" w:cs="Times New Roman"/>
          <w:color w:val="000000" w:themeColor="text1"/>
          <w:sz w:val="26"/>
          <w:szCs w:val="26"/>
        </w:rPr>
        <w:t>tel.:</w:t>
      </w:r>
      <w:r w:rsidR="00861F17" w:rsidRPr="004312B8">
        <w:rPr>
          <w:rFonts w:ascii="Times New Roman" w:hAnsi="Times New Roman" w:cs="Times New Roman"/>
          <w:color w:val="000000" w:themeColor="text1"/>
          <w:sz w:val="26"/>
          <w:szCs w:val="26"/>
        </w:rPr>
        <w:t>（</w:t>
      </w:r>
      <w:proofErr w:type="gramEnd"/>
      <w:r w:rsidR="00861F17" w:rsidRPr="004312B8">
        <w:rPr>
          <w:rFonts w:ascii="Times New Roman" w:hAnsi="Times New Roman" w:cs="Times New Roman"/>
          <w:color w:val="000000" w:themeColor="text1"/>
          <w:sz w:val="26"/>
          <w:szCs w:val="26"/>
        </w:rPr>
        <w:t>02</w:t>
      </w:r>
      <w:r w:rsidR="00861F17" w:rsidRPr="004312B8">
        <w:rPr>
          <w:rFonts w:ascii="Times New Roman" w:hAnsi="Times New Roman" w:cs="Times New Roman"/>
          <w:color w:val="000000" w:themeColor="text1"/>
          <w:sz w:val="26"/>
          <w:szCs w:val="26"/>
        </w:rPr>
        <w:t>）</w:t>
      </w:r>
      <w:r w:rsidR="00861F17" w:rsidRPr="004312B8">
        <w:rPr>
          <w:rFonts w:ascii="Times New Roman" w:hAnsi="Times New Roman" w:cs="Times New Roman"/>
          <w:color w:val="000000" w:themeColor="text1"/>
          <w:sz w:val="26"/>
          <w:szCs w:val="26"/>
        </w:rPr>
        <w:t>2316-5929</w:t>
      </w:r>
    </w:p>
    <w:p w14:paraId="15428C94" w14:textId="77777777" w:rsidR="00861F17" w:rsidRPr="00545B8D" w:rsidRDefault="00861F17" w:rsidP="0028511D">
      <w:pPr>
        <w:tabs>
          <w:tab w:val="left" w:pos="4253"/>
        </w:tabs>
        <w:adjustRightInd w:val="0"/>
        <w:snapToGrid w:val="0"/>
        <w:jc w:val="both"/>
        <w:rPr>
          <w:rFonts w:asciiTheme="minorEastAsia" w:hAnsiTheme="minorEastAsia" w:cs="Times New Roman"/>
          <w:color w:val="000000" w:themeColor="text1"/>
          <w:sz w:val="22"/>
        </w:rPr>
      </w:pPr>
    </w:p>
    <w:sectPr w:rsidR="00861F17" w:rsidRPr="00545B8D" w:rsidSect="0025362A">
      <w:footerReference w:type="default" r:id="rId9"/>
      <w:pgSz w:w="11906" w:h="16838"/>
      <w:pgMar w:top="1134" w:right="127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1D318" w14:textId="77777777" w:rsidR="00E60B1B" w:rsidRDefault="00E60B1B" w:rsidP="0065187A">
      <w:r>
        <w:separator/>
      </w:r>
    </w:p>
  </w:endnote>
  <w:endnote w:type="continuationSeparator" w:id="0">
    <w:p w14:paraId="69242E3A" w14:textId="77777777" w:rsidR="00E60B1B" w:rsidRDefault="00E60B1B" w:rsidP="0065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9877918"/>
      <w:docPartObj>
        <w:docPartGallery w:val="Page Numbers (Bottom of Page)"/>
        <w:docPartUnique/>
      </w:docPartObj>
    </w:sdtPr>
    <w:sdtEndPr/>
    <w:sdtContent>
      <w:p w14:paraId="45F8B7B1" w14:textId="77777777" w:rsidR="0092390B" w:rsidRDefault="0092390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AB1" w:rsidRPr="00F22AB1">
          <w:rPr>
            <w:noProof/>
            <w:lang w:val="zh-TW"/>
          </w:rPr>
          <w:t>1</w:t>
        </w:r>
        <w:r>
          <w:fldChar w:fldCharType="end"/>
        </w:r>
      </w:p>
    </w:sdtContent>
  </w:sdt>
  <w:p w14:paraId="71ABCA21" w14:textId="77777777" w:rsidR="0092390B" w:rsidRDefault="0092390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F294F" w14:textId="77777777" w:rsidR="00E60B1B" w:rsidRDefault="00E60B1B" w:rsidP="0065187A">
      <w:r>
        <w:separator/>
      </w:r>
    </w:p>
  </w:footnote>
  <w:footnote w:type="continuationSeparator" w:id="0">
    <w:p w14:paraId="36390D9C" w14:textId="77777777" w:rsidR="00E60B1B" w:rsidRDefault="00E60B1B" w:rsidP="00651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1C45"/>
    <w:multiLevelType w:val="hybridMultilevel"/>
    <w:tmpl w:val="76F89E38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46782D36"/>
    <w:multiLevelType w:val="hybridMultilevel"/>
    <w:tmpl w:val="03A8B75A"/>
    <w:lvl w:ilvl="0" w:tplc="866AFDD8">
      <w:start w:val="1"/>
      <w:numFmt w:val="bullet"/>
      <w:suff w:val="nothing"/>
      <w:lvlText w:val=""/>
      <w:lvlJc w:val="left"/>
      <w:pPr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7E"/>
    <w:rsid w:val="00003D70"/>
    <w:rsid w:val="00010B70"/>
    <w:rsid w:val="000224ED"/>
    <w:rsid w:val="00022D80"/>
    <w:rsid w:val="00024046"/>
    <w:rsid w:val="0002499C"/>
    <w:rsid w:val="00035D61"/>
    <w:rsid w:val="00036C96"/>
    <w:rsid w:val="0004005A"/>
    <w:rsid w:val="00043116"/>
    <w:rsid w:val="00060018"/>
    <w:rsid w:val="000604D1"/>
    <w:rsid w:val="00061B50"/>
    <w:rsid w:val="0006211E"/>
    <w:rsid w:val="000735CE"/>
    <w:rsid w:val="00074B7B"/>
    <w:rsid w:val="0009412F"/>
    <w:rsid w:val="000A05BF"/>
    <w:rsid w:val="000A624B"/>
    <w:rsid w:val="000B143F"/>
    <w:rsid w:val="000B33A9"/>
    <w:rsid w:val="000B6E16"/>
    <w:rsid w:val="000C2BF0"/>
    <w:rsid w:val="000C5CBF"/>
    <w:rsid w:val="000C6149"/>
    <w:rsid w:val="000C7B4F"/>
    <w:rsid w:val="000C7F9A"/>
    <w:rsid w:val="000D1C13"/>
    <w:rsid w:val="000D3FD7"/>
    <w:rsid w:val="000D4303"/>
    <w:rsid w:val="000D68F5"/>
    <w:rsid w:val="000D6A44"/>
    <w:rsid w:val="000E005D"/>
    <w:rsid w:val="000E5A2D"/>
    <w:rsid w:val="000E74DE"/>
    <w:rsid w:val="000F545F"/>
    <w:rsid w:val="00105063"/>
    <w:rsid w:val="00113DC7"/>
    <w:rsid w:val="001150CC"/>
    <w:rsid w:val="001166CE"/>
    <w:rsid w:val="0012527E"/>
    <w:rsid w:val="001271D9"/>
    <w:rsid w:val="00143376"/>
    <w:rsid w:val="00163065"/>
    <w:rsid w:val="0016641A"/>
    <w:rsid w:val="00166554"/>
    <w:rsid w:val="00166ABE"/>
    <w:rsid w:val="00167CF1"/>
    <w:rsid w:val="00170BC7"/>
    <w:rsid w:val="00176907"/>
    <w:rsid w:val="00182D13"/>
    <w:rsid w:val="00185A56"/>
    <w:rsid w:val="00186905"/>
    <w:rsid w:val="00187B2D"/>
    <w:rsid w:val="0019269E"/>
    <w:rsid w:val="00192ABB"/>
    <w:rsid w:val="00193BEF"/>
    <w:rsid w:val="00193D26"/>
    <w:rsid w:val="001A3AB6"/>
    <w:rsid w:val="001A560C"/>
    <w:rsid w:val="001A6D08"/>
    <w:rsid w:val="001B6D33"/>
    <w:rsid w:val="001C40ED"/>
    <w:rsid w:val="001C5105"/>
    <w:rsid w:val="001D04A0"/>
    <w:rsid w:val="001D46EB"/>
    <w:rsid w:val="001D5D9E"/>
    <w:rsid w:val="001D5E28"/>
    <w:rsid w:val="001E4643"/>
    <w:rsid w:val="001E4705"/>
    <w:rsid w:val="001E4F2F"/>
    <w:rsid w:val="001E6544"/>
    <w:rsid w:val="001F1699"/>
    <w:rsid w:val="001F336D"/>
    <w:rsid w:val="00201193"/>
    <w:rsid w:val="00215F97"/>
    <w:rsid w:val="00216165"/>
    <w:rsid w:val="0021754E"/>
    <w:rsid w:val="002219FD"/>
    <w:rsid w:val="00226397"/>
    <w:rsid w:val="00226817"/>
    <w:rsid w:val="00227E2E"/>
    <w:rsid w:val="00237050"/>
    <w:rsid w:val="0024532D"/>
    <w:rsid w:val="002503BE"/>
    <w:rsid w:val="0025362A"/>
    <w:rsid w:val="00265D52"/>
    <w:rsid w:val="00274121"/>
    <w:rsid w:val="00274AC1"/>
    <w:rsid w:val="00275B1E"/>
    <w:rsid w:val="00282291"/>
    <w:rsid w:val="00284C9E"/>
    <w:rsid w:val="0028511D"/>
    <w:rsid w:val="00295333"/>
    <w:rsid w:val="00297A45"/>
    <w:rsid w:val="002A5943"/>
    <w:rsid w:val="002A5BCC"/>
    <w:rsid w:val="002B050A"/>
    <w:rsid w:val="002B0565"/>
    <w:rsid w:val="002B5986"/>
    <w:rsid w:val="002C12BF"/>
    <w:rsid w:val="002C2A5D"/>
    <w:rsid w:val="002C5D3D"/>
    <w:rsid w:val="002D5222"/>
    <w:rsid w:val="002E16DF"/>
    <w:rsid w:val="002F15AD"/>
    <w:rsid w:val="002F5A10"/>
    <w:rsid w:val="002F5C46"/>
    <w:rsid w:val="002F5CAA"/>
    <w:rsid w:val="003015CF"/>
    <w:rsid w:val="00310687"/>
    <w:rsid w:val="00311749"/>
    <w:rsid w:val="003171DC"/>
    <w:rsid w:val="00317230"/>
    <w:rsid w:val="0032083F"/>
    <w:rsid w:val="00324BB9"/>
    <w:rsid w:val="003457A1"/>
    <w:rsid w:val="00363DF8"/>
    <w:rsid w:val="00367110"/>
    <w:rsid w:val="0037791E"/>
    <w:rsid w:val="003820FE"/>
    <w:rsid w:val="00396D56"/>
    <w:rsid w:val="003A2A82"/>
    <w:rsid w:val="003B051C"/>
    <w:rsid w:val="003B29AD"/>
    <w:rsid w:val="003B7A43"/>
    <w:rsid w:val="003C08EE"/>
    <w:rsid w:val="003D0C00"/>
    <w:rsid w:val="003D47B6"/>
    <w:rsid w:val="003D5978"/>
    <w:rsid w:val="003E0FB3"/>
    <w:rsid w:val="003E291B"/>
    <w:rsid w:val="003F69A2"/>
    <w:rsid w:val="00402212"/>
    <w:rsid w:val="0040276B"/>
    <w:rsid w:val="004202FB"/>
    <w:rsid w:val="004225B2"/>
    <w:rsid w:val="00426A7E"/>
    <w:rsid w:val="004312B8"/>
    <w:rsid w:val="00431324"/>
    <w:rsid w:val="00436224"/>
    <w:rsid w:val="0043734E"/>
    <w:rsid w:val="00444C81"/>
    <w:rsid w:val="004502D5"/>
    <w:rsid w:val="004528C1"/>
    <w:rsid w:val="00452B36"/>
    <w:rsid w:val="00457287"/>
    <w:rsid w:val="004639A3"/>
    <w:rsid w:val="004658A8"/>
    <w:rsid w:val="00466E2C"/>
    <w:rsid w:val="004817F5"/>
    <w:rsid w:val="004818FA"/>
    <w:rsid w:val="00481B9B"/>
    <w:rsid w:val="00482694"/>
    <w:rsid w:val="004853F6"/>
    <w:rsid w:val="00487B16"/>
    <w:rsid w:val="004906F4"/>
    <w:rsid w:val="00492626"/>
    <w:rsid w:val="00495699"/>
    <w:rsid w:val="0049698C"/>
    <w:rsid w:val="004A1900"/>
    <w:rsid w:val="004A4EE3"/>
    <w:rsid w:val="004A7A77"/>
    <w:rsid w:val="004C2A0C"/>
    <w:rsid w:val="004C5959"/>
    <w:rsid w:val="004D6E57"/>
    <w:rsid w:val="004D722B"/>
    <w:rsid w:val="004E25DB"/>
    <w:rsid w:val="004E2DFC"/>
    <w:rsid w:val="004E3226"/>
    <w:rsid w:val="004E6323"/>
    <w:rsid w:val="004F00DB"/>
    <w:rsid w:val="004F0860"/>
    <w:rsid w:val="004F4E22"/>
    <w:rsid w:val="004F5BE9"/>
    <w:rsid w:val="004F6C81"/>
    <w:rsid w:val="00505A05"/>
    <w:rsid w:val="00507A84"/>
    <w:rsid w:val="00507B39"/>
    <w:rsid w:val="00513EED"/>
    <w:rsid w:val="0052051F"/>
    <w:rsid w:val="00527B98"/>
    <w:rsid w:val="005301CF"/>
    <w:rsid w:val="005372B9"/>
    <w:rsid w:val="005401B8"/>
    <w:rsid w:val="00541190"/>
    <w:rsid w:val="005426D4"/>
    <w:rsid w:val="00545B8D"/>
    <w:rsid w:val="00561A8D"/>
    <w:rsid w:val="00564C28"/>
    <w:rsid w:val="00564D14"/>
    <w:rsid w:val="005651A0"/>
    <w:rsid w:val="00571BF9"/>
    <w:rsid w:val="005737C5"/>
    <w:rsid w:val="00583770"/>
    <w:rsid w:val="00586711"/>
    <w:rsid w:val="00592DD7"/>
    <w:rsid w:val="00595072"/>
    <w:rsid w:val="005A3FE4"/>
    <w:rsid w:val="005A764B"/>
    <w:rsid w:val="005B003F"/>
    <w:rsid w:val="005B484F"/>
    <w:rsid w:val="005B59FE"/>
    <w:rsid w:val="005C5A25"/>
    <w:rsid w:val="005C693A"/>
    <w:rsid w:val="005D750C"/>
    <w:rsid w:val="005E22CC"/>
    <w:rsid w:val="005E450E"/>
    <w:rsid w:val="005E6B0A"/>
    <w:rsid w:val="005F0F2C"/>
    <w:rsid w:val="005F2231"/>
    <w:rsid w:val="00611640"/>
    <w:rsid w:val="006158AC"/>
    <w:rsid w:val="006252ED"/>
    <w:rsid w:val="0063077D"/>
    <w:rsid w:val="006347E5"/>
    <w:rsid w:val="00634F11"/>
    <w:rsid w:val="00636217"/>
    <w:rsid w:val="00641D60"/>
    <w:rsid w:val="0064600A"/>
    <w:rsid w:val="00647866"/>
    <w:rsid w:val="0065187A"/>
    <w:rsid w:val="00653D91"/>
    <w:rsid w:val="006579EB"/>
    <w:rsid w:val="00662E08"/>
    <w:rsid w:val="00667326"/>
    <w:rsid w:val="00682872"/>
    <w:rsid w:val="00682882"/>
    <w:rsid w:val="00691380"/>
    <w:rsid w:val="006919E8"/>
    <w:rsid w:val="006959EE"/>
    <w:rsid w:val="006A48BD"/>
    <w:rsid w:val="006A564E"/>
    <w:rsid w:val="006C084B"/>
    <w:rsid w:val="006C525D"/>
    <w:rsid w:val="006E27BA"/>
    <w:rsid w:val="006E6C75"/>
    <w:rsid w:val="006F0C3A"/>
    <w:rsid w:val="006F68BA"/>
    <w:rsid w:val="00717B05"/>
    <w:rsid w:val="0072665E"/>
    <w:rsid w:val="007378CD"/>
    <w:rsid w:val="00744121"/>
    <w:rsid w:val="00747231"/>
    <w:rsid w:val="007540BC"/>
    <w:rsid w:val="00754845"/>
    <w:rsid w:val="0075497D"/>
    <w:rsid w:val="00755E70"/>
    <w:rsid w:val="00760516"/>
    <w:rsid w:val="0076261E"/>
    <w:rsid w:val="00765263"/>
    <w:rsid w:val="007674B1"/>
    <w:rsid w:val="007724DD"/>
    <w:rsid w:val="00773FC3"/>
    <w:rsid w:val="00780766"/>
    <w:rsid w:val="00790D6B"/>
    <w:rsid w:val="007B2E37"/>
    <w:rsid w:val="007B5BB1"/>
    <w:rsid w:val="007B5C5E"/>
    <w:rsid w:val="007C7220"/>
    <w:rsid w:val="007E669B"/>
    <w:rsid w:val="007E6D74"/>
    <w:rsid w:val="007F0B7C"/>
    <w:rsid w:val="007F29B8"/>
    <w:rsid w:val="007F5253"/>
    <w:rsid w:val="00802C0D"/>
    <w:rsid w:val="00814976"/>
    <w:rsid w:val="008149B2"/>
    <w:rsid w:val="0081620E"/>
    <w:rsid w:val="0081799B"/>
    <w:rsid w:val="00824F16"/>
    <w:rsid w:val="00832728"/>
    <w:rsid w:val="008411A4"/>
    <w:rsid w:val="00841958"/>
    <w:rsid w:val="00842591"/>
    <w:rsid w:val="008439FD"/>
    <w:rsid w:val="00850EAB"/>
    <w:rsid w:val="00861F17"/>
    <w:rsid w:val="00863E03"/>
    <w:rsid w:val="0087349F"/>
    <w:rsid w:val="008772FD"/>
    <w:rsid w:val="00877F5F"/>
    <w:rsid w:val="0088161B"/>
    <w:rsid w:val="008861E2"/>
    <w:rsid w:val="008A7844"/>
    <w:rsid w:val="008B2F5F"/>
    <w:rsid w:val="008B320B"/>
    <w:rsid w:val="008B60C7"/>
    <w:rsid w:val="008C085E"/>
    <w:rsid w:val="008C09F2"/>
    <w:rsid w:val="008C191D"/>
    <w:rsid w:val="008D25A6"/>
    <w:rsid w:val="008E07D9"/>
    <w:rsid w:val="008E49EC"/>
    <w:rsid w:val="008F0BBD"/>
    <w:rsid w:val="008F5576"/>
    <w:rsid w:val="008F6574"/>
    <w:rsid w:val="008F742F"/>
    <w:rsid w:val="00902902"/>
    <w:rsid w:val="00903380"/>
    <w:rsid w:val="009052B7"/>
    <w:rsid w:val="00911AF4"/>
    <w:rsid w:val="00915F23"/>
    <w:rsid w:val="0092390B"/>
    <w:rsid w:val="00931C59"/>
    <w:rsid w:val="00935CB3"/>
    <w:rsid w:val="00936D40"/>
    <w:rsid w:val="009430EF"/>
    <w:rsid w:val="00954A18"/>
    <w:rsid w:val="00960528"/>
    <w:rsid w:val="0096424E"/>
    <w:rsid w:val="00986E38"/>
    <w:rsid w:val="009A0ED3"/>
    <w:rsid w:val="009A0F27"/>
    <w:rsid w:val="009A22A9"/>
    <w:rsid w:val="009A40AB"/>
    <w:rsid w:val="009B4226"/>
    <w:rsid w:val="009C2AA3"/>
    <w:rsid w:val="009C6CB4"/>
    <w:rsid w:val="009C7722"/>
    <w:rsid w:val="009D4357"/>
    <w:rsid w:val="009D4F2A"/>
    <w:rsid w:val="009D5BA0"/>
    <w:rsid w:val="009E641C"/>
    <w:rsid w:val="009F0BB6"/>
    <w:rsid w:val="009F2616"/>
    <w:rsid w:val="009F515E"/>
    <w:rsid w:val="009F5F71"/>
    <w:rsid w:val="00A00E00"/>
    <w:rsid w:val="00A05E0F"/>
    <w:rsid w:val="00A0764A"/>
    <w:rsid w:val="00A1710E"/>
    <w:rsid w:val="00A174A0"/>
    <w:rsid w:val="00A246E0"/>
    <w:rsid w:val="00A31B1A"/>
    <w:rsid w:val="00A41B8B"/>
    <w:rsid w:val="00A43E38"/>
    <w:rsid w:val="00A5086C"/>
    <w:rsid w:val="00A55FB4"/>
    <w:rsid w:val="00A66B8E"/>
    <w:rsid w:val="00A72132"/>
    <w:rsid w:val="00A72D4E"/>
    <w:rsid w:val="00A74E15"/>
    <w:rsid w:val="00A761B5"/>
    <w:rsid w:val="00A87324"/>
    <w:rsid w:val="00A91231"/>
    <w:rsid w:val="00AB21AC"/>
    <w:rsid w:val="00AB3F3C"/>
    <w:rsid w:val="00AB4672"/>
    <w:rsid w:val="00AC5449"/>
    <w:rsid w:val="00AD36D0"/>
    <w:rsid w:val="00AE1F2A"/>
    <w:rsid w:val="00AE769B"/>
    <w:rsid w:val="00AE7E6E"/>
    <w:rsid w:val="00AF03B8"/>
    <w:rsid w:val="00AF04F3"/>
    <w:rsid w:val="00B0084B"/>
    <w:rsid w:val="00B01012"/>
    <w:rsid w:val="00B01818"/>
    <w:rsid w:val="00B11F0E"/>
    <w:rsid w:val="00B121D3"/>
    <w:rsid w:val="00B1404A"/>
    <w:rsid w:val="00B20DFF"/>
    <w:rsid w:val="00B2790C"/>
    <w:rsid w:val="00B30D79"/>
    <w:rsid w:val="00B3341E"/>
    <w:rsid w:val="00B33F0D"/>
    <w:rsid w:val="00B341D3"/>
    <w:rsid w:val="00B34ACE"/>
    <w:rsid w:val="00B34CF8"/>
    <w:rsid w:val="00B424C1"/>
    <w:rsid w:val="00B42BE4"/>
    <w:rsid w:val="00B448CD"/>
    <w:rsid w:val="00B5010D"/>
    <w:rsid w:val="00B502DD"/>
    <w:rsid w:val="00B52805"/>
    <w:rsid w:val="00B57972"/>
    <w:rsid w:val="00B57E75"/>
    <w:rsid w:val="00B64952"/>
    <w:rsid w:val="00B650AD"/>
    <w:rsid w:val="00B657BB"/>
    <w:rsid w:val="00B92068"/>
    <w:rsid w:val="00B94E8F"/>
    <w:rsid w:val="00B95CAA"/>
    <w:rsid w:val="00BA3790"/>
    <w:rsid w:val="00BA501A"/>
    <w:rsid w:val="00BB05ED"/>
    <w:rsid w:val="00BC0B15"/>
    <w:rsid w:val="00BC3324"/>
    <w:rsid w:val="00BC33E1"/>
    <w:rsid w:val="00BC36B2"/>
    <w:rsid w:val="00BC3F8D"/>
    <w:rsid w:val="00BC61A5"/>
    <w:rsid w:val="00BD0D6E"/>
    <w:rsid w:val="00BD56D2"/>
    <w:rsid w:val="00BD7F5A"/>
    <w:rsid w:val="00BE132F"/>
    <w:rsid w:val="00BE5F3A"/>
    <w:rsid w:val="00BF10EB"/>
    <w:rsid w:val="00BF26D4"/>
    <w:rsid w:val="00C0045D"/>
    <w:rsid w:val="00C14FE8"/>
    <w:rsid w:val="00C15E7E"/>
    <w:rsid w:val="00C222C6"/>
    <w:rsid w:val="00C22376"/>
    <w:rsid w:val="00C259BF"/>
    <w:rsid w:val="00C34FF5"/>
    <w:rsid w:val="00C41410"/>
    <w:rsid w:val="00C5505B"/>
    <w:rsid w:val="00C64611"/>
    <w:rsid w:val="00C70B87"/>
    <w:rsid w:val="00C74943"/>
    <w:rsid w:val="00C75171"/>
    <w:rsid w:val="00C82929"/>
    <w:rsid w:val="00C838D7"/>
    <w:rsid w:val="00C96B89"/>
    <w:rsid w:val="00CB503F"/>
    <w:rsid w:val="00CB67B6"/>
    <w:rsid w:val="00CB6C17"/>
    <w:rsid w:val="00CC5B4C"/>
    <w:rsid w:val="00CD1EA7"/>
    <w:rsid w:val="00CD2EFA"/>
    <w:rsid w:val="00CD3640"/>
    <w:rsid w:val="00CD5A06"/>
    <w:rsid w:val="00CE0935"/>
    <w:rsid w:val="00CE5B90"/>
    <w:rsid w:val="00CF06BF"/>
    <w:rsid w:val="00CF14D2"/>
    <w:rsid w:val="00CF7B4B"/>
    <w:rsid w:val="00D06ECA"/>
    <w:rsid w:val="00D07011"/>
    <w:rsid w:val="00D1061F"/>
    <w:rsid w:val="00D1389E"/>
    <w:rsid w:val="00D23F71"/>
    <w:rsid w:val="00D25199"/>
    <w:rsid w:val="00D26AB7"/>
    <w:rsid w:val="00D301FF"/>
    <w:rsid w:val="00D3570E"/>
    <w:rsid w:val="00D41A24"/>
    <w:rsid w:val="00D43EA0"/>
    <w:rsid w:val="00D56D2E"/>
    <w:rsid w:val="00D62524"/>
    <w:rsid w:val="00D6454E"/>
    <w:rsid w:val="00D75126"/>
    <w:rsid w:val="00D77061"/>
    <w:rsid w:val="00D7729B"/>
    <w:rsid w:val="00D83878"/>
    <w:rsid w:val="00D83E5D"/>
    <w:rsid w:val="00D91E54"/>
    <w:rsid w:val="00D9350E"/>
    <w:rsid w:val="00D93761"/>
    <w:rsid w:val="00D943F8"/>
    <w:rsid w:val="00D95A0E"/>
    <w:rsid w:val="00D97CB0"/>
    <w:rsid w:val="00DB0BDB"/>
    <w:rsid w:val="00DC2D2D"/>
    <w:rsid w:val="00DC3C58"/>
    <w:rsid w:val="00DE4072"/>
    <w:rsid w:val="00DE50E5"/>
    <w:rsid w:val="00DF113B"/>
    <w:rsid w:val="00DF1D08"/>
    <w:rsid w:val="00DF332F"/>
    <w:rsid w:val="00DF4560"/>
    <w:rsid w:val="00E013EC"/>
    <w:rsid w:val="00E0404F"/>
    <w:rsid w:val="00E0480B"/>
    <w:rsid w:val="00E13B31"/>
    <w:rsid w:val="00E334AF"/>
    <w:rsid w:val="00E5060A"/>
    <w:rsid w:val="00E50BF1"/>
    <w:rsid w:val="00E60B1B"/>
    <w:rsid w:val="00E61C64"/>
    <w:rsid w:val="00E6766B"/>
    <w:rsid w:val="00E70EE9"/>
    <w:rsid w:val="00E7468B"/>
    <w:rsid w:val="00E74761"/>
    <w:rsid w:val="00E9343B"/>
    <w:rsid w:val="00E94DF5"/>
    <w:rsid w:val="00E957A4"/>
    <w:rsid w:val="00E961D2"/>
    <w:rsid w:val="00EA4106"/>
    <w:rsid w:val="00EB4A07"/>
    <w:rsid w:val="00EB5CFF"/>
    <w:rsid w:val="00EC3393"/>
    <w:rsid w:val="00EC3766"/>
    <w:rsid w:val="00EC3B34"/>
    <w:rsid w:val="00EC5654"/>
    <w:rsid w:val="00EC7F7A"/>
    <w:rsid w:val="00EE058E"/>
    <w:rsid w:val="00EF0FAA"/>
    <w:rsid w:val="00EF30FC"/>
    <w:rsid w:val="00EF7411"/>
    <w:rsid w:val="00EF7455"/>
    <w:rsid w:val="00F045DC"/>
    <w:rsid w:val="00F0488D"/>
    <w:rsid w:val="00F04B88"/>
    <w:rsid w:val="00F058FE"/>
    <w:rsid w:val="00F05EBF"/>
    <w:rsid w:val="00F10A13"/>
    <w:rsid w:val="00F11C2D"/>
    <w:rsid w:val="00F15BDB"/>
    <w:rsid w:val="00F22AB1"/>
    <w:rsid w:val="00F238E7"/>
    <w:rsid w:val="00F24E13"/>
    <w:rsid w:val="00F31CDB"/>
    <w:rsid w:val="00F424C2"/>
    <w:rsid w:val="00F42BCB"/>
    <w:rsid w:val="00F464E1"/>
    <w:rsid w:val="00F51A82"/>
    <w:rsid w:val="00F5775B"/>
    <w:rsid w:val="00F74AA2"/>
    <w:rsid w:val="00F80FFE"/>
    <w:rsid w:val="00F814E3"/>
    <w:rsid w:val="00F86C64"/>
    <w:rsid w:val="00FA4FBF"/>
    <w:rsid w:val="00FB51FE"/>
    <w:rsid w:val="00FB5308"/>
    <w:rsid w:val="00FC13BA"/>
    <w:rsid w:val="00FD0001"/>
    <w:rsid w:val="00FD4E4E"/>
    <w:rsid w:val="00FD7C29"/>
    <w:rsid w:val="00FE4492"/>
    <w:rsid w:val="00FF17B0"/>
    <w:rsid w:val="00F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F52437"/>
  <w15:docId w15:val="{D6F7484F-805B-4DC5-AB97-3E6A81EB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A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26A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1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187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1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187A"/>
    <w:rPr>
      <w:sz w:val="20"/>
      <w:szCs w:val="20"/>
    </w:rPr>
  </w:style>
  <w:style w:type="paragraph" w:styleId="a9">
    <w:name w:val="List Paragraph"/>
    <w:basedOn w:val="a"/>
    <w:uiPriority w:val="34"/>
    <w:qFormat/>
    <w:rsid w:val="00E7468B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a">
    <w:name w:val="annotation reference"/>
    <w:basedOn w:val="a0"/>
    <w:uiPriority w:val="99"/>
    <w:semiHidden/>
    <w:unhideWhenUsed/>
    <w:rsid w:val="00861F1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61F17"/>
  </w:style>
  <w:style w:type="character" w:customStyle="1" w:styleId="ac">
    <w:name w:val="註解文字 字元"/>
    <w:basedOn w:val="a0"/>
    <w:link w:val="ab"/>
    <w:uiPriority w:val="99"/>
    <w:semiHidden/>
    <w:rsid w:val="00861F17"/>
  </w:style>
  <w:style w:type="paragraph" w:styleId="ad">
    <w:name w:val="annotation subject"/>
    <w:basedOn w:val="ab"/>
    <w:next w:val="ab"/>
    <w:link w:val="ae"/>
    <w:uiPriority w:val="99"/>
    <w:semiHidden/>
    <w:unhideWhenUsed/>
    <w:rsid w:val="00861F1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61F17"/>
    <w:rPr>
      <w:b/>
      <w:bCs/>
    </w:rPr>
  </w:style>
  <w:style w:type="character" w:styleId="af">
    <w:name w:val="Emphasis"/>
    <w:basedOn w:val="a0"/>
    <w:uiPriority w:val="20"/>
    <w:qFormat/>
    <w:rsid w:val="00571B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C815F-EE39-4A07-A651-73DE958BD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720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謝雅芬</dc:creator>
  <cp:lastModifiedBy>李惠錦</cp:lastModifiedBy>
  <cp:revision>2</cp:revision>
  <cp:lastPrinted>2022-11-25T07:54:00Z</cp:lastPrinted>
  <dcterms:created xsi:type="dcterms:W3CDTF">2022-11-29T00:03:00Z</dcterms:created>
  <dcterms:modified xsi:type="dcterms:W3CDTF">2022-11-29T00:03:00Z</dcterms:modified>
</cp:coreProperties>
</file>