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A5" w:rsidRPr="009110AC" w:rsidRDefault="00925FA5" w:rsidP="00B1732A">
      <w:pPr>
        <w:rPr>
          <w:rFonts w:ascii="Times New Roman" w:eastAsia="標楷體" w:hAnsi="Times New Roman" w:cs="Times New Roman"/>
          <w:b/>
          <w:sz w:val="27"/>
        </w:rPr>
      </w:pPr>
      <w:r w:rsidRPr="009110AC">
        <w:rPr>
          <w:rFonts w:ascii="Times New Roman" w:eastAsia="新細明體" w:hAnsi="Times New Roman" w:cs="Times New Roman"/>
          <w:noProof/>
        </w:rPr>
        <w:drawing>
          <wp:inline distT="0" distB="0" distL="0" distR="0" wp14:anchorId="327E65BE" wp14:editId="3611E6DE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39" w:rsidRPr="008C6ABC" w:rsidRDefault="00585E39" w:rsidP="00B1732A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C6AB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Press Release</w:t>
      </w:r>
    </w:p>
    <w:p w:rsidR="00585E39" w:rsidRPr="008C6ABC" w:rsidRDefault="00585E39" w:rsidP="00B1732A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C6AB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National Development C</w:t>
      </w:r>
      <w:r w:rsidRPr="008C6ABC">
        <w:rPr>
          <w:rFonts w:ascii="Times New Roman" w:eastAsia="標楷體" w:hAnsi="Times New Roman" w:cs="Times New Roman"/>
          <w:b/>
          <w:bCs/>
          <w:sz w:val="32"/>
          <w:szCs w:val="32"/>
        </w:rPr>
        <w:t>o</w:t>
      </w:r>
      <w:r w:rsidRPr="008C6AB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uncil</w:t>
      </w:r>
    </w:p>
    <w:p w:rsidR="00585E39" w:rsidRPr="006558C6" w:rsidRDefault="006558C6" w:rsidP="00F82FD7">
      <w:pPr>
        <w:spacing w:beforeLines="100" w:before="360" w:line="520" w:lineRule="exact"/>
        <w:jc w:val="right"/>
        <w:rPr>
          <w:rFonts w:ascii="Times New Roman" w:eastAsia="標楷體" w:hAnsi="Times New Roman" w:cs="Times New Roman"/>
          <w:bCs/>
          <w:sz w:val="28"/>
          <w:szCs w:val="28"/>
        </w:rPr>
      </w:pPr>
      <w:r w:rsidRPr="006558C6">
        <w:rPr>
          <w:rFonts w:ascii="Times New Roman" w:eastAsia="標楷體" w:hAnsi="Times New Roman" w:cs="Times New Roman" w:hint="eastAsia"/>
          <w:bCs/>
          <w:sz w:val="28"/>
          <w:szCs w:val="28"/>
        </w:rPr>
        <w:t>December 1</w:t>
      </w:r>
      <w:r w:rsidR="001D733D">
        <w:rPr>
          <w:rFonts w:ascii="Times New Roman" w:eastAsia="標楷體" w:hAnsi="Times New Roman" w:cs="Times New Roman" w:hint="eastAsia"/>
          <w:bCs/>
          <w:sz w:val="28"/>
          <w:szCs w:val="28"/>
        </w:rPr>
        <w:t>4</w:t>
      </w:r>
      <w:bookmarkStart w:id="0" w:name="_GoBack"/>
      <w:bookmarkEnd w:id="0"/>
      <w:r w:rsidRPr="006558C6">
        <w:rPr>
          <w:rFonts w:ascii="Times New Roman" w:eastAsia="標楷體" w:hAnsi="Times New Roman" w:cs="Times New Roman" w:hint="eastAsia"/>
          <w:bCs/>
          <w:sz w:val="28"/>
          <w:szCs w:val="28"/>
        </w:rPr>
        <w:t>, 2018</w:t>
      </w:r>
    </w:p>
    <w:p w:rsidR="00925FA5" w:rsidRPr="007B0D84" w:rsidRDefault="00F3615A" w:rsidP="009628DA">
      <w:pPr>
        <w:tabs>
          <w:tab w:val="left" w:pos="5640"/>
        </w:tabs>
        <w:spacing w:beforeLines="100" w:before="360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B0D84">
        <w:rPr>
          <w:rFonts w:ascii="Times New Roman" w:eastAsia="標楷體" w:hAnsi="Times New Roman" w:cs="Times New Roman" w:hint="eastAsia"/>
          <w:b/>
          <w:sz w:val="28"/>
          <w:szCs w:val="28"/>
        </w:rPr>
        <w:t>Chinese T</w:t>
      </w:r>
      <w:r w:rsidR="00F02F5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aipei has </w:t>
      </w:r>
      <w:r w:rsidRPr="007B0D84">
        <w:rPr>
          <w:rFonts w:ascii="Times New Roman" w:eastAsia="標楷體" w:hAnsi="Times New Roman" w:cs="Times New Roman" w:hint="eastAsia"/>
          <w:b/>
          <w:sz w:val="28"/>
          <w:szCs w:val="28"/>
        </w:rPr>
        <w:t>become a formal member of the APEC CBPR system</w:t>
      </w:r>
    </w:p>
    <w:p w:rsidR="00C84B26" w:rsidRDefault="00DB050F" w:rsidP="00CB3C74">
      <w:pPr>
        <w:adjustRightInd w:val="0"/>
        <w:snapToGrid w:val="0"/>
        <w:spacing w:beforeLines="100" w:before="36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Chinese Taipei has received the notification </w:t>
      </w:r>
      <w:r w:rsidR="00DF29AD">
        <w:rPr>
          <w:rFonts w:ascii="Times New Roman" w:eastAsia="標楷體" w:hAnsi="Times New Roman" w:cs="Times New Roman" w:hint="eastAsia"/>
          <w:sz w:val="28"/>
          <w:szCs w:val="28"/>
        </w:rPr>
        <w:t>from 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he APEC Secretariat that </w:t>
      </w:r>
      <w:r w:rsidRPr="00F3615A">
        <w:rPr>
          <w:rFonts w:ascii="Times New Roman" w:eastAsia="標楷體" w:hAnsi="Times New Roman" w:cs="Times New Roman" w:hint="eastAsia"/>
          <w:sz w:val="28"/>
          <w:szCs w:val="28"/>
        </w:rPr>
        <w:t>Chinese Taipei</w:t>
      </w:r>
      <w:r w:rsidR="00122406">
        <w:rPr>
          <w:rFonts w:ascii="Times New Roman" w:eastAsia="標楷體" w:hAnsi="Times New Roman" w:cs="Times New Roman" w:hint="eastAsia"/>
          <w:sz w:val="28"/>
          <w:szCs w:val="28"/>
        </w:rPr>
        <w:t xml:space="preserve">, along with </w:t>
      </w:r>
      <w:r w:rsidR="001F523F" w:rsidRPr="00146C29">
        <w:rPr>
          <w:rFonts w:ascii="Times New Roman" w:eastAsia="標楷體" w:hAnsi="Times New Roman" w:cs="Times New Roman" w:hint="eastAsia"/>
          <w:sz w:val="28"/>
          <w:szCs w:val="28"/>
        </w:rPr>
        <w:t>Australia</w:t>
      </w:r>
      <w:r w:rsidR="00122406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1F523F" w:rsidRPr="00F3615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3615A">
        <w:rPr>
          <w:rFonts w:ascii="Times New Roman" w:eastAsia="標楷體" w:hAnsi="Times New Roman" w:cs="Times New Roman" w:hint="eastAsia"/>
          <w:sz w:val="28"/>
          <w:szCs w:val="28"/>
        </w:rPr>
        <w:t>ha</w:t>
      </w:r>
      <w:r w:rsidR="00F10D7C">
        <w:rPr>
          <w:rFonts w:ascii="Times New Roman" w:eastAsia="標楷體" w:hAnsi="Times New Roman" w:cs="Times New Roman" w:hint="eastAsia"/>
          <w:sz w:val="28"/>
          <w:szCs w:val="28"/>
        </w:rPr>
        <w:t xml:space="preserve">s </w:t>
      </w:r>
      <w:r w:rsidRPr="00F3615A">
        <w:rPr>
          <w:rFonts w:ascii="Times New Roman" w:eastAsia="標楷體" w:hAnsi="Times New Roman" w:cs="Times New Roman" w:hint="eastAsia"/>
          <w:sz w:val="28"/>
          <w:szCs w:val="28"/>
        </w:rPr>
        <w:t>been approved to become</w:t>
      </w:r>
      <w:r w:rsidR="00A777D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37671">
        <w:rPr>
          <w:rFonts w:ascii="Times New Roman" w:eastAsia="標楷體" w:hAnsi="Times New Roman" w:cs="Times New Roman" w:hint="eastAsia"/>
          <w:sz w:val="28"/>
          <w:szCs w:val="28"/>
        </w:rPr>
        <w:t xml:space="preserve">a </w:t>
      </w:r>
      <w:r w:rsidRPr="00F3615A">
        <w:rPr>
          <w:rFonts w:ascii="Times New Roman" w:eastAsia="標楷體" w:hAnsi="Times New Roman" w:cs="Times New Roman" w:hint="eastAsia"/>
          <w:sz w:val="28"/>
          <w:szCs w:val="28"/>
        </w:rPr>
        <w:t>formal member</w:t>
      </w:r>
      <w:r w:rsidR="0043767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3615A">
        <w:rPr>
          <w:rFonts w:ascii="Times New Roman" w:eastAsia="標楷體" w:hAnsi="Times New Roman" w:cs="Times New Roman" w:hint="eastAsia"/>
          <w:sz w:val="28"/>
          <w:szCs w:val="28"/>
        </w:rPr>
        <w:t>of the APEC CBPR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system</w:t>
      </w:r>
      <w:r w:rsidR="00146C29">
        <w:rPr>
          <w:rFonts w:ascii="Times New Roman" w:eastAsia="標楷體" w:hAnsi="Times New Roman" w:cs="Times New Roman" w:hint="eastAsia"/>
          <w:sz w:val="28"/>
          <w:szCs w:val="28"/>
        </w:rPr>
        <w:t xml:space="preserve">, </w:t>
      </w:r>
      <w:r w:rsidR="00146C29" w:rsidRPr="00146C29">
        <w:rPr>
          <w:rFonts w:ascii="Times New Roman" w:eastAsia="標楷體" w:hAnsi="Times New Roman" w:cs="Times New Roman"/>
          <w:sz w:val="28"/>
          <w:szCs w:val="28"/>
        </w:rPr>
        <w:t>a</w:t>
      </w:r>
      <w:r w:rsidR="001C5A0B">
        <w:rPr>
          <w:rFonts w:ascii="Times New Roman" w:eastAsia="標楷體" w:hAnsi="Times New Roman" w:cs="Times New Roman" w:hint="eastAsia"/>
          <w:sz w:val="28"/>
          <w:szCs w:val="28"/>
        </w:rPr>
        <w:t xml:space="preserve">fter </w:t>
      </w:r>
      <w:r w:rsidR="00146C29" w:rsidRPr="00146C29">
        <w:rPr>
          <w:rFonts w:ascii="Times New Roman" w:eastAsia="標楷體" w:hAnsi="Times New Roman" w:cs="Times New Roman"/>
          <w:sz w:val="28"/>
          <w:szCs w:val="28"/>
        </w:rPr>
        <w:t>the US, Mexico, Japan, Canada, South Korea and Singapore</w:t>
      </w:r>
      <w:r w:rsidR="004510A2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7D6581">
        <w:rPr>
          <w:rFonts w:ascii="Times New Roman" w:eastAsia="標楷體" w:hAnsi="Times New Roman" w:cs="Times New Roman" w:hint="eastAsia"/>
          <w:sz w:val="28"/>
          <w:szCs w:val="28"/>
        </w:rPr>
        <w:t xml:space="preserve"> According to </w:t>
      </w:r>
      <w:r w:rsidR="00777B7C">
        <w:rPr>
          <w:rFonts w:ascii="Times New Roman" w:eastAsia="標楷體" w:hAnsi="Times New Roman" w:cs="Times New Roman" w:hint="eastAsia"/>
          <w:sz w:val="28"/>
          <w:szCs w:val="28"/>
        </w:rPr>
        <w:t>previous member economies</w:t>
      </w:r>
      <w:r w:rsidR="00777B7C">
        <w:rPr>
          <w:rFonts w:ascii="Times New Roman" w:eastAsia="標楷體" w:hAnsi="Times New Roman" w:cs="Times New Roman"/>
          <w:sz w:val="28"/>
          <w:szCs w:val="28"/>
        </w:rPr>
        <w:t>’</w:t>
      </w:r>
      <w:r w:rsidR="00777B7C">
        <w:rPr>
          <w:rFonts w:ascii="Times New Roman" w:eastAsia="標楷體" w:hAnsi="Times New Roman" w:cs="Times New Roman" w:hint="eastAsia"/>
          <w:sz w:val="28"/>
          <w:szCs w:val="28"/>
        </w:rPr>
        <w:t xml:space="preserve"> experiences</w:t>
      </w:r>
      <w:r w:rsidR="0006241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D6581">
        <w:rPr>
          <w:rFonts w:ascii="Times New Roman" w:eastAsia="標楷體" w:hAnsi="Times New Roman" w:cs="Times New Roman" w:hint="eastAsia"/>
          <w:sz w:val="28"/>
          <w:szCs w:val="28"/>
        </w:rPr>
        <w:t xml:space="preserve">in </w:t>
      </w:r>
      <w:r w:rsidR="00062416">
        <w:rPr>
          <w:rFonts w:ascii="Times New Roman" w:eastAsia="標楷體" w:hAnsi="Times New Roman" w:cs="Times New Roman" w:hint="eastAsia"/>
          <w:sz w:val="28"/>
          <w:szCs w:val="28"/>
        </w:rPr>
        <w:t>joining the system,</w:t>
      </w:r>
      <w:r w:rsidR="001B0A73">
        <w:rPr>
          <w:rFonts w:ascii="Times New Roman" w:eastAsia="標楷體" w:hAnsi="Times New Roman" w:cs="Times New Roman" w:hint="eastAsia"/>
          <w:sz w:val="28"/>
          <w:szCs w:val="28"/>
        </w:rPr>
        <w:t xml:space="preserve"> it would take roughly one to one and half years for completing related</w:t>
      </w:r>
      <w:r w:rsidR="00526AA0">
        <w:rPr>
          <w:rFonts w:ascii="Times New Roman" w:eastAsia="標楷體" w:hAnsi="Times New Roman" w:cs="Times New Roman" w:hint="eastAsia"/>
          <w:sz w:val="28"/>
          <w:szCs w:val="28"/>
        </w:rPr>
        <w:t xml:space="preserve"> procedures</w:t>
      </w:r>
      <w:r w:rsidR="009270D8">
        <w:rPr>
          <w:rFonts w:ascii="Times New Roman" w:eastAsia="標楷體" w:hAnsi="Times New Roman" w:cs="Times New Roman" w:hint="eastAsia"/>
          <w:sz w:val="28"/>
          <w:szCs w:val="28"/>
        </w:rPr>
        <w:t>. I</w:t>
      </w:r>
      <w:r w:rsidR="00526AA0">
        <w:rPr>
          <w:rFonts w:ascii="Times New Roman" w:eastAsia="標楷體" w:hAnsi="Times New Roman" w:cs="Times New Roman" w:hint="eastAsia"/>
          <w:sz w:val="28"/>
          <w:szCs w:val="28"/>
        </w:rPr>
        <w:t xml:space="preserve">t </w:t>
      </w:r>
      <w:r w:rsidR="007D6581">
        <w:rPr>
          <w:rFonts w:ascii="Times New Roman" w:eastAsia="標楷體" w:hAnsi="Times New Roman" w:cs="Times New Roman" w:hint="eastAsia"/>
          <w:sz w:val="28"/>
          <w:szCs w:val="28"/>
        </w:rPr>
        <w:t xml:space="preserve">only </w:t>
      </w:r>
      <w:r w:rsidR="00526AA0">
        <w:rPr>
          <w:rFonts w:ascii="Times New Roman" w:eastAsia="標楷體" w:hAnsi="Times New Roman" w:cs="Times New Roman" w:hint="eastAsia"/>
          <w:sz w:val="28"/>
          <w:szCs w:val="28"/>
        </w:rPr>
        <w:t>took approximately 8.5 months for Chinese Taipei to join the system</w:t>
      </w:r>
      <w:r w:rsidR="009270D8">
        <w:rPr>
          <w:rFonts w:ascii="Times New Roman" w:eastAsia="標楷體" w:hAnsi="Times New Roman" w:cs="Times New Roman" w:hint="eastAsia"/>
          <w:sz w:val="28"/>
          <w:szCs w:val="28"/>
        </w:rPr>
        <w:t xml:space="preserve"> and t</w:t>
      </w:r>
      <w:r w:rsidR="00D32978">
        <w:rPr>
          <w:rFonts w:ascii="Times New Roman" w:eastAsia="標楷體" w:hAnsi="Times New Roman" w:cs="Times New Roman" w:hint="eastAsia"/>
          <w:sz w:val="28"/>
          <w:szCs w:val="28"/>
        </w:rPr>
        <w:t>he whole process went rather smoothly.</w:t>
      </w:r>
    </w:p>
    <w:p w:rsidR="00DC3C69" w:rsidRDefault="00AA6C2A" w:rsidP="00CB3C74">
      <w:pPr>
        <w:adjustRightInd w:val="0"/>
        <w:snapToGrid w:val="0"/>
        <w:spacing w:beforeLines="50" w:before="18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The </w:t>
      </w:r>
      <w:r w:rsidR="00DC3C69">
        <w:rPr>
          <w:rFonts w:ascii="Times New Roman" w:eastAsia="標楷體" w:hAnsi="Times New Roman" w:cs="Times New Roman" w:hint="eastAsia"/>
          <w:sz w:val="28"/>
          <w:szCs w:val="28"/>
        </w:rPr>
        <w:t xml:space="preserve">APEC CBPR system is </w:t>
      </w:r>
      <w:r w:rsidR="00315D37">
        <w:rPr>
          <w:rFonts w:ascii="Times New Roman" w:eastAsia="標楷體" w:hAnsi="Times New Roman" w:cs="Times New Roman" w:hint="eastAsia"/>
          <w:sz w:val="28"/>
          <w:szCs w:val="28"/>
        </w:rPr>
        <w:t xml:space="preserve">one that has been </w:t>
      </w:r>
      <w:r w:rsidR="00DC3C69">
        <w:rPr>
          <w:rFonts w:ascii="Times New Roman" w:eastAsia="標楷體" w:hAnsi="Times New Roman" w:cs="Times New Roman" w:hint="eastAsia"/>
          <w:sz w:val="28"/>
          <w:szCs w:val="28"/>
        </w:rPr>
        <w:t xml:space="preserve">promoted </w:t>
      </w:r>
      <w:r w:rsidR="00BC2E58">
        <w:rPr>
          <w:rFonts w:ascii="Times New Roman" w:eastAsia="標楷體" w:hAnsi="Times New Roman" w:cs="Times New Roman" w:hint="eastAsia"/>
          <w:sz w:val="28"/>
          <w:szCs w:val="28"/>
        </w:rPr>
        <w:t xml:space="preserve">actively </w:t>
      </w:r>
      <w:r w:rsidR="00DC3C69">
        <w:rPr>
          <w:rFonts w:ascii="Times New Roman" w:eastAsia="標楷體" w:hAnsi="Times New Roman" w:cs="Times New Roman" w:hint="eastAsia"/>
          <w:sz w:val="28"/>
          <w:szCs w:val="28"/>
        </w:rPr>
        <w:t xml:space="preserve">by the United States in the APEC for </w:t>
      </w:r>
      <w:r w:rsidR="00DC3C69">
        <w:rPr>
          <w:rFonts w:ascii="Times New Roman" w:eastAsia="標楷體" w:hAnsi="Times New Roman" w:cs="Times New Roman"/>
          <w:sz w:val="28"/>
          <w:szCs w:val="28"/>
        </w:rPr>
        <w:t>inst</w:t>
      </w:r>
      <w:r w:rsidR="00DC3C69">
        <w:rPr>
          <w:rFonts w:ascii="Times New Roman" w:eastAsia="標楷體" w:hAnsi="Times New Roman" w:cs="Times New Roman" w:hint="eastAsia"/>
          <w:sz w:val="28"/>
          <w:szCs w:val="28"/>
        </w:rPr>
        <w:t>ituting a cross-border privacy protection regime across the Asia-Pacific region.</w:t>
      </w:r>
      <w:r w:rsidR="00164D4E">
        <w:rPr>
          <w:rFonts w:ascii="Times New Roman" w:eastAsia="標楷體" w:hAnsi="Times New Roman" w:cs="Times New Roman" w:hint="eastAsia"/>
          <w:sz w:val="28"/>
          <w:szCs w:val="28"/>
        </w:rPr>
        <w:t xml:space="preserve"> Under the APEC P</w:t>
      </w:r>
      <w:r w:rsidR="00164D4E">
        <w:rPr>
          <w:rFonts w:ascii="Times New Roman" w:eastAsia="標楷體" w:hAnsi="Times New Roman" w:cs="Times New Roman"/>
          <w:sz w:val="28"/>
          <w:szCs w:val="28"/>
        </w:rPr>
        <w:t>r</w:t>
      </w:r>
      <w:r w:rsidR="00164D4E">
        <w:rPr>
          <w:rFonts w:ascii="Times New Roman" w:eastAsia="標楷體" w:hAnsi="Times New Roman" w:cs="Times New Roman" w:hint="eastAsia"/>
          <w:sz w:val="28"/>
          <w:szCs w:val="28"/>
        </w:rPr>
        <w:t xml:space="preserve">ivacy </w:t>
      </w:r>
      <w:r w:rsidR="006715ED">
        <w:rPr>
          <w:rFonts w:ascii="Times New Roman" w:eastAsia="標楷體" w:hAnsi="Times New Roman" w:cs="Times New Roman" w:hint="eastAsia"/>
          <w:sz w:val="28"/>
          <w:szCs w:val="28"/>
        </w:rPr>
        <w:t>F</w:t>
      </w:r>
      <w:r w:rsidR="00164D4E">
        <w:rPr>
          <w:rFonts w:ascii="Times New Roman" w:eastAsia="標楷體" w:hAnsi="Times New Roman" w:cs="Times New Roman" w:hint="eastAsia"/>
          <w:sz w:val="28"/>
          <w:szCs w:val="28"/>
        </w:rPr>
        <w:t>ramework, it is expected</w:t>
      </w:r>
      <w:r w:rsidR="005278E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56956">
        <w:rPr>
          <w:rFonts w:ascii="Times New Roman" w:eastAsia="標楷體" w:hAnsi="Times New Roman" w:cs="Times New Roman" w:hint="eastAsia"/>
          <w:sz w:val="28"/>
          <w:szCs w:val="28"/>
        </w:rPr>
        <w:t xml:space="preserve">to </w:t>
      </w:r>
      <w:r w:rsidR="005278ED">
        <w:rPr>
          <w:rFonts w:ascii="Times New Roman" w:eastAsia="標楷體" w:hAnsi="Times New Roman" w:cs="Times New Roman" w:hint="eastAsia"/>
          <w:sz w:val="28"/>
          <w:szCs w:val="28"/>
        </w:rPr>
        <w:t>elevate consumers</w:t>
      </w:r>
      <w:r w:rsidR="005278ED">
        <w:rPr>
          <w:rFonts w:ascii="Times New Roman" w:eastAsia="標楷體" w:hAnsi="Times New Roman" w:cs="Times New Roman"/>
          <w:sz w:val="28"/>
          <w:szCs w:val="28"/>
        </w:rPr>
        <w:t>’</w:t>
      </w:r>
      <w:r w:rsidR="005278ED">
        <w:rPr>
          <w:rFonts w:ascii="Times New Roman" w:eastAsia="標楷體" w:hAnsi="Times New Roman" w:cs="Times New Roman" w:hint="eastAsia"/>
          <w:sz w:val="28"/>
          <w:szCs w:val="28"/>
        </w:rPr>
        <w:t xml:space="preserve"> confidence and trust in cross-border data transmission and to promote the development of e-commerce with</w:t>
      </w:r>
      <w:r w:rsidR="00B27150">
        <w:rPr>
          <w:rFonts w:ascii="Times New Roman" w:eastAsia="標楷體" w:hAnsi="Times New Roman" w:cs="Times New Roman" w:hint="eastAsia"/>
          <w:sz w:val="28"/>
          <w:szCs w:val="28"/>
        </w:rPr>
        <w:t>in</w:t>
      </w:r>
      <w:r w:rsidR="005278ED">
        <w:rPr>
          <w:rFonts w:ascii="Times New Roman" w:eastAsia="標楷體" w:hAnsi="Times New Roman" w:cs="Times New Roman" w:hint="eastAsia"/>
          <w:sz w:val="28"/>
          <w:szCs w:val="28"/>
        </w:rPr>
        <w:t xml:space="preserve"> the region.</w:t>
      </w:r>
      <w:r w:rsidR="00D97B47">
        <w:rPr>
          <w:rFonts w:ascii="Times New Roman" w:eastAsia="標楷體" w:hAnsi="Times New Roman" w:cs="Times New Roman" w:hint="eastAsia"/>
          <w:sz w:val="28"/>
          <w:szCs w:val="28"/>
        </w:rPr>
        <w:t xml:space="preserve"> Chinese Taipei</w:t>
      </w:r>
      <w:r w:rsidR="00D97B47">
        <w:rPr>
          <w:rFonts w:ascii="Times New Roman" w:eastAsia="標楷體" w:hAnsi="Times New Roman" w:cs="Times New Roman"/>
          <w:sz w:val="28"/>
          <w:szCs w:val="28"/>
        </w:rPr>
        <w:t>’</w:t>
      </w:r>
      <w:r w:rsidR="00D97B47">
        <w:rPr>
          <w:rFonts w:ascii="Times New Roman" w:eastAsia="標楷體" w:hAnsi="Times New Roman" w:cs="Times New Roman" w:hint="eastAsia"/>
          <w:sz w:val="28"/>
          <w:szCs w:val="28"/>
        </w:rPr>
        <w:t>s participation in the system would help its small and medium enterprise</w:t>
      </w:r>
      <w:r w:rsidR="00FA5954">
        <w:rPr>
          <w:rFonts w:ascii="Times New Roman" w:eastAsia="標楷體" w:hAnsi="Times New Roman" w:cs="Times New Roman" w:hint="eastAsia"/>
          <w:sz w:val="28"/>
          <w:szCs w:val="28"/>
        </w:rPr>
        <w:t>s win more overseas business opportunities</w:t>
      </w:r>
      <w:r w:rsidR="00B70574">
        <w:rPr>
          <w:rFonts w:ascii="Times New Roman" w:eastAsia="標楷體" w:hAnsi="Times New Roman" w:cs="Times New Roman" w:hint="eastAsia"/>
          <w:sz w:val="28"/>
          <w:szCs w:val="28"/>
        </w:rPr>
        <w:t xml:space="preserve">, </w:t>
      </w:r>
      <w:r w:rsidR="00FA5954">
        <w:rPr>
          <w:rFonts w:ascii="Times New Roman" w:eastAsia="標楷體" w:hAnsi="Times New Roman" w:cs="Times New Roman" w:hint="eastAsia"/>
          <w:sz w:val="28"/>
          <w:szCs w:val="28"/>
        </w:rPr>
        <w:t>boost its international image for attaching high importance to privacy protection</w:t>
      </w:r>
      <w:r w:rsidR="00B70574">
        <w:rPr>
          <w:rFonts w:ascii="Times New Roman" w:eastAsia="標楷體" w:hAnsi="Times New Roman" w:cs="Times New Roman" w:hint="eastAsia"/>
          <w:sz w:val="28"/>
          <w:szCs w:val="28"/>
        </w:rPr>
        <w:t xml:space="preserve">, </w:t>
      </w:r>
      <w:r w:rsidR="00FA5954">
        <w:rPr>
          <w:rFonts w:ascii="Times New Roman" w:eastAsia="標楷體" w:hAnsi="Times New Roman" w:cs="Times New Roman" w:hint="eastAsia"/>
          <w:sz w:val="28"/>
          <w:szCs w:val="28"/>
        </w:rPr>
        <w:t xml:space="preserve">create more </w:t>
      </w:r>
      <w:r w:rsidR="00FA5954">
        <w:rPr>
          <w:rFonts w:ascii="Times New Roman" w:eastAsia="標楷體" w:hAnsi="Times New Roman" w:cs="Times New Roman"/>
          <w:sz w:val="28"/>
          <w:szCs w:val="28"/>
        </w:rPr>
        <w:t>opportunities</w:t>
      </w:r>
      <w:r w:rsidR="00FA5954">
        <w:rPr>
          <w:rFonts w:ascii="Times New Roman" w:eastAsia="標楷體" w:hAnsi="Times New Roman" w:cs="Times New Roman" w:hint="eastAsia"/>
          <w:sz w:val="28"/>
          <w:szCs w:val="28"/>
        </w:rPr>
        <w:t xml:space="preserve"> for cross-border collaboration, </w:t>
      </w:r>
      <w:r w:rsidR="004518D5">
        <w:rPr>
          <w:rFonts w:ascii="Times New Roman" w:eastAsia="標楷體" w:hAnsi="Times New Roman" w:cs="Times New Roman" w:hint="eastAsia"/>
          <w:sz w:val="28"/>
          <w:szCs w:val="28"/>
        </w:rPr>
        <w:t xml:space="preserve">and </w:t>
      </w:r>
      <w:r w:rsidR="00FA5954">
        <w:rPr>
          <w:rFonts w:ascii="Times New Roman" w:eastAsia="標楷體" w:hAnsi="Times New Roman" w:cs="Times New Roman" w:hint="eastAsia"/>
          <w:sz w:val="28"/>
          <w:szCs w:val="28"/>
        </w:rPr>
        <w:t xml:space="preserve">shape the beneficial conditions for promoting cross-border digital trade, pursuant to </w:t>
      </w:r>
      <w:r w:rsidR="002E495F">
        <w:rPr>
          <w:rFonts w:ascii="Times New Roman" w:eastAsia="標楷體" w:hAnsi="Times New Roman" w:cs="Times New Roman" w:hint="eastAsia"/>
          <w:sz w:val="28"/>
          <w:szCs w:val="28"/>
        </w:rPr>
        <w:t xml:space="preserve">its </w:t>
      </w:r>
      <w:r w:rsidR="00FA5954">
        <w:rPr>
          <w:rFonts w:ascii="Times New Roman" w:eastAsia="標楷體" w:hAnsi="Times New Roman" w:cs="Times New Roman" w:hint="eastAsia"/>
          <w:sz w:val="28"/>
          <w:szCs w:val="28"/>
        </w:rPr>
        <w:t>national interest and the international trend.</w:t>
      </w:r>
    </w:p>
    <w:p w:rsidR="009751CC" w:rsidRDefault="009751CC" w:rsidP="00CB3C74">
      <w:pPr>
        <w:adjustRightInd w:val="0"/>
        <w:snapToGrid w:val="0"/>
        <w:spacing w:beforeLines="50" w:before="18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The basic tenet of the APEC CBPR system is to promote </w:t>
      </w:r>
      <w:r w:rsidR="002A3901">
        <w:rPr>
          <w:rFonts w:ascii="Times New Roman" w:eastAsia="標楷體" w:hAnsi="Times New Roman" w:cs="Times New Roman" w:hint="eastAsia"/>
          <w:sz w:val="28"/>
          <w:szCs w:val="28"/>
        </w:rPr>
        <w:t xml:space="preserve">and facilitate </w:t>
      </w:r>
      <w:r>
        <w:rPr>
          <w:rFonts w:ascii="Times New Roman" w:eastAsia="標楷體" w:hAnsi="Times New Roman" w:cs="Times New Roman" w:hint="eastAsia"/>
          <w:sz w:val="28"/>
          <w:szCs w:val="28"/>
        </w:rPr>
        <w:t>cross-border data transmission and flows. C</w:t>
      </w:r>
      <w:r>
        <w:rPr>
          <w:rFonts w:ascii="Times New Roman" w:eastAsia="標楷體" w:hAnsi="Times New Roman" w:cs="Times New Roman"/>
          <w:sz w:val="28"/>
          <w:szCs w:val="28"/>
        </w:rPr>
        <w:t>o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mpared to the </w:t>
      </w:r>
      <w:r w:rsidR="00B578A8">
        <w:rPr>
          <w:rFonts w:ascii="Times New Roman" w:eastAsia="標楷體" w:hAnsi="Times New Roman" w:cs="Times New Roman" w:hint="eastAsia"/>
          <w:sz w:val="28"/>
          <w:szCs w:val="28"/>
        </w:rPr>
        <w:t>EU</w:t>
      </w:r>
      <w:r w:rsidR="00B578A8">
        <w:rPr>
          <w:rFonts w:ascii="Times New Roman" w:eastAsia="標楷體" w:hAnsi="Times New Roman" w:cs="Times New Roman"/>
          <w:sz w:val="28"/>
          <w:szCs w:val="28"/>
        </w:rPr>
        <w:t>’</w:t>
      </w:r>
      <w:r w:rsidR="00B578A8">
        <w:rPr>
          <w:rFonts w:ascii="Times New Roman" w:eastAsia="標楷體" w:hAnsi="Times New Roman" w:cs="Times New Roman" w:hint="eastAsia"/>
          <w:sz w:val="28"/>
          <w:szCs w:val="28"/>
        </w:rPr>
        <w:t xml:space="preserve">s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GDPR, which </w:t>
      </w:r>
      <w:r w:rsidR="00332F88">
        <w:rPr>
          <w:rFonts w:ascii="Times New Roman" w:eastAsia="標楷體" w:hAnsi="Times New Roman" w:cs="Times New Roman" w:hint="eastAsia"/>
          <w:sz w:val="28"/>
          <w:szCs w:val="28"/>
        </w:rPr>
        <w:t xml:space="preserve">has gone </w:t>
      </w:r>
      <w:r>
        <w:rPr>
          <w:rFonts w:ascii="Times New Roman" w:eastAsia="標楷體" w:hAnsi="Times New Roman" w:cs="Times New Roman" w:hint="eastAsia"/>
          <w:sz w:val="28"/>
          <w:szCs w:val="28"/>
        </w:rPr>
        <w:t>into effect in May this year</w:t>
      </w:r>
      <w:r w:rsidR="00EF469C">
        <w:rPr>
          <w:rFonts w:ascii="Times New Roman" w:eastAsia="標楷體" w:hAnsi="Times New Roman" w:cs="Times New Roman" w:hint="eastAsia"/>
          <w:sz w:val="28"/>
          <w:szCs w:val="28"/>
        </w:rPr>
        <w:t xml:space="preserve"> and has been regarded as the most vigorous regime ever since</w:t>
      </w:r>
      <w:r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C7611C">
        <w:rPr>
          <w:rFonts w:ascii="Times New Roman" w:eastAsia="標楷體" w:hAnsi="Times New Roman" w:cs="Times New Roman" w:hint="eastAsia"/>
          <w:sz w:val="28"/>
          <w:szCs w:val="28"/>
        </w:rPr>
        <w:t xml:space="preserve"> the requirements </w:t>
      </w:r>
      <w:r w:rsidR="00DA5A1C">
        <w:rPr>
          <w:rFonts w:ascii="Times New Roman" w:eastAsia="標楷體" w:hAnsi="Times New Roman" w:cs="Times New Roman" w:hint="eastAsia"/>
          <w:sz w:val="28"/>
          <w:szCs w:val="28"/>
        </w:rPr>
        <w:t xml:space="preserve">of </w:t>
      </w:r>
      <w:r w:rsidR="00C7611C">
        <w:rPr>
          <w:rFonts w:ascii="Times New Roman" w:eastAsia="標楷體" w:hAnsi="Times New Roman" w:cs="Times New Roman" w:hint="eastAsia"/>
          <w:sz w:val="28"/>
          <w:szCs w:val="28"/>
        </w:rPr>
        <w:t xml:space="preserve">the APEC CBPR system to enterprises </w:t>
      </w:r>
      <w:r w:rsidR="00C7611C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and organizations are </w:t>
      </w:r>
      <w:r w:rsidR="00E32D2C">
        <w:rPr>
          <w:rFonts w:ascii="Times New Roman" w:eastAsia="標楷體" w:hAnsi="Times New Roman" w:cs="Times New Roman" w:hint="eastAsia"/>
          <w:sz w:val="28"/>
          <w:szCs w:val="28"/>
        </w:rPr>
        <w:t>less stringent</w:t>
      </w:r>
      <w:r w:rsidR="00C7611C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C235DE">
        <w:rPr>
          <w:rFonts w:ascii="Times New Roman" w:eastAsia="標楷體" w:hAnsi="Times New Roman" w:cs="Times New Roman" w:hint="eastAsia"/>
          <w:sz w:val="28"/>
          <w:szCs w:val="28"/>
        </w:rPr>
        <w:t xml:space="preserve"> As the SMEs account for the vast majority of C</w:t>
      </w:r>
      <w:r w:rsidR="00C235DE">
        <w:rPr>
          <w:rFonts w:ascii="Times New Roman" w:eastAsia="標楷體" w:hAnsi="Times New Roman" w:cs="Times New Roman"/>
          <w:sz w:val="28"/>
          <w:szCs w:val="28"/>
        </w:rPr>
        <w:t>h</w:t>
      </w:r>
      <w:r w:rsidR="00C235DE">
        <w:rPr>
          <w:rFonts w:ascii="Times New Roman" w:eastAsia="標楷體" w:hAnsi="Times New Roman" w:cs="Times New Roman" w:hint="eastAsia"/>
          <w:sz w:val="28"/>
          <w:szCs w:val="28"/>
        </w:rPr>
        <w:t>inese Taipei</w:t>
      </w:r>
      <w:r w:rsidR="00C235DE">
        <w:rPr>
          <w:rFonts w:ascii="Times New Roman" w:eastAsia="標楷體" w:hAnsi="Times New Roman" w:cs="Times New Roman"/>
          <w:sz w:val="28"/>
          <w:szCs w:val="28"/>
        </w:rPr>
        <w:t>’</w:t>
      </w:r>
      <w:r w:rsidR="00C235DE">
        <w:rPr>
          <w:rFonts w:ascii="Times New Roman" w:eastAsia="標楷體" w:hAnsi="Times New Roman" w:cs="Times New Roman" w:hint="eastAsia"/>
          <w:sz w:val="28"/>
          <w:szCs w:val="28"/>
        </w:rPr>
        <w:t>s enterprises,</w:t>
      </w:r>
      <w:r w:rsidR="000C600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435F2">
        <w:rPr>
          <w:rFonts w:ascii="Times New Roman" w:eastAsia="標楷體" w:hAnsi="Times New Roman" w:cs="Times New Roman" w:hint="eastAsia"/>
          <w:sz w:val="28"/>
          <w:szCs w:val="28"/>
        </w:rPr>
        <w:t>the country</w:t>
      </w:r>
      <w:r w:rsidR="00F435F2">
        <w:rPr>
          <w:rFonts w:ascii="Times New Roman" w:eastAsia="標楷體" w:hAnsi="Times New Roman" w:cs="Times New Roman"/>
          <w:sz w:val="28"/>
          <w:szCs w:val="28"/>
        </w:rPr>
        <w:t>’</w:t>
      </w:r>
      <w:r w:rsidR="00F435F2">
        <w:rPr>
          <w:rFonts w:ascii="Times New Roman" w:eastAsia="標楷體" w:hAnsi="Times New Roman" w:cs="Times New Roman" w:hint="eastAsia"/>
          <w:sz w:val="28"/>
          <w:szCs w:val="28"/>
        </w:rPr>
        <w:t xml:space="preserve">s </w:t>
      </w:r>
      <w:r w:rsidR="000C600F">
        <w:rPr>
          <w:rFonts w:ascii="Times New Roman" w:eastAsia="標楷體" w:hAnsi="Times New Roman" w:cs="Times New Roman" w:hint="eastAsia"/>
          <w:sz w:val="28"/>
          <w:szCs w:val="28"/>
        </w:rPr>
        <w:t>participation in the system would help</w:t>
      </w:r>
      <w:r w:rsidR="00F1706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C600F">
        <w:rPr>
          <w:rFonts w:ascii="Times New Roman" w:eastAsia="標楷體" w:hAnsi="Times New Roman" w:cs="Times New Roman" w:hint="eastAsia"/>
          <w:sz w:val="28"/>
          <w:szCs w:val="28"/>
        </w:rPr>
        <w:t>establish its own comprehensive regime for personal data protection gradually</w:t>
      </w:r>
      <w:r w:rsidR="00F17065">
        <w:rPr>
          <w:rFonts w:ascii="Times New Roman" w:eastAsia="標楷體" w:hAnsi="Times New Roman" w:cs="Times New Roman" w:hint="eastAsia"/>
          <w:sz w:val="28"/>
          <w:szCs w:val="28"/>
        </w:rPr>
        <w:t xml:space="preserve">, </w:t>
      </w:r>
      <w:r w:rsidR="000C600F">
        <w:rPr>
          <w:rFonts w:ascii="Times New Roman" w:eastAsia="標楷體" w:hAnsi="Times New Roman" w:cs="Times New Roman" w:hint="eastAsia"/>
          <w:sz w:val="28"/>
          <w:szCs w:val="28"/>
        </w:rPr>
        <w:t>and</w:t>
      </w:r>
      <w:r w:rsidR="00F1706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37197">
        <w:rPr>
          <w:rFonts w:ascii="Times New Roman" w:eastAsia="標楷體" w:hAnsi="Times New Roman" w:cs="Times New Roman" w:hint="eastAsia"/>
          <w:sz w:val="28"/>
          <w:szCs w:val="28"/>
        </w:rPr>
        <w:t xml:space="preserve">prepare and </w:t>
      </w:r>
      <w:r w:rsidR="000C600F">
        <w:rPr>
          <w:rFonts w:ascii="Times New Roman" w:eastAsia="標楷體" w:hAnsi="Times New Roman" w:cs="Times New Roman" w:hint="eastAsia"/>
          <w:sz w:val="28"/>
          <w:szCs w:val="28"/>
        </w:rPr>
        <w:t>ready itself</w:t>
      </w:r>
      <w:r w:rsidR="00882659">
        <w:rPr>
          <w:rFonts w:ascii="Times New Roman" w:eastAsia="標楷體" w:hAnsi="Times New Roman" w:cs="Times New Roman" w:hint="eastAsia"/>
          <w:sz w:val="28"/>
          <w:szCs w:val="28"/>
        </w:rPr>
        <w:t xml:space="preserve"> further </w:t>
      </w:r>
      <w:r w:rsidR="0042580E">
        <w:rPr>
          <w:rFonts w:ascii="Times New Roman" w:eastAsia="標楷體" w:hAnsi="Times New Roman" w:cs="Times New Roman" w:hint="eastAsia"/>
          <w:sz w:val="28"/>
          <w:szCs w:val="28"/>
        </w:rPr>
        <w:t>for being in conformance with international standards such as that of the EU.</w:t>
      </w:r>
      <w:r w:rsidR="00574D1E">
        <w:rPr>
          <w:rFonts w:ascii="Times New Roman" w:eastAsia="標楷體" w:hAnsi="Times New Roman" w:cs="Times New Roman" w:hint="eastAsia"/>
          <w:sz w:val="28"/>
          <w:szCs w:val="28"/>
        </w:rPr>
        <w:t xml:space="preserve"> The idea is to prevent the </w:t>
      </w:r>
      <w:r w:rsidR="00801083">
        <w:rPr>
          <w:rFonts w:ascii="Times New Roman" w:eastAsia="標楷體" w:hAnsi="Times New Roman" w:cs="Times New Roman" w:hint="eastAsia"/>
          <w:sz w:val="28"/>
          <w:szCs w:val="28"/>
        </w:rPr>
        <w:t xml:space="preserve">economy </w:t>
      </w:r>
      <w:r w:rsidR="00574D1E">
        <w:rPr>
          <w:rFonts w:ascii="Times New Roman" w:eastAsia="標楷體" w:hAnsi="Times New Roman" w:cs="Times New Roman" w:hint="eastAsia"/>
          <w:sz w:val="28"/>
          <w:szCs w:val="28"/>
        </w:rPr>
        <w:t>from any</w:t>
      </w:r>
      <w:r w:rsidR="0080108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74D1E">
        <w:rPr>
          <w:rFonts w:ascii="Times New Roman" w:eastAsia="標楷體" w:hAnsi="Times New Roman" w:cs="Times New Roman" w:hint="eastAsia"/>
          <w:sz w:val="28"/>
          <w:szCs w:val="28"/>
        </w:rPr>
        <w:t>restriction</w:t>
      </w:r>
      <w:r w:rsidR="000A3D09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="00CF137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47492">
        <w:rPr>
          <w:rFonts w:ascii="Times New Roman" w:eastAsia="標楷體" w:hAnsi="Times New Roman" w:cs="Times New Roman" w:hint="eastAsia"/>
          <w:sz w:val="28"/>
          <w:szCs w:val="28"/>
        </w:rPr>
        <w:t>and possible impacts</w:t>
      </w:r>
      <w:r w:rsidR="009E057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6226B">
        <w:rPr>
          <w:rFonts w:ascii="Times New Roman" w:eastAsia="標楷體" w:hAnsi="Times New Roman" w:cs="Times New Roman" w:hint="eastAsia"/>
          <w:sz w:val="28"/>
          <w:szCs w:val="28"/>
        </w:rPr>
        <w:t xml:space="preserve">from </w:t>
      </w:r>
      <w:r w:rsidR="009E0577">
        <w:rPr>
          <w:rFonts w:ascii="Times New Roman" w:eastAsia="標楷體" w:hAnsi="Times New Roman" w:cs="Times New Roman" w:hint="eastAsia"/>
          <w:sz w:val="28"/>
          <w:szCs w:val="28"/>
        </w:rPr>
        <w:t>international requirements for per</w:t>
      </w:r>
      <w:r w:rsidR="00BA448F">
        <w:rPr>
          <w:rFonts w:ascii="Times New Roman" w:eastAsia="標楷體" w:hAnsi="Times New Roman" w:cs="Times New Roman" w:hint="eastAsia"/>
          <w:sz w:val="28"/>
          <w:szCs w:val="28"/>
        </w:rPr>
        <w:t>sonal data protection.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9F047D" w:rsidRDefault="009F047D" w:rsidP="00CB3C74">
      <w:pPr>
        <w:adjustRightInd w:val="0"/>
        <w:snapToGrid w:val="0"/>
        <w:spacing w:beforeLines="50" w:before="18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The APEC has been </w:t>
      </w:r>
      <w:r w:rsidR="004C7E6A">
        <w:rPr>
          <w:rFonts w:ascii="Times New Roman" w:eastAsia="標楷體" w:hAnsi="Times New Roman" w:cs="Times New Roman" w:hint="eastAsia"/>
          <w:sz w:val="28"/>
          <w:szCs w:val="28"/>
        </w:rPr>
        <w:t xml:space="preserve">trying </w:t>
      </w:r>
      <w:r w:rsidR="005658AB">
        <w:rPr>
          <w:rFonts w:ascii="Times New Roman" w:eastAsia="標楷體" w:hAnsi="Times New Roman" w:cs="Times New Roman" w:hint="eastAsia"/>
          <w:sz w:val="28"/>
          <w:szCs w:val="28"/>
        </w:rPr>
        <w:t xml:space="preserve">to </w:t>
      </w:r>
      <w:r>
        <w:rPr>
          <w:rFonts w:ascii="Times New Roman" w:eastAsia="標楷體" w:hAnsi="Times New Roman" w:cs="Times New Roman" w:hint="eastAsia"/>
          <w:sz w:val="28"/>
          <w:szCs w:val="28"/>
        </w:rPr>
        <w:t>promot</w:t>
      </w:r>
      <w:r w:rsidR="004C7E6A">
        <w:rPr>
          <w:rFonts w:ascii="Times New Roman" w:eastAsia="標楷體" w:hAnsi="Times New Roman" w:cs="Times New Roman" w:hint="eastAsia"/>
          <w:sz w:val="28"/>
          <w:szCs w:val="28"/>
        </w:rPr>
        <w:t xml:space="preserve">e </w:t>
      </w:r>
      <w:r>
        <w:rPr>
          <w:rFonts w:ascii="Times New Roman" w:eastAsia="標楷體" w:hAnsi="Times New Roman" w:cs="Times New Roman" w:hint="eastAsia"/>
          <w:sz w:val="28"/>
          <w:szCs w:val="28"/>
        </w:rPr>
        <w:t>the interoperability between the APEC CBPR system and the EU GDPR regime.</w:t>
      </w:r>
      <w:r w:rsidR="004A1719">
        <w:rPr>
          <w:rFonts w:ascii="Times New Roman" w:eastAsia="標楷體" w:hAnsi="Times New Roman" w:cs="Times New Roman" w:hint="eastAsia"/>
          <w:sz w:val="28"/>
          <w:szCs w:val="28"/>
        </w:rPr>
        <w:t xml:space="preserve"> In </w:t>
      </w:r>
      <w:r w:rsidR="004A1719">
        <w:rPr>
          <w:rFonts w:ascii="Times New Roman" w:eastAsia="標楷體" w:hAnsi="Times New Roman" w:cs="Times New Roman"/>
          <w:sz w:val="28"/>
          <w:szCs w:val="28"/>
        </w:rPr>
        <w:t>addition to the APEC CBPR</w:t>
      </w:r>
      <w:r w:rsidR="00D06650">
        <w:rPr>
          <w:rFonts w:ascii="Times New Roman" w:eastAsia="標楷體" w:hAnsi="Times New Roman" w:cs="Times New Roman" w:hint="eastAsia"/>
          <w:sz w:val="28"/>
          <w:szCs w:val="28"/>
        </w:rPr>
        <w:t xml:space="preserve"> system</w:t>
      </w:r>
      <w:r w:rsidR="004A1719">
        <w:rPr>
          <w:rFonts w:ascii="Times New Roman" w:eastAsia="標楷體" w:hAnsi="Times New Roman" w:cs="Times New Roman"/>
          <w:sz w:val="28"/>
          <w:szCs w:val="28"/>
        </w:rPr>
        <w:t>, the United States also</w:t>
      </w:r>
      <w:r w:rsidR="003248FB">
        <w:rPr>
          <w:rFonts w:ascii="Times New Roman" w:eastAsia="標楷體" w:hAnsi="Times New Roman" w:cs="Times New Roman" w:hint="eastAsia"/>
          <w:sz w:val="28"/>
          <w:szCs w:val="28"/>
        </w:rPr>
        <w:t xml:space="preserve"> engage</w:t>
      </w:r>
      <w:r w:rsidR="00F21E1C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="003248FB">
        <w:rPr>
          <w:rFonts w:ascii="Times New Roman" w:eastAsia="標楷體" w:hAnsi="Times New Roman" w:cs="Times New Roman" w:hint="eastAsia"/>
          <w:sz w:val="28"/>
          <w:szCs w:val="28"/>
        </w:rPr>
        <w:t xml:space="preserve"> in the Privacy Shield agreement with the EU concurrently</w:t>
      </w:r>
      <w:r w:rsidR="009615C4">
        <w:rPr>
          <w:rFonts w:ascii="Times New Roman" w:eastAsia="標楷體" w:hAnsi="Times New Roman" w:cs="Times New Roman" w:hint="eastAsia"/>
          <w:sz w:val="28"/>
          <w:szCs w:val="28"/>
        </w:rPr>
        <w:t xml:space="preserve"> in response to the institution of the EU GDPR</w:t>
      </w:r>
      <w:r w:rsidR="003248FB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D136E2">
        <w:rPr>
          <w:rFonts w:ascii="Times New Roman" w:eastAsia="標楷體" w:hAnsi="Times New Roman" w:cs="Times New Roman" w:hint="eastAsia"/>
          <w:sz w:val="28"/>
          <w:szCs w:val="28"/>
        </w:rPr>
        <w:t xml:space="preserve"> On the other side, Japan has also completed its own negotiation with the EU on the same front of bridging its own privacy regime with that of the EU.</w:t>
      </w:r>
    </w:p>
    <w:p w:rsidR="00037AE4" w:rsidRDefault="00FE2E69" w:rsidP="00CB3C74">
      <w:pPr>
        <w:adjustRightInd w:val="0"/>
        <w:snapToGrid w:val="0"/>
        <w:spacing w:beforeLines="50" w:before="18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As C</w:t>
      </w:r>
      <w:r>
        <w:rPr>
          <w:rFonts w:ascii="Times New Roman" w:eastAsia="標楷體" w:hAnsi="Times New Roman" w:cs="Times New Roman"/>
          <w:sz w:val="28"/>
          <w:szCs w:val="28"/>
        </w:rPr>
        <w:t>h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inese Taipei does not </w:t>
      </w:r>
      <w:r w:rsidR="002775B4">
        <w:rPr>
          <w:rFonts w:ascii="Times New Roman" w:eastAsia="標楷體" w:hAnsi="Times New Roman" w:cs="Times New Roman" w:hint="eastAsia"/>
          <w:sz w:val="28"/>
          <w:szCs w:val="28"/>
        </w:rPr>
        <w:t xml:space="preserve">designate one </w:t>
      </w:r>
      <w:r>
        <w:rPr>
          <w:rFonts w:ascii="Times New Roman" w:eastAsia="標楷體" w:hAnsi="Times New Roman" w:cs="Times New Roman" w:hint="eastAsia"/>
          <w:sz w:val="28"/>
          <w:szCs w:val="28"/>
        </w:rPr>
        <w:t>single competent authority i</w:t>
      </w:r>
      <w:r w:rsidR="002C56C2">
        <w:rPr>
          <w:rFonts w:ascii="Times New Roman" w:eastAsia="標楷體" w:hAnsi="Times New Roman" w:cs="Times New Roman" w:hint="eastAsia"/>
          <w:sz w:val="28"/>
          <w:szCs w:val="28"/>
        </w:rPr>
        <w:t xml:space="preserve">n charge </w:t>
      </w:r>
      <w:r w:rsidR="00FB4B4B">
        <w:rPr>
          <w:rFonts w:ascii="Times New Roman" w:eastAsia="標楷體" w:hAnsi="Times New Roman" w:cs="Times New Roman" w:hint="eastAsia"/>
          <w:sz w:val="28"/>
          <w:szCs w:val="28"/>
        </w:rPr>
        <w:t>of the personal data protection</w:t>
      </w:r>
      <w:r w:rsidR="00B62D7F">
        <w:rPr>
          <w:rFonts w:ascii="Times New Roman" w:eastAsia="標楷體" w:hAnsi="Times New Roman" w:cs="Times New Roman" w:hint="eastAsia"/>
          <w:sz w:val="28"/>
          <w:szCs w:val="28"/>
        </w:rPr>
        <w:t xml:space="preserve"> regime of the country</w:t>
      </w:r>
      <w:r w:rsidR="00FB4B4B">
        <w:rPr>
          <w:rFonts w:ascii="Times New Roman" w:eastAsia="標楷體" w:hAnsi="Times New Roman" w:cs="Times New Roman" w:hint="eastAsia"/>
          <w:sz w:val="28"/>
          <w:szCs w:val="28"/>
        </w:rPr>
        <w:t>, the task for such</w:t>
      </w:r>
      <w:r w:rsidR="00BE342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B4B4B">
        <w:rPr>
          <w:rFonts w:ascii="Times New Roman" w:eastAsia="標楷體" w:hAnsi="Times New Roman" w:cs="Times New Roman" w:hint="eastAsia"/>
          <w:sz w:val="28"/>
          <w:szCs w:val="28"/>
        </w:rPr>
        <w:t>participation</w:t>
      </w:r>
      <w:r w:rsidR="009F249A">
        <w:rPr>
          <w:rFonts w:ascii="Times New Roman" w:eastAsia="標楷體" w:hAnsi="Times New Roman" w:cs="Times New Roman" w:hint="eastAsia"/>
          <w:sz w:val="28"/>
          <w:szCs w:val="28"/>
        </w:rPr>
        <w:t xml:space="preserve"> into the said system would have to </w:t>
      </w:r>
      <w:r w:rsidR="00FB4B4B">
        <w:rPr>
          <w:rFonts w:ascii="Times New Roman" w:eastAsia="標楷體" w:hAnsi="Times New Roman" w:cs="Times New Roman"/>
          <w:sz w:val="28"/>
          <w:szCs w:val="28"/>
        </w:rPr>
        <w:t>involve</w:t>
      </w:r>
      <w:r w:rsidR="009F249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B4B4B">
        <w:rPr>
          <w:rFonts w:ascii="Times New Roman" w:eastAsia="標楷體" w:hAnsi="Times New Roman" w:cs="Times New Roman" w:hint="eastAsia"/>
          <w:sz w:val="28"/>
          <w:szCs w:val="28"/>
        </w:rPr>
        <w:t>at least 15 related ministries/commissions, including Ministry of Justice, Ministry of Economic Affairs, Financial S</w:t>
      </w:r>
      <w:r w:rsidR="00FB4B4B">
        <w:rPr>
          <w:rFonts w:ascii="Times New Roman" w:eastAsia="標楷體" w:hAnsi="Times New Roman" w:cs="Times New Roman"/>
          <w:sz w:val="28"/>
          <w:szCs w:val="28"/>
        </w:rPr>
        <w:t>u</w:t>
      </w:r>
      <w:r w:rsidR="00FB4B4B">
        <w:rPr>
          <w:rFonts w:ascii="Times New Roman" w:eastAsia="標楷體" w:hAnsi="Times New Roman" w:cs="Times New Roman" w:hint="eastAsia"/>
          <w:sz w:val="28"/>
          <w:szCs w:val="28"/>
        </w:rPr>
        <w:t>pervisory Commission, etc.</w:t>
      </w:r>
      <w:r w:rsidR="00DA4863">
        <w:rPr>
          <w:rFonts w:ascii="Times New Roman" w:eastAsia="標楷體" w:hAnsi="Times New Roman" w:cs="Times New Roman" w:hint="eastAsia"/>
          <w:sz w:val="28"/>
          <w:szCs w:val="28"/>
        </w:rPr>
        <w:t xml:space="preserve"> The NDC Minster Chen has convened </w:t>
      </w:r>
      <w:r w:rsidR="00E17AC9">
        <w:rPr>
          <w:rFonts w:ascii="Times New Roman" w:eastAsia="標楷體" w:hAnsi="Times New Roman" w:cs="Times New Roman" w:hint="eastAsia"/>
          <w:sz w:val="28"/>
          <w:szCs w:val="28"/>
        </w:rPr>
        <w:t xml:space="preserve">a </w:t>
      </w:r>
      <w:r w:rsidR="00DA4863">
        <w:rPr>
          <w:rFonts w:ascii="Times New Roman" w:eastAsia="標楷體" w:hAnsi="Times New Roman" w:cs="Times New Roman" w:hint="eastAsia"/>
          <w:sz w:val="28"/>
          <w:szCs w:val="28"/>
        </w:rPr>
        <w:t>cross-ministerial meeting this February</w:t>
      </w:r>
      <w:r w:rsidR="00616948">
        <w:rPr>
          <w:rFonts w:ascii="Times New Roman" w:eastAsia="標楷體" w:hAnsi="Times New Roman" w:cs="Times New Roman" w:hint="eastAsia"/>
          <w:sz w:val="28"/>
          <w:szCs w:val="28"/>
        </w:rPr>
        <w:t xml:space="preserve"> to </w:t>
      </w:r>
      <w:r w:rsidR="000C14C8">
        <w:rPr>
          <w:rFonts w:ascii="Times New Roman" w:eastAsia="標楷體" w:hAnsi="Times New Roman" w:cs="Times New Roman" w:hint="eastAsia"/>
          <w:sz w:val="28"/>
          <w:szCs w:val="28"/>
        </w:rPr>
        <w:t xml:space="preserve">set out </w:t>
      </w:r>
      <w:r w:rsidR="00616948">
        <w:rPr>
          <w:rFonts w:ascii="Times New Roman" w:eastAsia="標楷體" w:hAnsi="Times New Roman" w:cs="Times New Roman" w:hint="eastAsia"/>
          <w:sz w:val="28"/>
          <w:szCs w:val="28"/>
        </w:rPr>
        <w:t>the division of labor among competent authorities</w:t>
      </w:r>
      <w:r w:rsidR="00FB1EA6">
        <w:rPr>
          <w:rFonts w:ascii="Times New Roman" w:eastAsia="標楷體" w:hAnsi="Times New Roman" w:cs="Times New Roman" w:hint="eastAsia"/>
          <w:sz w:val="28"/>
          <w:szCs w:val="28"/>
        </w:rPr>
        <w:t xml:space="preserve"> and the NDC was instructed to draft all related document</w:t>
      </w:r>
      <w:r w:rsidR="000C14C8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="00FB1EA6">
        <w:rPr>
          <w:rFonts w:ascii="Times New Roman" w:eastAsia="標楷體" w:hAnsi="Times New Roman" w:cs="Times New Roman" w:hint="eastAsia"/>
          <w:sz w:val="28"/>
          <w:szCs w:val="28"/>
        </w:rPr>
        <w:t xml:space="preserve"> needed for the application with the confirmation of competent authorities involved.</w:t>
      </w:r>
      <w:r w:rsidR="004B3DAC">
        <w:rPr>
          <w:rFonts w:ascii="Times New Roman" w:eastAsia="標楷體" w:hAnsi="Times New Roman" w:cs="Times New Roman" w:hint="eastAsia"/>
          <w:sz w:val="28"/>
          <w:szCs w:val="28"/>
        </w:rPr>
        <w:t xml:space="preserve"> On M</w:t>
      </w:r>
      <w:r w:rsidR="004B3DAC">
        <w:rPr>
          <w:rFonts w:ascii="Times New Roman" w:eastAsia="標楷體" w:hAnsi="Times New Roman" w:cs="Times New Roman"/>
          <w:sz w:val="28"/>
          <w:szCs w:val="28"/>
        </w:rPr>
        <w:t>a</w:t>
      </w:r>
      <w:r w:rsidR="004B3DAC">
        <w:rPr>
          <w:rFonts w:ascii="Times New Roman" w:eastAsia="標楷體" w:hAnsi="Times New Roman" w:cs="Times New Roman" w:hint="eastAsia"/>
          <w:sz w:val="28"/>
          <w:szCs w:val="28"/>
        </w:rPr>
        <w:t>rch 8</w:t>
      </w:r>
      <w:r w:rsidR="004B3DAC" w:rsidRPr="004B3DAC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>th</w:t>
      </w:r>
      <w:r w:rsidR="004B3DAC">
        <w:rPr>
          <w:rFonts w:ascii="Times New Roman" w:eastAsia="標楷體" w:hAnsi="Times New Roman" w:cs="Times New Roman" w:hint="eastAsia"/>
          <w:sz w:val="28"/>
          <w:szCs w:val="28"/>
        </w:rPr>
        <w:t xml:space="preserve"> during the APEC SOM1 meeting, C</w:t>
      </w:r>
      <w:r w:rsidR="004B3DAC">
        <w:rPr>
          <w:rFonts w:ascii="Times New Roman" w:eastAsia="標楷體" w:hAnsi="Times New Roman" w:cs="Times New Roman"/>
          <w:sz w:val="28"/>
          <w:szCs w:val="28"/>
        </w:rPr>
        <w:t>h</w:t>
      </w:r>
      <w:r w:rsidR="004B3DAC">
        <w:rPr>
          <w:rFonts w:ascii="Times New Roman" w:eastAsia="標楷體" w:hAnsi="Times New Roman" w:cs="Times New Roman" w:hint="eastAsia"/>
          <w:sz w:val="28"/>
          <w:szCs w:val="28"/>
        </w:rPr>
        <w:t>inese Taipei</w:t>
      </w:r>
      <w:r w:rsidR="00C267F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B3DAC">
        <w:rPr>
          <w:rFonts w:ascii="Times New Roman" w:eastAsia="標楷體" w:hAnsi="Times New Roman" w:cs="Times New Roman" w:hint="eastAsia"/>
          <w:sz w:val="28"/>
          <w:szCs w:val="28"/>
        </w:rPr>
        <w:t>submitted its application and</w:t>
      </w:r>
      <w:r w:rsidR="00C267F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B3DAC">
        <w:rPr>
          <w:rFonts w:ascii="Times New Roman" w:eastAsia="標楷體" w:hAnsi="Times New Roman" w:cs="Times New Roman" w:hint="eastAsia"/>
          <w:sz w:val="28"/>
          <w:szCs w:val="28"/>
        </w:rPr>
        <w:t xml:space="preserve">afterwards communicated </w:t>
      </w:r>
      <w:r w:rsidR="00F6351B">
        <w:rPr>
          <w:rFonts w:ascii="Times New Roman" w:eastAsia="標楷體" w:hAnsi="Times New Roman" w:cs="Times New Roman" w:hint="eastAsia"/>
          <w:sz w:val="28"/>
          <w:szCs w:val="28"/>
        </w:rPr>
        <w:t xml:space="preserve">back and forth </w:t>
      </w:r>
      <w:r w:rsidR="004B3DAC">
        <w:rPr>
          <w:rFonts w:ascii="Times New Roman" w:eastAsia="標楷體" w:hAnsi="Times New Roman" w:cs="Times New Roman" w:hint="eastAsia"/>
          <w:sz w:val="28"/>
          <w:szCs w:val="28"/>
        </w:rPr>
        <w:t>with the APEC regard</w:t>
      </w:r>
      <w:r w:rsidR="0002101A">
        <w:rPr>
          <w:rFonts w:ascii="Times New Roman" w:eastAsia="標楷體" w:hAnsi="Times New Roman" w:cs="Times New Roman" w:hint="eastAsia"/>
          <w:sz w:val="28"/>
          <w:szCs w:val="28"/>
        </w:rPr>
        <w:t xml:space="preserve">ing </w:t>
      </w:r>
      <w:r w:rsidR="004B3DAC">
        <w:rPr>
          <w:rFonts w:ascii="Times New Roman" w:eastAsia="標楷體" w:hAnsi="Times New Roman" w:cs="Times New Roman" w:hint="eastAsia"/>
          <w:sz w:val="28"/>
          <w:szCs w:val="28"/>
        </w:rPr>
        <w:t>its own institution of privacy regime.</w:t>
      </w:r>
      <w:r w:rsidR="00F720DD">
        <w:rPr>
          <w:rFonts w:ascii="Times New Roman" w:eastAsia="標楷體" w:hAnsi="Times New Roman" w:cs="Times New Roman" w:hint="eastAsia"/>
          <w:sz w:val="28"/>
          <w:szCs w:val="28"/>
        </w:rPr>
        <w:t xml:space="preserve"> Later, the APEC completed its review process and submit</w:t>
      </w:r>
      <w:r w:rsidR="006D72B6">
        <w:rPr>
          <w:rFonts w:ascii="Times New Roman" w:eastAsia="標楷體" w:hAnsi="Times New Roman" w:cs="Times New Roman" w:hint="eastAsia"/>
          <w:sz w:val="28"/>
          <w:szCs w:val="28"/>
        </w:rPr>
        <w:t>ted</w:t>
      </w:r>
      <w:r w:rsidR="00F720DD">
        <w:rPr>
          <w:rFonts w:ascii="Times New Roman" w:eastAsia="標楷體" w:hAnsi="Times New Roman" w:cs="Times New Roman" w:hint="eastAsia"/>
          <w:sz w:val="28"/>
          <w:szCs w:val="28"/>
        </w:rPr>
        <w:t xml:space="preserve"> the JOP finding</w:t>
      </w:r>
      <w:r w:rsidR="006D72B6">
        <w:rPr>
          <w:rFonts w:ascii="Times New Roman" w:eastAsia="標楷體" w:hAnsi="Times New Roman" w:cs="Times New Roman" w:hint="eastAsia"/>
          <w:sz w:val="28"/>
          <w:szCs w:val="28"/>
        </w:rPr>
        <w:t>s report</w:t>
      </w:r>
      <w:r w:rsidR="00F720DD">
        <w:rPr>
          <w:rFonts w:ascii="Times New Roman" w:eastAsia="標楷體" w:hAnsi="Times New Roman" w:cs="Times New Roman" w:hint="eastAsia"/>
          <w:sz w:val="28"/>
          <w:szCs w:val="28"/>
        </w:rPr>
        <w:t xml:space="preserve"> on Nov. 23</w:t>
      </w:r>
      <w:r w:rsidR="006D72B6">
        <w:rPr>
          <w:rFonts w:ascii="Times New Roman" w:eastAsia="標楷體" w:hAnsi="Times New Roman" w:cs="Times New Roman" w:hint="eastAsia"/>
          <w:sz w:val="28"/>
          <w:szCs w:val="28"/>
        </w:rPr>
        <w:t xml:space="preserve"> for</w:t>
      </w:r>
      <w:r w:rsidR="001836DB">
        <w:rPr>
          <w:rFonts w:ascii="Times New Roman" w:eastAsia="標楷體" w:hAnsi="Times New Roman" w:cs="Times New Roman" w:hint="eastAsia"/>
          <w:sz w:val="28"/>
          <w:szCs w:val="28"/>
        </w:rPr>
        <w:t xml:space="preserve"> recommending the </w:t>
      </w:r>
      <w:r w:rsidR="001A46D3">
        <w:rPr>
          <w:rFonts w:ascii="Times New Roman" w:eastAsia="標楷體" w:hAnsi="Times New Roman" w:cs="Times New Roman" w:hint="eastAsia"/>
          <w:sz w:val="28"/>
          <w:szCs w:val="28"/>
        </w:rPr>
        <w:t xml:space="preserve">formal </w:t>
      </w:r>
      <w:r w:rsidR="001836DB">
        <w:rPr>
          <w:rFonts w:ascii="Times New Roman" w:eastAsia="標楷體" w:hAnsi="Times New Roman" w:cs="Times New Roman" w:hint="eastAsia"/>
          <w:sz w:val="28"/>
          <w:szCs w:val="28"/>
        </w:rPr>
        <w:t xml:space="preserve">participation </w:t>
      </w:r>
      <w:proofErr w:type="gramStart"/>
      <w:r w:rsidR="001836DB">
        <w:rPr>
          <w:rFonts w:ascii="Times New Roman" w:eastAsia="標楷體" w:hAnsi="Times New Roman" w:cs="Times New Roman" w:hint="eastAsia"/>
          <w:sz w:val="28"/>
          <w:szCs w:val="28"/>
        </w:rPr>
        <w:t>of both C</w:t>
      </w:r>
      <w:r w:rsidR="001836DB">
        <w:rPr>
          <w:rFonts w:ascii="Times New Roman" w:eastAsia="標楷體" w:hAnsi="Times New Roman" w:cs="Times New Roman"/>
          <w:sz w:val="28"/>
          <w:szCs w:val="28"/>
        </w:rPr>
        <w:t>h</w:t>
      </w:r>
      <w:r w:rsidR="001836DB">
        <w:rPr>
          <w:rFonts w:ascii="Times New Roman" w:eastAsia="標楷體" w:hAnsi="Times New Roman" w:cs="Times New Roman" w:hint="eastAsia"/>
          <w:sz w:val="28"/>
          <w:szCs w:val="28"/>
        </w:rPr>
        <w:t>inese Taipei</w:t>
      </w:r>
      <w:r w:rsidR="00FE71FA">
        <w:rPr>
          <w:rFonts w:ascii="Times New Roman" w:eastAsia="標楷體" w:hAnsi="Times New Roman" w:cs="Times New Roman" w:hint="eastAsia"/>
          <w:sz w:val="28"/>
          <w:szCs w:val="28"/>
        </w:rPr>
        <w:t xml:space="preserve">, </w:t>
      </w:r>
      <w:r w:rsidR="007F2383">
        <w:rPr>
          <w:rFonts w:ascii="Times New Roman" w:eastAsia="標楷體" w:hAnsi="Times New Roman" w:cs="Times New Roman" w:hint="eastAsia"/>
          <w:sz w:val="28"/>
          <w:szCs w:val="28"/>
        </w:rPr>
        <w:t xml:space="preserve">along with </w:t>
      </w:r>
      <w:r w:rsidR="001836DB">
        <w:rPr>
          <w:rFonts w:ascii="Times New Roman" w:eastAsia="標楷體" w:hAnsi="Times New Roman" w:cs="Times New Roman" w:hint="eastAsia"/>
          <w:sz w:val="28"/>
          <w:szCs w:val="28"/>
        </w:rPr>
        <w:t>Aust</w:t>
      </w:r>
      <w:r w:rsidR="001A46D3">
        <w:rPr>
          <w:rFonts w:ascii="Times New Roman" w:eastAsia="標楷體" w:hAnsi="Times New Roman" w:cs="Times New Roman" w:hint="eastAsia"/>
          <w:sz w:val="28"/>
          <w:szCs w:val="28"/>
        </w:rPr>
        <w:t>r</w:t>
      </w:r>
      <w:r w:rsidR="001836DB">
        <w:rPr>
          <w:rFonts w:ascii="Times New Roman" w:eastAsia="標楷體" w:hAnsi="Times New Roman" w:cs="Times New Roman" w:hint="eastAsia"/>
          <w:sz w:val="28"/>
          <w:szCs w:val="28"/>
        </w:rPr>
        <w:t>alia</w:t>
      </w:r>
      <w:proofErr w:type="gramEnd"/>
      <w:r w:rsidR="001836DB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D72B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5A781D" w:rsidRDefault="00037AE4" w:rsidP="00CB3C74">
      <w:pPr>
        <w:adjustRightInd w:val="0"/>
        <w:snapToGrid w:val="0"/>
        <w:spacing w:beforeLines="50" w:before="18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According to the design of the APEC CBPR system,</w:t>
      </w:r>
      <w:r w:rsidR="00AC2A0B">
        <w:rPr>
          <w:rFonts w:ascii="Times New Roman" w:eastAsia="標楷體" w:hAnsi="Times New Roman" w:cs="Times New Roman" w:hint="eastAsia"/>
          <w:sz w:val="28"/>
          <w:szCs w:val="28"/>
        </w:rPr>
        <w:t xml:space="preserve"> there are three </w:t>
      </w:r>
      <w:r w:rsidR="00AC2A0B">
        <w:rPr>
          <w:rFonts w:ascii="Times New Roman" w:eastAsia="標楷體" w:hAnsi="Times New Roman" w:cs="Times New Roman"/>
          <w:sz w:val="28"/>
          <w:szCs w:val="28"/>
        </w:rPr>
        <w:t>essential</w:t>
      </w:r>
      <w:r w:rsidR="00AC2A0B">
        <w:rPr>
          <w:rFonts w:ascii="Times New Roman" w:eastAsia="標楷體" w:hAnsi="Times New Roman" w:cs="Times New Roman" w:hint="eastAsia"/>
          <w:sz w:val="28"/>
          <w:szCs w:val="28"/>
        </w:rPr>
        <w:t xml:space="preserve"> steps to take for taking part in the system. Firstly,</w:t>
      </w:r>
      <w:r w:rsidR="00503B14">
        <w:rPr>
          <w:rFonts w:ascii="Times New Roman" w:eastAsia="標楷體" w:hAnsi="Times New Roman" w:cs="Times New Roman" w:hint="eastAsia"/>
          <w:sz w:val="28"/>
          <w:szCs w:val="28"/>
        </w:rPr>
        <w:t xml:space="preserve"> the </w:t>
      </w:r>
      <w:r w:rsidR="00503B14" w:rsidRPr="00503B14">
        <w:rPr>
          <w:rFonts w:ascii="Times New Roman" w:eastAsia="標楷體" w:hAnsi="Times New Roman" w:cs="Times New Roman"/>
          <w:sz w:val="28"/>
          <w:szCs w:val="28"/>
        </w:rPr>
        <w:t>Privacy Enforcement Authorit</w:t>
      </w:r>
      <w:r w:rsidR="00503B14">
        <w:rPr>
          <w:rFonts w:ascii="Times New Roman" w:eastAsia="標楷體" w:hAnsi="Times New Roman" w:cs="Times New Roman" w:hint="eastAsia"/>
          <w:sz w:val="28"/>
          <w:szCs w:val="28"/>
        </w:rPr>
        <w:t>ies</w:t>
      </w:r>
      <w:r w:rsidR="0082723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03B14">
        <w:rPr>
          <w:rFonts w:ascii="Times New Roman" w:eastAsia="標楷體" w:hAnsi="Times New Roman" w:cs="Times New Roman" w:hint="eastAsia"/>
          <w:sz w:val="28"/>
          <w:szCs w:val="28"/>
        </w:rPr>
        <w:t>of member economy have to acquire the</w:t>
      </w:r>
      <w:r w:rsidR="00003003">
        <w:rPr>
          <w:rFonts w:ascii="Times New Roman" w:eastAsia="標楷體" w:hAnsi="Times New Roman" w:cs="Times New Roman" w:hint="eastAsia"/>
          <w:sz w:val="28"/>
          <w:szCs w:val="28"/>
        </w:rPr>
        <w:t xml:space="preserve"> APEC</w:t>
      </w:r>
      <w:r w:rsidR="00FB7893">
        <w:rPr>
          <w:rFonts w:ascii="Times New Roman" w:eastAsia="標楷體" w:hAnsi="Times New Roman" w:cs="Times New Roman"/>
          <w:sz w:val="28"/>
          <w:szCs w:val="28"/>
        </w:rPr>
        <w:t>’</w:t>
      </w:r>
      <w:r w:rsidR="00FB7893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="0000300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6683F">
        <w:rPr>
          <w:rFonts w:ascii="Times New Roman" w:eastAsia="標楷體" w:hAnsi="Times New Roman" w:cs="Times New Roman" w:hint="eastAsia"/>
          <w:sz w:val="28"/>
          <w:szCs w:val="28"/>
        </w:rPr>
        <w:t xml:space="preserve">approval </w:t>
      </w:r>
      <w:r w:rsidR="00003003">
        <w:rPr>
          <w:rFonts w:ascii="Times New Roman" w:eastAsia="標楷體" w:hAnsi="Times New Roman" w:cs="Times New Roman" w:hint="eastAsia"/>
          <w:sz w:val="28"/>
          <w:szCs w:val="28"/>
        </w:rPr>
        <w:t xml:space="preserve">for </w:t>
      </w:r>
      <w:r w:rsidR="0000300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joining the</w:t>
      </w:r>
      <w:r w:rsidR="0010350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03003" w:rsidRPr="00003003">
        <w:rPr>
          <w:rFonts w:ascii="Times New Roman" w:eastAsia="標楷體" w:hAnsi="Times New Roman" w:cs="Times New Roman"/>
          <w:sz w:val="28"/>
          <w:szCs w:val="28"/>
        </w:rPr>
        <w:t>APEC</w:t>
      </w:r>
      <w:r w:rsidR="0010350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03003" w:rsidRPr="00003003">
        <w:rPr>
          <w:rFonts w:ascii="Times New Roman" w:eastAsia="標楷體" w:hAnsi="Times New Roman" w:cs="Times New Roman"/>
          <w:sz w:val="28"/>
          <w:szCs w:val="28"/>
        </w:rPr>
        <w:t>Cross-border Privacy Enforcement Arrangement (CPEA)</w:t>
      </w:r>
      <w:r w:rsidR="00B320EB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B20D0A">
        <w:rPr>
          <w:rFonts w:ascii="Times New Roman" w:eastAsia="標楷體" w:hAnsi="Times New Roman" w:cs="Times New Roman" w:hint="eastAsia"/>
          <w:sz w:val="28"/>
          <w:szCs w:val="28"/>
        </w:rPr>
        <w:t xml:space="preserve"> Secondly, after explaining </w:t>
      </w:r>
      <w:r w:rsidR="00C519AC">
        <w:rPr>
          <w:rFonts w:ascii="Times New Roman" w:eastAsia="標楷體" w:hAnsi="Times New Roman" w:cs="Times New Roman" w:hint="eastAsia"/>
          <w:sz w:val="28"/>
          <w:szCs w:val="28"/>
        </w:rPr>
        <w:t xml:space="preserve">the </w:t>
      </w:r>
      <w:r w:rsidR="00B20D0A">
        <w:rPr>
          <w:rFonts w:ascii="Times New Roman" w:eastAsia="標楷體" w:hAnsi="Times New Roman" w:cs="Times New Roman" w:hint="eastAsia"/>
          <w:sz w:val="28"/>
          <w:szCs w:val="28"/>
        </w:rPr>
        <w:t>regime for personal data protection</w:t>
      </w:r>
      <w:r w:rsidR="00C519AC">
        <w:rPr>
          <w:rFonts w:ascii="Times New Roman" w:eastAsia="標楷體" w:hAnsi="Times New Roman" w:cs="Times New Roman" w:hint="eastAsia"/>
          <w:sz w:val="28"/>
          <w:szCs w:val="28"/>
        </w:rPr>
        <w:t xml:space="preserve"> to the APEC and </w:t>
      </w:r>
      <w:r w:rsidR="002F780D">
        <w:rPr>
          <w:rFonts w:ascii="Times New Roman" w:eastAsia="標楷體" w:hAnsi="Times New Roman" w:cs="Times New Roman" w:hint="eastAsia"/>
          <w:sz w:val="28"/>
          <w:szCs w:val="28"/>
        </w:rPr>
        <w:t xml:space="preserve">the APEC completing </w:t>
      </w:r>
      <w:r w:rsidR="00C519AC">
        <w:rPr>
          <w:rFonts w:ascii="Times New Roman" w:eastAsia="標楷體" w:hAnsi="Times New Roman" w:cs="Times New Roman" w:hint="eastAsia"/>
          <w:sz w:val="28"/>
          <w:szCs w:val="28"/>
        </w:rPr>
        <w:t>the review process,</w:t>
      </w:r>
      <w:r w:rsidR="001D4F3C">
        <w:rPr>
          <w:rFonts w:ascii="Times New Roman" w:eastAsia="標楷體" w:hAnsi="Times New Roman" w:cs="Times New Roman" w:hint="eastAsia"/>
          <w:sz w:val="28"/>
          <w:szCs w:val="28"/>
        </w:rPr>
        <w:t xml:space="preserve"> member economy could then be formally approved to join the system.</w:t>
      </w:r>
      <w:r w:rsidR="002C72A4">
        <w:rPr>
          <w:rFonts w:ascii="Times New Roman" w:eastAsia="標楷體" w:hAnsi="Times New Roman" w:cs="Times New Roman" w:hint="eastAsia"/>
          <w:sz w:val="28"/>
          <w:szCs w:val="28"/>
        </w:rPr>
        <w:t xml:space="preserve"> By completing the previous two steps, Chinese Taipei can now initiate the process of assigning one or more </w:t>
      </w:r>
      <w:r w:rsidR="002C72A4">
        <w:rPr>
          <w:rFonts w:ascii="Times New Roman" w:eastAsia="標楷體" w:hAnsi="Times New Roman" w:cs="Times New Roman"/>
          <w:sz w:val="28"/>
          <w:szCs w:val="28"/>
        </w:rPr>
        <w:t>Accountability</w:t>
      </w:r>
      <w:r w:rsidR="002C72A4">
        <w:rPr>
          <w:rFonts w:ascii="Times New Roman" w:eastAsia="標楷體" w:hAnsi="Times New Roman" w:cs="Times New Roman" w:hint="eastAsia"/>
          <w:sz w:val="28"/>
          <w:szCs w:val="28"/>
        </w:rPr>
        <w:t xml:space="preserve"> Agen</w:t>
      </w:r>
      <w:r w:rsidR="00CD6F0A">
        <w:rPr>
          <w:rFonts w:ascii="Times New Roman" w:eastAsia="標楷體" w:hAnsi="Times New Roman" w:cs="Times New Roman" w:hint="eastAsia"/>
          <w:sz w:val="28"/>
          <w:szCs w:val="28"/>
        </w:rPr>
        <w:t xml:space="preserve">ts </w:t>
      </w:r>
      <w:r w:rsidR="002C72A4">
        <w:rPr>
          <w:rFonts w:ascii="Times New Roman" w:eastAsia="標楷體" w:hAnsi="Times New Roman" w:cs="Times New Roman" w:hint="eastAsia"/>
          <w:sz w:val="28"/>
          <w:szCs w:val="28"/>
        </w:rPr>
        <w:t>(AAs)</w:t>
      </w:r>
      <w:r w:rsidR="00CD6F0A">
        <w:rPr>
          <w:rFonts w:ascii="Times New Roman" w:eastAsia="標楷體" w:hAnsi="Times New Roman" w:cs="Times New Roman" w:hint="eastAsia"/>
          <w:sz w:val="28"/>
          <w:szCs w:val="28"/>
        </w:rPr>
        <w:t xml:space="preserve"> for assisting</w:t>
      </w:r>
      <w:r w:rsidR="00DD5FBE">
        <w:rPr>
          <w:rFonts w:ascii="Times New Roman" w:eastAsia="標楷體" w:hAnsi="Times New Roman" w:cs="Times New Roman" w:hint="eastAsia"/>
          <w:sz w:val="28"/>
          <w:szCs w:val="28"/>
        </w:rPr>
        <w:t xml:space="preserve"> domestic enterprises or organizations to conform to the APEC process of cross-border privacy protection and acquire the </w:t>
      </w:r>
      <w:r w:rsidR="00DD5FBE">
        <w:rPr>
          <w:rFonts w:ascii="Times New Roman" w:eastAsia="標楷體" w:hAnsi="Times New Roman" w:cs="Times New Roman"/>
          <w:sz w:val="28"/>
          <w:szCs w:val="28"/>
        </w:rPr>
        <w:t>certification</w:t>
      </w:r>
      <w:r w:rsidR="008829C1">
        <w:rPr>
          <w:rFonts w:ascii="Times New Roman" w:eastAsia="標楷體" w:hAnsi="Times New Roman" w:cs="Times New Roman" w:hint="eastAsia"/>
          <w:sz w:val="28"/>
          <w:szCs w:val="28"/>
        </w:rPr>
        <w:t xml:space="preserve"> in this regard</w:t>
      </w:r>
      <w:r w:rsidR="00DD5FB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903544">
        <w:rPr>
          <w:rFonts w:ascii="Times New Roman" w:eastAsia="標楷體" w:hAnsi="Times New Roman" w:cs="Times New Roman" w:hint="eastAsia"/>
          <w:sz w:val="28"/>
          <w:szCs w:val="28"/>
        </w:rPr>
        <w:t xml:space="preserve"> As international enterprise</w:t>
      </w:r>
      <w:r w:rsidR="00B6632C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="00903544">
        <w:rPr>
          <w:rFonts w:ascii="Times New Roman" w:eastAsia="標楷體" w:hAnsi="Times New Roman" w:cs="Times New Roman" w:hint="eastAsia"/>
          <w:sz w:val="28"/>
          <w:szCs w:val="28"/>
        </w:rPr>
        <w:t xml:space="preserve"> or organizations have to pay a considerable amount of fees for a series of necessary assistance and consultation</w:t>
      </w:r>
      <w:r w:rsidR="00A60C1F">
        <w:rPr>
          <w:rFonts w:ascii="Times New Roman" w:eastAsia="標楷體" w:hAnsi="Times New Roman" w:cs="Times New Roman" w:hint="eastAsia"/>
          <w:sz w:val="28"/>
          <w:szCs w:val="28"/>
        </w:rPr>
        <w:t xml:space="preserve"> before acquiring the certification</w:t>
      </w:r>
      <w:r w:rsidR="008F07C8">
        <w:rPr>
          <w:rFonts w:ascii="Times New Roman" w:eastAsia="標楷體" w:hAnsi="Times New Roman" w:cs="Times New Roman" w:hint="eastAsia"/>
          <w:sz w:val="28"/>
          <w:szCs w:val="28"/>
        </w:rPr>
        <w:t>, at the moment only the US and Japan have established one AA of their own respecti</w:t>
      </w:r>
      <w:r w:rsidR="007C212C">
        <w:rPr>
          <w:rFonts w:ascii="Times New Roman" w:eastAsia="標楷體" w:hAnsi="Times New Roman" w:cs="Times New Roman" w:hint="eastAsia"/>
          <w:sz w:val="28"/>
          <w:szCs w:val="28"/>
        </w:rPr>
        <w:t>vely, which could</w:t>
      </w:r>
      <w:r w:rsidR="00462B49">
        <w:rPr>
          <w:rFonts w:ascii="Times New Roman" w:eastAsia="標楷體" w:hAnsi="Times New Roman" w:cs="Times New Roman" w:hint="eastAsia"/>
          <w:sz w:val="28"/>
          <w:szCs w:val="28"/>
        </w:rPr>
        <w:t xml:space="preserve"> help their own domestic enterprises and serve enterprises of other countries as well.</w:t>
      </w:r>
      <w:r w:rsidR="00DD5FB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FE2E69" w:rsidRPr="00DB050F" w:rsidRDefault="005A781D" w:rsidP="00CB3C74">
      <w:pPr>
        <w:adjustRightInd w:val="0"/>
        <w:snapToGrid w:val="0"/>
        <w:spacing w:beforeLines="50" w:before="18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NDC will continuously work to coordinate among </w:t>
      </w:r>
      <w:r w:rsidR="00B70BCF">
        <w:rPr>
          <w:rFonts w:ascii="Times New Roman" w:eastAsia="標楷體" w:hAnsi="Times New Roman" w:cs="Times New Roman" w:hint="eastAsia"/>
          <w:sz w:val="28"/>
          <w:szCs w:val="28"/>
        </w:rPr>
        <w:t xml:space="preserve">related </w:t>
      </w:r>
      <w:r>
        <w:rPr>
          <w:rFonts w:ascii="Times New Roman" w:eastAsia="標楷體" w:hAnsi="Times New Roman" w:cs="Times New Roman" w:hint="eastAsia"/>
          <w:sz w:val="28"/>
          <w:szCs w:val="28"/>
        </w:rPr>
        <w:t>ministries/commissions and to push forward related matters with the collaboration of them</w:t>
      </w:r>
      <w:r w:rsidR="006F2F10">
        <w:rPr>
          <w:rFonts w:ascii="Times New Roman" w:eastAsia="標楷體" w:hAnsi="Times New Roman" w:cs="Times New Roman" w:hint="eastAsia"/>
          <w:sz w:val="28"/>
          <w:szCs w:val="28"/>
        </w:rPr>
        <w:t>, so as to enhance the exchange of C</w:t>
      </w:r>
      <w:r w:rsidR="006F2F10">
        <w:rPr>
          <w:rFonts w:ascii="Times New Roman" w:eastAsia="標楷體" w:hAnsi="Times New Roman" w:cs="Times New Roman"/>
          <w:sz w:val="28"/>
          <w:szCs w:val="28"/>
        </w:rPr>
        <w:t>h</w:t>
      </w:r>
      <w:r w:rsidR="006F2F10">
        <w:rPr>
          <w:rFonts w:ascii="Times New Roman" w:eastAsia="標楷體" w:hAnsi="Times New Roman" w:cs="Times New Roman" w:hint="eastAsia"/>
          <w:sz w:val="28"/>
          <w:szCs w:val="28"/>
        </w:rPr>
        <w:t xml:space="preserve">inese Taipei with other </w:t>
      </w:r>
      <w:r w:rsidR="00EC71E2">
        <w:rPr>
          <w:rFonts w:ascii="Times New Roman" w:eastAsia="標楷體" w:hAnsi="Times New Roman" w:cs="Times New Roman" w:hint="eastAsia"/>
          <w:sz w:val="28"/>
          <w:szCs w:val="28"/>
        </w:rPr>
        <w:t xml:space="preserve">economies </w:t>
      </w:r>
      <w:r w:rsidR="006F2F10">
        <w:rPr>
          <w:rFonts w:ascii="Times New Roman" w:eastAsia="標楷體" w:hAnsi="Times New Roman" w:cs="Times New Roman" w:hint="eastAsia"/>
          <w:sz w:val="28"/>
          <w:szCs w:val="28"/>
        </w:rPr>
        <w:t>on the front of privacy protection and enhance its international</w:t>
      </w:r>
      <w:r w:rsidR="006F2F10">
        <w:rPr>
          <w:rFonts w:ascii="Times New Roman" w:eastAsia="標楷體" w:hAnsi="Times New Roman" w:cs="Times New Roman"/>
          <w:sz w:val="28"/>
          <w:szCs w:val="28"/>
        </w:rPr>
        <w:t xml:space="preserve"> visibility</w:t>
      </w:r>
      <w:r w:rsidR="006F2F10">
        <w:rPr>
          <w:rFonts w:ascii="Times New Roman" w:eastAsia="標楷體" w:hAnsi="Times New Roman" w:cs="Times New Roman" w:hint="eastAsia"/>
          <w:sz w:val="28"/>
          <w:szCs w:val="28"/>
        </w:rPr>
        <w:t xml:space="preserve"> for participating in the international a</w:t>
      </w:r>
      <w:r w:rsidR="00EC71E2">
        <w:rPr>
          <w:rFonts w:ascii="Times New Roman" w:eastAsia="標楷體" w:hAnsi="Times New Roman" w:cs="Times New Roman" w:hint="eastAsia"/>
          <w:sz w:val="28"/>
          <w:szCs w:val="28"/>
        </w:rPr>
        <w:t>ctivities</w:t>
      </w:r>
      <w:r w:rsidR="006F2F10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00300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B3DA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B4B4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0121FF" w:rsidRDefault="000121FF" w:rsidP="00593E9D">
      <w:pPr>
        <w:adjustRightInd w:val="0"/>
        <w:snapToGrid w:val="0"/>
        <w:spacing w:beforeLines="50" w:before="180" w:afterLines="50" w:after="180" w:line="48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593E9D" w:rsidRPr="009110AC" w:rsidRDefault="00593E9D" w:rsidP="00593E9D">
      <w:pPr>
        <w:adjustRightInd w:val="0"/>
        <w:snapToGrid w:val="0"/>
        <w:spacing w:beforeLines="50" w:before="180" w:afterLines="50" w:after="180" w:line="480" w:lineRule="exact"/>
        <w:rPr>
          <w:rFonts w:ascii="Times New Roman" w:eastAsia="標楷體" w:hAnsi="Times New Roman" w:cs="Times New Roman"/>
          <w:color w:val="000000" w:themeColor="text1"/>
          <w:spacing w:val="10"/>
          <w:kern w:val="0"/>
          <w:sz w:val="32"/>
          <w:szCs w:val="32"/>
        </w:rPr>
      </w:pPr>
    </w:p>
    <w:sectPr w:rsidR="00593E9D" w:rsidRPr="009110AC" w:rsidSect="009C6205"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1E" w:rsidRDefault="00274E1E" w:rsidP="00786014">
      <w:r>
        <w:separator/>
      </w:r>
    </w:p>
  </w:endnote>
  <w:endnote w:type="continuationSeparator" w:id="0">
    <w:p w:rsidR="00274E1E" w:rsidRDefault="00274E1E" w:rsidP="007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068775"/>
      <w:docPartObj>
        <w:docPartGallery w:val="Page Numbers (Bottom of Page)"/>
        <w:docPartUnique/>
      </w:docPartObj>
    </w:sdtPr>
    <w:sdtEndPr/>
    <w:sdtContent>
      <w:p w:rsidR="00CB3C74" w:rsidRDefault="00CB3C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33D" w:rsidRPr="001D733D">
          <w:rPr>
            <w:noProof/>
            <w:lang w:val="zh-TW"/>
          </w:rPr>
          <w:t>1</w:t>
        </w:r>
        <w:r>
          <w:fldChar w:fldCharType="end"/>
        </w:r>
      </w:p>
    </w:sdtContent>
  </w:sdt>
  <w:p w:rsidR="00786014" w:rsidRDefault="00786014" w:rsidP="00A857E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1E" w:rsidRDefault="00274E1E" w:rsidP="00786014">
      <w:r>
        <w:separator/>
      </w:r>
    </w:p>
  </w:footnote>
  <w:footnote w:type="continuationSeparator" w:id="0">
    <w:p w:rsidR="00274E1E" w:rsidRDefault="00274E1E" w:rsidP="0078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04F"/>
    <w:multiLevelType w:val="hybridMultilevel"/>
    <w:tmpl w:val="F9B05956"/>
    <w:lvl w:ilvl="0" w:tplc="04090015">
      <w:start w:val="1"/>
      <w:numFmt w:val="taiwaneseCountingThousand"/>
      <w:lvlText w:val="%1、"/>
      <w:lvlJc w:val="left"/>
      <w:pPr>
        <w:ind w:left="705" w:hanging="540"/>
      </w:pPr>
      <w:rPr>
        <w:rFonts w:hint="default"/>
      </w:rPr>
    </w:lvl>
    <w:lvl w:ilvl="1" w:tplc="5CB85C14">
      <w:start w:val="1"/>
      <w:numFmt w:val="decimal"/>
      <w:lvlText w:val="%2."/>
      <w:lvlJc w:val="left"/>
      <w:pPr>
        <w:ind w:left="10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3C501C63"/>
    <w:multiLevelType w:val="hybridMultilevel"/>
    <w:tmpl w:val="D63AF5EE"/>
    <w:lvl w:ilvl="0" w:tplc="600E615C">
      <w:start w:val="1"/>
      <w:numFmt w:val="taiwaneseCountingThousand"/>
      <w:lvlText w:val="(%1)"/>
      <w:lvlJc w:val="left"/>
      <w:pPr>
        <w:ind w:left="705" w:hanging="54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5CDB7FC0"/>
    <w:multiLevelType w:val="hybridMultilevel"/>
    <w:tmpl w:val="B518CE86"/>
    <w:lvl w:ilvl="0" w:tplc="A34C3762">
      <w:start w:val="1"/>
      <w:numFmt w:val="taiwaneseCountingThousand"/>
      <w:lvlText w:val="(%1)"/>
      <w:lvlJc w:val="left"/>
      <w:pPr>
        <w:ind w:left="705" w:hanging="5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3">
    <w:nsid w:val="7B7225E3"/>
    <w:multiLevelType w:val="hybridMultilevel"/>
    <w:tmpl w:val="41329F90"/>
    <w:lvl w:ilvl="0" w:tplc="0409000B">
      <w:start w:val="1"/>
      <w:numFmt w:val="bullet"/>
      <w:lvlText w:val="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A"/>
    <w:rsid w:val="00001E30"/>
    <w:rsid w:val="00003003"/>
    <w:rsid w:val="000121FF"/>
    <w:rsid w:val="0002101A"/>
    <w:rsid w:val="00021F0F"/>
    <w:rsid w:val="00037AE4"/>
    <w:rsid w:val="00045D16"/>
    <w:rsid w:val="000561CF"/>
    <w:rsid w:val="00057026"/>
    <w:rsid w:val="0006226B"/>
    <w:rsid w:val="00062416"/>
    <w:rsid w:val="000824F3"/>
    <w:rsid w:val="000A3D09"/>
    <w:rsid w:val="000C14C8"/>
    <w:rsid w:val="000C600F"/>
    <w:rsid w:val="000F2F68"/>
    <w:rsid w:val="0010350D"/>
    <w:rsid w:val="001056A3"/>
    <w:rsid w:val="00106864"/>
    <w:rsid w:val="0011014B"/>
    <w:rsid w:val="00122406"/>
    <w:rsid w:val="0012743D"/>
    <w:rsid w:val="00142262"/>
    <w:rsid w:val="00146C29"/>
    <w:rsid w:val="00157CE8"/>
    <w:rsid w:val="00164D4E"/>
    <w:rsid w:val="0018135C"/>
    <w:rsid w:val="001836DB"/>
    <w:rsid w:val="00186730"/>
    <w:rsid w:val="001A46D3"/>
    <w:rsid w:val="001B0A73"/>
    <w:rsid w:val="001B1D13"/>
    <w:rsid w:val="001C3ABF"/>
    <w:rsid w:val="001C58F4"/>
    <w:rsid w:val="001C5A0B"/>
    <w:rsid w:val="001D4F3C"/>
    <w:rsid w:val="001D733D"/>
    <w:rsid w:val="001E702B"/>
    <w:rsid w:val="001F3D47"/>
    <w:rsid w:val="001F523F"/>
    <w:rsid w:val="0021285A"/>
    <w:rsid w:val="00217F2C"/>
    <w:rsid w:val="002316B8"/>
    <w:rsid w:val="0023187F"/>
    <w:rsid w:val="00252529"/>
    <w:rsid w:val="00257EBF"/>
    <w:rsid w:val="00274E1E"/>
    <w:rsid w:val="00276CBE"/>
    <w:rsid w:val="00276D57"/>
    <w:rsid w:val="002775B4"/>
    <w:rsid w:val="002775EC"/>
    <w:rsid w:val="002A3901"/>
    <w:rsid w:val="002C56C2"/>
    <w:rsid w:val="002C6FF8"/>
    <w:rsid w:val="002C72A4"/>
    <w:rsid w:val="002D0020"/>
    <w:rsid w:val="002D70F2"/>
    <w:rsid w:val="002E495F"/>
    <w:rsid w:val="002F780D"/>
    <w:rsid w:val="00311EA3"/>
    <w:rsid w:val="00311FCD"/>
    <w:rsid w:val="003152F5"/>
    <w:rsid w:val="00315D37"/>
    <w:rsid w:val="003248FB"/>
    <w:rsid w:val="003264FB"/>
    <w:rsid w:val="00332F88"/>
    <w:rsid w:val="00355735"/>
    <w:rsid w:val="00376644"/>
    <w:rsid w:val="003B58C2"/>
    <w:rsid w:val="003C3412"/>
    <w:rsid w:val="003E1BA6"/>
    <w:rsid w:val="00416A65"/>
    <w:rsid w:val="00417C7D"/>
    <w:rsid w:val="0042580E"/>
    <w:rsid w:val="00437671"/>
    <w:rsid w:val="004510A2"/>
    <w:rsid w:val="004518D5"/>
    <w:rsid w:val="00462B49"/>
    <w:rsid w:val="00471020"/>
    <w:rsid w:val="0048064F"/>
    <w:rsid w:val="00484882"/>
    <w:rsid w:val="004A1719"/>
    <w:rsid w:val="004B3DAC"/>
    <w:rsid w:val="004B7FDB"/>
    <w:rsid w:val="004C7E6A"/>
    <w:rsid w:val="004E34AE"/>
    <w:rsid w:val="00503B14"/>
    <w:rsid w:val="005126F0"/>
    <w:rsid w:val="0051361A"/>
    <w:rsid w:val="00526AA0"/>
    <w:rsid w:val="005278ED"/>
    <w:rsid w:val="00536AB5"/>
    <w:rsid w:val="00555131"/>
    <w:rsid w:val="005658AB"/>
    <w:rsid w:val="0056795D"/>
    <w:rsid w:val="00574D1E"/>
    <w:rsid w:val="00584600"/>
    <w:rsid w:val="00585E39"/>
    <w:rsid w:val="00593E9D"/>
    <w:rsid w:val="0059536F"/>
    <w:rsid w:val="005A781D"/>
    <w:rsid w:val="005B733E"/>
    <w:rsid w:val="005C1317"/>
    <w:rsid w:val="005D697D"/>
    <w:rsid w:val="005E22EC"/>
    <w:rsid w:val="005E3A5A"/>
    <w:rsid w:val="00616948"/>
    <w:rsid w:val="006307FC"/>
    <w:rsid w:val="00634D91"/>
    <w:rsid w:val="00640E27"/>
    <w:rsid w:val="006558C6"/>
    <w:rsid w:val="00660D87"/>
    <w:rsid w:val="006715ED"/>
    <w:rsid w:val="00675FB3"/>
    <w:rsid w:val="006A5FC0"/>
    <w:rsid w:val="006A75FF"/>
    <w:rsid w:val="006B3E38"/>
    <w:rsid w:val="006D6B48"/>
    <w:rsid w:val="006D72B6"/>
    <w:rsid w:val="006E63F7"/>
    <w:rsid w:val="006F0476"/>
    <w:rsid w:val="006F259F"/>
    <w:rsid w:val="006F2F10"/>
    <w:rsid w:val="006F3E0C"/>
    <w:rsid w:val="007144E5"/>
    <w:rsid w:val="00735E63"/>
    <w:rsid w:val="0074192E"/>
    <w:rsid w:val="00765D9B"/>
    <w:rsid w:val="00772DBA"/>
    <w:rsid w:val="00777B7C"/>
    <w:rsid w:val="007839E2"/>
    <w:rsid w:val="00786014"/>
    <w:rsid w:val="00790F2A"/>
    <w:rsid w:val="007B0D84"/>
    <w:rsid w:val="007B4479"/>
    <w:rsid w:val="007B6AFF"/>
    <w:rsid w:val="007C212C"/>
    <w:rsid w:val="007C79F5"/>
    <w:rsid w:val="007D53F9"/>
    <w:rsid w:val="007D6581"/>
    <w:rsid w:val="007F2383"/>
    <w:rsid w:val="00801083"/>
    <w:rsid w:val="00801316"/>
    <w:rsid w:val="00807DED"/>
    <w:rsid w:val="0081718A"/>
    <w:rsid w:val="00817D6D"/>
    <w:rsid w:val="00821510"/>
    <w:rsid w:val="0082723F"/>
    <w:rsid w:val="0085045E"/>
    <w:rsid w:val="008606BA"/>
    <w:rsid w:val="00882659"/>
    <w:rsid w:val="008829C1"/>
    <w:rsid w:val="00884CAC"/>
    <w:rsid w:val="008908C8"/>
    <w:rsid w:val="008A75BC"/>
    <w:rsid w:val="008B78AA"/>
    <w:rsid w:val="008C6ABC"/>
    <w:rsid w:val="008C6CB6"/>
    <w:rsid w:val="008C7E90"/>
    <w:rsid w:val="008E0A03"/>
    <w:rsid w:val="008E2BE1"/>
    <w:rsid w:val="008F07C8"/>
    <w:rsid w:val="00903544"/>
    <w:rsid w:val="009110AC"/>
    <w:rsid w:val="00912598"/>
    <w:rsid w:val="00925FA5"/>
    <w:rsid w:val="009270D8"/>
    <w:rsid w:val="00947492"/>
    <w:rsid w:val="00952AAE"/>
    <w:rsid w:val="009615C4"/>
    <w:rsid w:val="009628DA"/>
    <w:rsid w:val="00974EB8"/>
    <w:rsid w:val="009751CC"/>
    <w:rsid w:val="00982EB1"/>
    <w:rsid w:val="009843F1"/>
    <w:rsid w:val="009861BE"/>
    <w:rsid w:val="009A75A5"/>
    <w:rsid w:val="009B5F8D"/>
    <w:rsid w:val="009C6205"/>
    <w:rsid w:val="009D5E40"/>
    <w:rsid w:val="009E0577"/>
    <w:rsid w:val="009E137A"/>
    <w:rsid w:val="009E3CCF"/>
    <w:rsid w:val="009F047D"/>
    <w:rsid w:val="009F249A"/>
    <w:rsid w:val="00A36F2A"/>
    <w:rsid w:val="00A43611"/>
    <w:rsid w:val="00A60C1F"/>
    <w:rsid w:val="00A61A14"/>
    <w:rsid w:val="00A635E2"/>
    <w:rsid w:val="00A66A99"/>
    <w:rsid w:val="00A777D3"/>
    <w:rsid w:val="00A826DD"/>
    <w:rsid w:val="00A857EB"/>
    <w:rsid w:val="00A90B8A"/>
    <w:rsid w:val="00AA4623"/>
    <w:rsid w:val="00AA6C2A"/>
    <w:rsid w:val="00AC2A0B"/>
    <w:rsid w:val="00AF4A74"/>
    <w:rsid w:val="00B1732A"/>
    <w:rsid w:val="00B20D0A"/>
    <w:rsid w:val="00B27150"/>
    <w:rsid w:val="00B320EB"/>
    <w:rsid w:val="00B56827"/>
    <w:rsid w:val="00B56956"/>
    <w:rsid w:val="00B578A8"/>
    <w:rsid w:val="00B62D7F"/>
    <w:rsid w:val="00B6632C"/>
    <w:rsid w:val="00B6683F"/>
    <w:rsid w:val="00B70574"/>
    <w:rsid w:val="00B70BCF"/>
    <w:rsid w:val="00B92582"/>
    <w:rsid w:val="00B9266D"/>
    <w:rsid w:val="00BA448F"/>
    <w:rsid w:val="00BB4BC1"/>
    <w:rsid w:val="00BC2E58"/>
    <w:rsid w:val="00BE3420"/>
    <w:rsid w:val="00C06B65"/>
    <w:rsid w:val="00C235DE"/>
    <w:rsid w:val="00C267F4"/>
    <w:rsid w:val="00C36D92"/>
    <w:rsid w:val="00C415A8"/>
    <w:rsid w:val="00C5128C"/>
    <w:rsid w:val="00C519AC"/>
    <w:rsid w:val="00C732A3"/>
    <w:rsid w:val="00C7611C"/>
    <w:rsid w:val="00C84B26"/>
    <w:rsid w:val="00C92B7F"/>
    <w:rsid w:val="00C9686D"/>
    <w:rsid w:val="00CB1B26"/>
    <w:rsid w:val="00CB3C74"/>
    <w:rsid w:val="00CD6F0A"/>
    <w:rsid w:val="00CE05E5"/>
    <w:rsid w:val="00CF1370"/>
    <w:rsid w:val="00D06650"/>
    <w:rsid w:val="00D136E2"/>
    <w:rsid w:val="00D16A98"/>
    <w:rsid w:val="00D32978"/>
    <w:rsid w:val="00D37197"/>
    <w:rsid w:val="00D51A99"/>
    <w:rsid w:val="00D52445"/>
    <w:rsid w:val="00D634BC"/>
    <w:rsid w:val="00D846AD"/>
    <w:rsid w:val="00D97B47"/>
    <w:rsid w:val="00D97D98"/>
    <w:rsid w:val="00DA08F4"/>
    <w:rsid w:val="00DA4863"/>
    <w:rsid w:val="00DA4BAE"/>
    <w:rsid w:val="00DA5A1C"/>
    <w:rsid w:val="00DB050F"/>
    <w:rsid w:val="00DC3C69"/>
    <w:rsid w:val="00DC4047"/>
    <w:rsid w:val="00DC7923"/>
    <w:rsid w:val="00DD43BC"/>
    <w:rsid w:val="00DD5FBE"/>
    <w:rsid w:val="00DE6E73"/>
    <w:rsid w:val="00DF29AD"/>
    <w:rsid w:val="00E04BF8"/>
    <w:rsid w:val="00E11E60"/>
    <w:rsid w:val="00E17AC9"/>
    <w:rsid w:val="00E20D65"/>
    <w:rsid w:val="00E25198"/>
    <w:rsid w:val="00E27482"/>
    <w:rsid w:val="00E32D2C"/>
    <w:rsid w:val="00E42BAD"/>
    <w:rsid w:val="00EB6A86"/>
    <w:rsid w:val="00EC71E2"/>
    <w:rsid w:val="00EE3174"/>
    <w:rsid w:val="00EE47E7"/>
    <w:rsid w:val="00EF469C"/>
    <w:rsid w:val="00F02F5C"/>
    <w:rsid w:val="00F054C8"/>
    <w:rsid w:val="00F10D7C"/>
    <w:rsid w:val="00F17065"/>
    <w:rsid w:val="00F21E1C"/>
    <w:rsid w:val="00F26686"/>
    <w:rsid w:val="00F305B5"/>
    <w:rsid w:val="00F3615A"/>
    <w:rsid w:val="00F435F2"/>
    <w:rsid w:val="00F57EA6"/>
    <w:rsid w:val="00F6351B"/>
    <w:rsid w:val="00F720DD"/>
    <w:rsid w:val="00F82FD7"/>
    <w:rsid w:val="00FA5954"/>
    <w:rsid w:val="00FA6EF2"/>
    <w:rsid w:val="00FB1EA6"/>
    <w:rsid w:val="00FB4B4B"/>
    <w:rsid w:val="00FB5FE7"/>
    <w:rsid w:val="00FB7893"/>
    <w:rsid w:val="00FE2E69"/>
    <w:rsid w:val="00FE5E3D"/>
    <w:rsid w:val="00FE71FA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"/>
    <w:basedOn w:val="a"/>
    <w:link w:val="a4"/>
    <w:uiPriority w:val="34"/>
    <w:qFormat/>
    <w:rsid w:val="00A36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List Paragraph1 字元,Recommendation 字元"/>
    <w:link w:val="a3"/>
    <w:uiPriority w:val="34"/>
    <w:locked/>
    <w:rsid w:val="00A36F2A"/>
    <w:rPr>
      <w:rFonts w:ascii="Times New Roman" w:eastAsia="新細明體" w:hAnsi="Times New Roman" w:cs="Times New Roman"/>
      <w:szCs w:val="24"/>
    </w:rPr>
  </w:style>
  <w:style w:type="character" w:customStyle="1" w:styleId="k2a">
    <w:name w:val="k2a 字元"/>
    <w:link w:val="k2a0"/>
    <w:locked/>
    <w:rsid w:val="006E63F7"/>
    <w:rPr>
      <w:rFonts w:eastAsia="標楷體"/>
      <w:spacing w:val="4"/>
      <w:sz w:val="28"/>
    </w:rPr>
  </w:style>
  <w:style w:type="paragraph" w:customStyle="1" w:styleId="k2a0">
    <w:name w:val="k2a"/>
    <w:link w:val="k2a"/>
    <w:rsid w:val="006E63F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outlineLvl w:val="5"/>
    </w:pPr>
    <w:rPr>
      <w:rFonts w:eastAsia="標楷體"/>
      <w:spacing w:val="4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2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5F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60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6014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003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"/>
    <w:basedOn w:val="a"/>
    <w:link w:val="a4"/>
    <w:uiPriority w:val="34"/>
    <w:qFormat/>
    <w:rsid w:val="00A36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List Paragraph1 字元,Recommendation 字元"/>
    <w:link w:val="a3"/>
    <w:uiPriority w:val="34"/>
    <w:locked/>
    <w:rsid w:val="00A36F2A"/>
    <w:rPr>
      <w:rFonts w:ascii="Times New Roman" w:eastAsia="新細明體" w:hAnsi="Times New Roman" w:cs="Times New Roman"/>
      <w:szCs w:val="24"/>
    </w:rPr>
  </w:style>
  <w:style w:type="character" w:customStyle="1" w:styleId="k2a">
    <w:name w:val="k2a 字元"/>
    <w:link w:val="k2a0"/>
    <w:locked/>
    <w:rsid w:val="006E63F7"/>
    <w:rPr>
      <w:rFonts w:eastAsia="標楷體"/>
      <w:spacing w:val="4"/>
      <w:sz w:val="28"/>
    </w:rPr>
  </w:style>
  <w:style w:type="paragraph" w:customStyle="1" w:styleId="k2a0">
    <w:name w:val="k2a"/>
    <w:link w:val="k2a"/>
    <w:rsid w:val="006E63F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outlineLvl w:val="5"/>
    </w:pPr>
    <w:rPr>
      <w:rFonts w:eastAsia="標楷體"/>
      <w:spacing w:val="4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2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5F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60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6014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003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42BB-D72E-4F0E-8F5D-C684AC3E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黃仿玉</dc:creator>
  <cp:lastModifiedBy>平安</cp:lastModifiedBy>
  <cp:revision>218</cp:revision>
  <cp:lastPrinted>2018-12-10T04:54:00Z</cp:lastPrinted>
  <dcterms:created xsi:type="dcterms:W3CDTF">2018-12-13T01:53:00Z</dcterms:created>
  <dcterms:modified xsi:type="dcterms:W3CDTF">2018-12-14T00:33:00Z</dcterms:modified>
</cp:coreProperties>
</file>