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D3" w:rsidRDefault="00FF6AD3">
      <w:pPr>
        <w:pStyle w:val="a6"/>
        <w:pageBreakBefore/>
        <w:spacing w:line="0" w:lineRule="atLeast"/>
      </w:pPr>
    </w:p>
    <w:p w:rsidR="00FF6AD3" w:rsidRDefault="00B43368">
      <w:pPr>
        <w:pStyle w:val="a6"/>
        <w:autoSpaceDE w:val="0"/>
        <w:spacing w:line="0" w:lineRule="atLeast"/>
        <w:jc w:val="center"/>
      </w:pPr>
      <w:r w:rsidRPr="00B858BC">
        <w:rPr>
          <w:b/>
          <w:bCs/>
          <w:color w:val="000000" w:themeColor="text1"/>
          <w:kern w:val="0"/>
        </w:rPr>
        <w:t xml:space="preserve">The </w:t>
      </w:r>
      <w:r>
        <w:rPr>
          <w:b/>
          <w:bCs/>
          <w:kern w:val="0"/>
        </w:rPr>
        <w:t>Executive Yuan Open Government National Action Plan Taskforce</w:t>
      </w:r>
    </w:p>
    <w:p w:rsidR="00FF6AD3" w:rsidRDefault="00B43368">
      <w:pPr>
        <w:pStyle w:val="a6"/>
        <w:autoSpaceDE w:val="0"/>
        <w:spacing w:line="0" w:lineRule="atLeast"/>
        <w:jc w:val="center"/>
      </w:pPr>
      <w:r>
        <w:rPr>
          <w:b/>
          <w:bCs/>
          <w:kern w:val="0"/>
        </w:rPr>
        <w:t>1</w:t>
      </w:r>
      <w:proofErr w:type="spellStart"/>
      <w:r>
        <w:rPr>
          <w:b/>
          <w:bCs/>
          <w:kern w:val="0"/>
          <w:position w:val="24"/>
          <w:sz w:val="16"/>
        </w:rPr>
        <w:t>st</w:t>
      </w:r>
      <w:proofErr w:type="spellEnd"/>
      <w:r>
        <w:rPr>
          <w:b/>
          <w:bCs/>
          <w:kern w:val="0"/>
        </w:rPr>
        <w:t xml:space="preserve"> Meeting – Minutes </w:t>
      </w:r>
    </w:p>
    <w:p w:rsidR="00FF6AD3" w:rsidRDefault="00FF6AD3">
      <w:pPr>
        <w:pStyle w:val="a6"/>
        <w:autoSpaceDE w:val="0"/>
        <w:spacing w:line="0" w:lineRule="atLeast"/>
        <w:jc w:val="center"/>
        <w:rPr>
          <w:b/>
          <w:bCs/>
          <w:kern w:val="0"/>
        </w:rPr>
      </w:pPr>
    </w:p>
    <w:p w:rsidR="00FF6AD3" w:rsidRDefault="00B43368">
      <w:pPr>
        <w:pStyle w:val="a6"/>
        <w:numPr>
          <w:ilvl w:val="0"/>
          <w:numId w:val="1"/>
        </w:numPr>
        <w:autoSpaceDE w:val="0"/>
        <w:spacing w:line="0" w:lineRule="atLeast"/>
        <w:ind w:left="480" w:hanging="480"/>
        <w:jc w:val="both"/>
      </w:pPr>
      <w:r>
        <w:rPr>
          <w:b/>
          <w:bCs/>
          <w:color w:val="000000"/>
          <w:kern w:val="0"/>
        </w:rPr>
        <w:t>Meeting time: 10:00 am, Wednesday, October 28, 2020</w:t>
      </w:r>
    </w:p>
    <w:p w:rsidR="00FF6AD3" w:rsidRDefault="00B43368">
      <w:pPr>
        <w:pStyle w:val="a6"/>
        <w:numPr>
          <w:ilvl w:val="0"/>
          <w:numId w:val="1"/>
        </w:numPr>
        <w:autoSpaceDE w:val="0"/>
        <w:spacing w:line="0" w:lineRule="atLeast"/>
        <w:ind w:left="480" w:hanging="480"/>
        <w:jc w:val="both"/>
      </w:pPr>
      <w:r>
        <w:rPr>
          <w:b/>
          <w:bCs/>
          <w:color w:val="000000"/>
          <w:kern w:val="0"/>
          <w:lang w:val="zh-TW"/>
        </w:rPr>
        <w:t xml:space="preserve">Venue: </w:t>
      </w:r>
      <w:r>
        <w:rPr>
          <w:b/>
          <w:bCs/>
          <w:kern w:val="0"/>
          <w:lang w:val="zh-TW"/>
        </w:rPr>
        <w:t>VIP room, Executive Yuan</w:t>
      </w:r>
    </w:p>
    <w:p w:rsidR="00FF6AD3" w:rsidRDefault="00B43368">
      <w:pPr>
        <w:pStyle w:val="a6"/>
        <w:numPr>
          <w:ilvl w:val="0"/>
          <w:numId w:val="1"/>
        </w:numPr>
        <w:autoSpaceDE w:val="0"/>
        <w:spacing w:line="0" w:lineRule="atLeast"/>
        <w:ind w:left="480" w:hanging="480"/>
        <w:jc w:val="both"/>
      </w:pPr>
      <w:r>
        <w:rPr>
          <w:b/>
          <w:bCs/>
          <w:color w:val="000000"/>
          <w:kern w:val="0"/>
        </w:rPr>
        <w:t xml:space="preserve">Chairperson: Minister Without Portfolio and </w:t>
      </w:r>
      <w:proofErr w:type="spellStart"/>
      <w:r>
        <w:rPr>
          <w:b/>
          <w:bCs/>
          <w:color w:val="000000"/>
          <w:kern w:val="0"/>
        </w:rPr>
        <w:t>convenor</w:t>
      </w:r>
      <w:proofErr w:type="spellEnd"/>
      <w:r>
        <w:rPr>
          <w:b/>
          <w:bCs/>
          <w:color w:val="000000"/>
          <w:kern w:val="0"/>
        </w:rPr>
        <w:t xml:space="preserve"> Audrey Tang, </w:t>
      </w:r>
    </w:p>
    <w:p w:rsidR="00FF6AD3" w:rsidRDefault="00B43368">
      <w:pPr>
        <w:pStyle w:val="a6"/>
        <w:autoSpaceDE w:val="0"/>
        <w:spacing w:line="0" w:lineRule="atLeast"/>
        <w:ind w:left="480"/>
        <w:jc w:val="both"/>
      </w:pPr>
      <w:r>
        <w:rPr>
          <w:b/>
          <w:bCs/>
          <w:color w:val="000000"/>
          <w:kern w:val="0"/>
        </w:rPr>
        <w:t xml:space="preserve">National Development Council Minister and joint </w:t>
      </w:r>
      <w:proofErr w:type="spellStart"/>
      <w:r>
        <w:rPr>
          <w:b/>
          <w:bCs/>
          <w:color w:val="000000"/>
          <w:kern w:val="0"/>
        </w:rPr>
        <w:t>convenor</w:t>
      </w:r>
      <w:proofErr w:type="spellEnd"/>
      <w:r>
        <w:rPr>
          <w:b/>
          <w:bCs/>
          <w:color w:val="000000"/>
          <w:kern w:val="0"/>
        </w:rPr>
        <w:t xml:space="preserve"> Kung Ming-</w:t>
      </w:r>
      <w:proofErr w:type="spellStart"/>
      <w:r>
        <w:rPr>
          <w:b/>
          <w:bCs/>
          <w:color w:val="000000"/>
          <w:kern w:val="0"/>
        </w:rPr>
        <w:t>hsin</w:t>
      </w:r>
      <w:proofErr w:type="spellEnd"/>
      <w:r>
        <w:rPr>
          <w:b/>
          <w:bCs/>
          <w:color w:val="000000"/>
          <w:kern w:val="0"/>
        </w:rPr>
        <w:t xml:space="preserve">, </w:t>
      </w:r>
    </w:p>
    <w:p w:rsidR="00FF6AD3" w:rsidRDefault="00B43368">
      <w:pPr>
        <w:pStyle w:val="a6"/>
        <w:autoSpaceDE w:val="0"/>
        <w:spacing w:line="0" w:lineRule="atLeast"/>
        <w:ind w:left="480"/>
        <w:jc w:val="both"/>
      </w:pPr>
      <w:proofErr w:type="spellStart"/>
      <w:r>
        <w:rPr>
          <w:b/>
          <w:bCs/>
          <w:color w:val="000000"/>
          <w:kern w:val="0"/>
        </w:rPr>
        <w:t>WeatherRisk</w:t>
      </w:r>
      <w:proofErr w:type="spellEnd"/>
      <w:r>
        <w:rPr>
          <w:b/>
          <w:bCs/>
          <w:color w:val="000000"/>
          <w:kern w:val="0"/>
        </w:rPr>
        <w:t xml:space="preserve"> Explore Inc. President and joint </w:t>
      </w:r>
      <w:proofErr w:type="spellStart"/>
      <w:r>
        <w:rPr>
          <w:b/>
          <w:bCs/>
          <w:color w:val="000000"/>
          <w:kern w:val="0"/>
        </w:rPr>
        <w:t>convenor</w:t>
      </w:r>
      <w:proofErr w:type="spellEnd"/>
      <w:r>
        <w:rPr>
          <w:b/>
          <w:bCs/>
          <w:color w:val="000000"/>
          <w:kern w:val="0"/>
        </w:rPr>
        <w:t xml:space="preserve"> </w:t>
      </w:r>
      <w:proofErr w:type="spellStart"/>
      <w:r>
        <w:rPr>
          <w:b/>
          <w:bCs/>
          <w:color w:val="000000"/>
          <w:kern w:val="0"/>
        </w:rPr>
        <w:t>Peng</w:t>
      </w:r>
      <w:proofErr w:type="spellEnd"/>
      <w:r>
        <w:rPr>
          <w:b/>
          <w:bCs/>
          <w:color w:val="000000"/>
          <w:kern w:val="0"/>
        </w:rPr>
        <w:t xml:space="preserve"> </w:t>
      </w:r>
      <w:proofErr w:type="spellStart"/>
      <w:r>
        <w:rPr>
          <w:b/>
          <w:bCs/>
          <w:color w:val="000000"/>
          <w:kern w:val="0"/>
        </w:rPr>
        <w:t>Chih-ming</w:t>
      </w:r>
      <w:proofErr w:type="spellEnd"/>
      <w:r>
        <w:rPr>
          <w:b/>
          <w:bCs/>
          <w:color w:val="000000"/>
          <w:kern w:val="0"/>
        </w:rPr>
        <w:t>,</w:t>
      </w:r>
    </w:p>
    <w:p w:rsidR="00FF6AD3" w:rsidRDefault="000C750C">
      <w:pPr>
        <w:pStyle w:val="a6"/>
        <w:numPr>
          <w:ilvl w:val="0"/>
          <w:numId w:val="1"/>
        </w:numPr>
        <w:autoSpaceDE w:val="0"/>
        <w:spacing w:line="0" w:lineRule="atLeast"/>
        <w:ind w:left="480" w:hanging="480"/>
        <w:jc w:val="both"/>
      </w:pPr>
      <w:r w:rsidRPr="000C750C">
        <w:rPr>
          <w:b/>
          <w:bCs/>
          <w:color w:val="000000"/>
          <w:kern w:val="0"/>
        </w:rPr>
        <w:t>Chairperson</w:t>
      </w:r>
      <w:r w:rsidRPr="000C750C">
        <w:rPr>
          <w:rFonts w:hint="eastAsia"/>
          <w:b/>
          <w:bCs/>
          <w:color w:val="000000"/>
          <w:kern w:val="0"/>
        </w:rPr>
        <w:t>'</w:t>
      </w:r>
      <w:r w:rsidRPr="000C750C">
        <w:rPr>
          <w:b/>
          <w:bCs/>
          <w:color w:val="000000"/>
          <w:kern w:val="0"/>
        </w:rPr>
        <w:t>s Remark</w:t>
      </w:r>
      <w:r w:rsidRPr="00B858BC">
        <w:rPr>
          <w:b/>
          <w:bCs/>
          <w:color w:val="000000"/>
          <w:kern w:val="0"/>
        </w:rPr>
        <w:t>s</w:t>
      </w:r>
      <w:r w:rsidRPr="000C750C">
        <w:rPr>
          <w:b/>
          <w:bCs/>
          <w:color w:val="000000"/>
          <w:kern w:val="0"/>
        </w:rPr>
        <w:t>: omitted</w:t>
      </w:r>
      <w:r w:rsidR="00B43368">
        <w:rPr>
          <w:b/>
          <w:bCs/>
          <w:color w:val="000000"/>
          <w:kern w:val="0"/>
        </w:rPr>
        <w:t xml:space="preserve">          Minute taker: Yang Yi-</w:t>
      </w:r>
      <w:proofErr w:type="spellStart"/>
      <w:r w:rsidR="00B43368">
        <w:rPr>
          <w:b/>
          <w:bCs/>
          <w:color w:val="000000"/>
          <w:kern w:val="0"/>
        </w:rPr>
        <w:t>jun</w:t>
      </w:r>
      <w:proofErr w:type="spellEnd"/>
    </w:p>
    <w:p w:rsidR="00FF6AD3" w:rsidRDefault="00B43368">
      <w:pPr>
        <w:pStyle w:val="a6"/>
        <w:numPr>
          <w:ilvl w:val="0"/>
          <w:numId w:val="1"/>
        </w:numPr>
        <w:autoSpaceDE w:val="0"/>
        <w:spacing w:line="0" w:lineRule="atLeast"/>
        <w:ind w:left="480" w:hanging="480"/>
        <w:jc w:val="both"/>
      </w:pPr>
      <w:bookmarkStart w:id="0" w:name="_GoBack"/>
      <w:bookmarkEnd w:id="0"/>
      <w:r>
        <w:rPr>
          <w:b/>
          <w:bCs/>
          <w:color w:val="000000"/>
          <w:kern w:val="0"/>
          <w:lang w:val="zh-TW"/>
        </w:rPr>
        <w:t>Introductory report: omitted</w:t>
      </w:r>
    </w:p>
    <w:p w:rsidR="00FF6AD3" w:rsidRDefault="00B43368">
      <w:pPr>
        <w:pStyle w:val="a6"/>
        <w:numPr>
          <w:ilvl w:val="0"/>
          <w:numId w:val="1"/>
        </w:numPr>
        <w:autoSpaceDE w:val="0"/>
        <w:spacing w:line="0" w:lineRule="atLeast"/>
        <w:ind w:left="480" w:hanging="480"/>
        <w:jc w:val="both"/>
      </w:pPr>
      <w:r>
        <w:rPr>
          <w:b/>
          <w:bCs/>
          <w:color w:val="000000"/>
          <w:kern w:val="0"/>
        </w:rPr>
        <w:t>Comments by members and agencies: for verbatim transcript, see the following website:</w:t>
      </w:r>
    </w:p>
    <w:p w:rsidR="00FF6AD3" w:rsidRDefault="000C750C">
      <w:pPr>
        <w:pStyle w:val="a6"/>
        <w:autoSpaceDE w:val="0"/>
        <w:spacing w:line="0" w:lineRule="atLeast"/>
        <w:ind w:left="480"/>
        <w:rPr>
          <w:kern w:val="0"/>
        </w:rPr>
      </w:pPr>
      <w:hyperlink r:id="rId5" w:anchor="_blank" w:history="1">
        <w:r w:rsidR="00B43368">
          <w:rPr>
            <w:kern w:val="0"/>
          </w:rPr>
          <w:t>https://sayit.pdis.nat.gov.tw/2020-10-28-%E8%A1%8C%E6%94%BF%E9%99%A2%E9%96%8B%E6%94%BE%E6%94%BF%E5%BA%9C%E5%9C%8B%E5%AE%B6%E8%A1%8C%E5%8B%95%E6%96%B9%E6%A1%88%E6%8E%A8%E5%8B%95%E5%B0%8F%E7%B5%84%E7%AC%AC1%E6%AC%A1%E6%9C%83%E8%AD%B0</w:t>
        </w:r>
      </w:hyperlink>
    </w:p>
    <w:p w:rsidR="00FF6AD3" w:rsidRDefault="00FF6AD3">
      <w:pPr>
        <w:pStyle w:val="a6"/>
        <w:autoSpaceDE w:val="0"/>
        <w:spacing w:line="0" w:lineRule="atLeast"/>
        <w:ind w:left="709"/>
        <w:rPr>
          <w:kern w:val="0"/>
        </w:rPr>
      </w:pPr>
    </w:p>
    <w:p w:rsidR="00FF6AD3" w:rsidRDefault="00B43368">
      <w:pPr>
        <w:pStyle w:val="a6"/>
        <w:numPr>
          <w:ilvl w:val="0"/>
          <w:numId w:val="1"/>
        </w:numPr>
        <w:autoSpaceDE w:val="0"/>
        <w:spacing w:line="0" w:lineRule="atLeast"/>
        <w:ind w:left="480" w:hanging="480"/>
        <w:jc w:val="both"/>
      </w:pPr>
      <w:r>
        <w:rPr>
          <w:b/>
          <w:bCs/>
          <w:color w:val="000000"/>
          <w:kern w:val="0"/>
          <w:lang w:val="zh-TW"/>
        </w:rPr>
        <w:t>Meeting conclusions:</w:t>
      </w:r>
    </w:p>
    <w:p w:rsidR="00FF6AD3" w:rsidRDefault="00B43368">
      <w:pPr>
        <w:pStyle w:val="a6"/>
        <w:numPr>
          <w:ilvl w:val="0"/>
          <w:numId w:val="1"/>
        </w:numPr>
        <w:autoSpaceDE w:val="0"/>
        <w:spacing w:before="240" w:line="0" w:lineRule="atLeast"/>
        <w:ind w:left="480" w:hanging="480"/>
      </w:pPr>
      <w:r>
        <w:rPr>
          <w:kern w:val="0"/>
        </w:rPr>
        <w:t xml:space="preserve">This taskforce appointed a joint </w:t>
      </w:r>
      <w:proofErr w:type="spellStart"/>
      <w:r>
        <w:rPr>
          <w:kern w:val="0"/>
        </w:rPr>
        <w:t>convenor</w:t>
      </w:r>
      <w:proofErr w:type="spellEnd"/>
      <w:r>
        <w:rPr>
          <w:kern w:val="0"/>
        </w:rPr>
        <w:t xml:space="preserve"> from civil society, chosen by representatives from civic society during the meeting. </w:t>
      </w:r>
      <w:proofErr w:type="spellStart"/>
      <w:r>
        <w:rPr>
          <w:color w:val="000000"/>
          <w:kern w:val="0"/>
        </w:rPr>
        <w:t>WeatherRisk</w:t>
      </w:r>
      <w:proofErr w:type="spellEnd"/>
      <w:r>
        <w:rPr>
          <w:color w:val="000000"/>
          <w:kern w:val="0"/>
        </w:rPr>
        <w:t xml:space="preserve"> Explore Inc. President </w:t>
      </w:r>
      <w:proofErr w:type="spellStart"/>
      <w:r>
        <w:rPr>
          <w:color w:val="000000"/>
          <w:kern w:val="0"/>
        </w:rPr>
        <w:t>Peng</w:t>
      </w:r>
      <w:proofErr w:type="spellEnd"/>
      <w:r>
        <w:rPr>
          <w:color w:val="000000"/>
          <w:kern w:val="0"/>
        </w:rPr>
        <w:t xml:space="preserve"> </w:t>
      </w:r>
      <w:proofErr w:type="spellStart"/>
      <w:r>
        <w:rPr>
          <w:color w:val="000000"/>
          <w:kern w:val="0"/>
        </w:rPr>
        <w:t>Chih-ming</w:t>
      </w:r>
      <w:proofErr w:type="spellEnd"/>
      <w:r>
        <w:rPr>
          <w:color w:val="000000"/>
          <w:kern w:val="0"/>
        </w:rPr>
        <w:t xml:space="preserve"> was chosen as the joint </w:t>
      </w:r>
      <w:proofErr w:type="spellStart"/>
      <w:r>
        <w:rPr>
          <w:color w:val="000000"/>
          <w:kern w:val="0"/>
        </w:rPr>
        <w:t>convenor</w:t>
      </w:r>
      <w:proofErr w:type="spellEnd"/>
      <w:r>
        <w:rPr>
          <w:color w:val="000000"/>
          <w:kern w:val="0"/>
        </w:rPr>
        <w:t>.</w:t>
      </w:r>
    </w:p>
    <w:p w:rsidR="00FF6AD3" w:rsidRDefault="00B43368">
      <w:pPr>
        <w:pStyle w:val="a6"/>
        <w:numPr>
          <w:ilvl w:val="0"/>
          <w:numId w:val="1"/>
        </w:numPr>
        <w:autoSpaceDE w:val="0"/>
        <w:spacing w:before="240" w:line="0" w:lineRule="atLeast"/>
        <w:ind w:left="480" w:hanging="480"/>
        <w:jc w:val="both"/>
      </w:pPr>
      <w:r>
        <w:rPr>
          <w:kern w:val="0"/>
        </w:rPr>
        <w:t>Taiwan</w:t>
      </w:r>
      <w:r w:rsidR="00A375FD">
        <w:rPr>
          <w:kern w:val="0"/>
        </w:rPr>
        <w:t>’</w:t>
      </w:r>
      <w:r>
        <w:rPr>
          <w:kern w:val="0"/>
        </w:rPr>
        <w:t>s first Open Government National Action Plan runs from January 2021 to May 2024. It has five major categorie</w:t>
      </w:r>
      <w:r w:rsidRPr="00B858BC">
        <w:rPr>
          <w:kern w:val="0"/>
        </w:rPr>
        <w:t>s</w:t>
      </w:r>
      <w:r>
        <w:rPr>
          <w:kern w:val="0"/>
        </w:rPr>
        <w:t xml:space="preserve"> of commitments, namely “Promote Open Data and Freedom of Information,” “Expand the Public Participation Mechanisms,” “Increase Gender- and Ethnic Group- Inclusive Dialogues,” “Enhance Integrity Policies,” and “Implement Anti-Money Laundering (AML).” It also includes 19 commitments (see attachment 1).</w:t>
      </w:r>
    </w:p>
    <w:p w:rsidR="00FF6AD3" w:rsidRDefault="00B43368">
      <w:pPr>
        <w:pStyle w:val="a6"/>
        <w:numPr>
          <w:ilvl w:val="0"/>
          <w:numId w:val="1"/>
        </w:numPr>
        <w:autoSpaceDE w:val="0"/>
        <w:spacing w:before="240" w:line="0" w:lineRule="atLeast"/>
        <w:ind w:left="480" w:hanging="480"/>
        <w:jc w:val="both"/>
      </w:pPr>
      <w:r>
        <w:rPr>
          <w:kern w:val="0"/>
        </w:rPr>
        <w:t xml:space="preserve">The 19 commitments were formulated and proposed by the government, civil society representatives and members, with 12 commitments put forward by the government and six by civil society. One commitment was added during the meeting at the suggestion of member Lin </w:t>
      </w:r>
      <w:proofErr w:type="spellStart"/>
      <w:r>
        <w:rPr>
          <w:kern w:val="0"/>
        </w:rPr>
        <w:t>Zi-lun</w:t>
      </w:r>
      <w:proofErr w:type="spellEnd"/>
      <w:r>
        <w:rPr>
          <w:kern w:val="0"/>
        </w:rPr>
        <w:t xml:space="preserve"> -- Information Disclosure Relating to the Environment (provisional name). The proposal will be drawn up and submitted to the Environmental Protection Administration (EPA) at a work group meeting.</w:t>
      </w:r>
    </w:p>
    <w:p w:rsidR="00FF6AD3" w:rsidRPr="00A375FD" w:rsidRDefault="00B43368" w:rsidP="00A375FD">
      <w:pPr>
        <w:pStyle w:val="a6"/>
        <w:numPr>
          <w:ilvl w:val="0"/>
          <w:numId w:val="1"/>
        </w:numPr>
        <w:autoSpaceDE w:val="0"/>
        <w:spacing w:before="240" w:line="0" w:lineRule="atLeast"/>
        <w:ind w:left="480" w:hanging="480"/>
        <w:jc w:val="both"/>
        <w:rPr>
          <w:kern w:val="0"/>
        </w:rPr>
      </w:pPr>
      <w:r>
        <w:rPr>
          <w:kern w:val="0"/>
        </w:rPr>
        <w:t xml:space="preserve">All responsible government agencies are requested to establish work groups at the deputy leader level through </w:t>
      </w:r>
      <w:r w:rsidRPr="00A375FD">
        <w:rPr>
          <w:kern w:val="0"/>
        </w:rPr>
        <w:t>collaboration between government and civil society</w:t>
      </w:r>
      <w:r>
        <w:rPr>
          <w:kern w:val="0"/>
        </w:rPr>
        <w:t xml:space="preserve"> and hold work group meetings in November to complete formulation of their commitment; this will be passed to the </w:t>
      </w:r>
      <w:r w:rsidRPr="00A375FD">
        <w:rPr>
          <w:kern w:val="0"/>
        </w:rPr>
        <w:t>National Development Council</w:t>
      </w:r>
      <w:r>
        <w:rPr>
          <w:kern w:val="0"/>
        </w:rPr>
        <w:t xml:space="preserve"> (NDC) and submitted to the 2nd</w:t>
      </w:r>
      <w:r w:rsidRPr="00A375FD">
        <w:rPr>
          <w:kern w:val="0"/>
        </w:rPr>
        <w:t xml:space="preserve"> </w:t>
      </w:r>
      <w:r>
        <w:rPr>
          <w:kern w:val="0"/>
        </w:rPr>
        <w:t>Taskforce meeting in December which will draft an Open Government National Action Plan to be submitted to the Executive Yuan.</w:t>
      </w:r>
    </w:p>
    <w:p w:rsidR="00FF6AD3" w:rsidRDefault="00B43368">
      <w:pPr>
        <w:pStyle w:val="a6"/>
        <w:numPr>
          <w:ilvl w:val="0"/>
          <w:numId w:val="1"/>
        </w:numPr>
        <w:autoSpaceDE w:val="0"/>
        <w:spacing w:before="240" w:line="0" w:lineRule="atLeast"/>
        <w:ind w:left="480" w:hanging="480"/>
        <w:jc w:val="both"/>
      </w:pPr>
      <w:r>
        <w:rPr>
          <w:kern w:val="0"/>
        </w:rPr>
        <w:t>Civil society members will be asked to comment on “Follow-up</w:t>
      </w:r>
      <w:r w:rsidRPr="00FC5AA8">
        <w:rPr>
          <w:color w:val="000000" w:themeColor="text1"/>
          <w:kern w:val="0"/>
        </w:rPr>
        <w:t xml:space="preserve"> participation </w:t>
      </w:r>
      <w:proofErr w:type="gramStart"/>
      <w:r w:rsidRPr="00FC5AA8">
        <w:rPr>
          <w:color w:val="000000" w:themeColor="text1"/>
          <w:kern w:val="0"/>
        </w:rPr>
        <w:t>in</w:t>
      </w:r>
      <w:r>
        <w:rPr>
          <w:strike/>
          <w:color w:val="FF0000"/>
          <w:kern w:val="0"/>
        </w:rPr>
        <w:t xml:space="preserve"> </w:t>
      </w:r>
      <w:r>
        <w:rPr>
          <w:kern w:val="0"/>
        </w:rPr>
        <w:t xml:space="preserve"> work</w:t>
      </w:r>
      <w:proofErr w:type="gramEnd"/>
      <w:r>
        <w:rPr>
          <w:kern w:val="0"/>
        </w:rPr>
        <w:t xml:space="preserve"> group,” “Recommend agencies (central or local government) and civic </w:t>
      </w:r>
      <w:r>
        <w:rPr>
          <w:kern w:val="0"/>
        </w:rPr>
        <w:lastRenderedPageBreak/>
        <w:t>groups (groups or individuals) for participation in work groups,” and “</w:t>
      </w:r>
      <w:r w:rsidRPr="00B858BC">
        <w:rPr>
          <w:color w:val="000000" w:themeColor="text1"/>
          <w:kern w:val="0"/>
        </w:rPr>
        <w:t>Proposed</w:t>
      </w:r>
      <w:r>
        <w:rPr>
          <w:kern w:val="0"/>
        </w:rPr>
        <w:t xml:space="preserve"> commitments” before November 4 (Wednesday) to be referenced in follow-up discussions of commitments by each work group. </w:t>
      </w:r>
    </w:p>
    <w:p w:rsidR="00FF6AD3" w:rsidRDefault="00B43368">
      <w:pPr>
        <w:pStyle w:val="a6"/>
        <w:numPr>
          <w:ilvl w:val="0"/>
          <w:numId w:val="1"/>
        </w:numPr>
        <w:autoSpaceDE w:val="0"/>
        <w:spacing w:before="240" w:line="0" w:lineRule="atLeast"/>
        <w:ind w:left="480" w:hanging="480"/>
        <w:jc w:val="both"/>
      </w:pPr>
      <w:r>
        <w:rPr>
          <w:kern w:val="0"/>
        </w:rPr>
        <w:t>In terms of the opinion of attending representatives, the</w:t>
      </w:r>
      <w:r>
        <w:rPr>
          <w:color w:val="FF0000"/>
          <w:kern w:val="0"/>
        </w:rPr>
        <w:t xml:space="preserve"> </w:t>
      </w:r>
      <w:r>
        <w:rPr>
          <w:kern w:val="0"/>
        </w:rPr>
        <w:t xml:space="preserve">Operational Guidelines for work groups added the provision that work groups can also write down their suggestions or discuss through online meetings. The revised Operational Guidelines are in attachment 2. </w:t>
      </w:r>
    </w:p>
    <w:p w:rsidR="00FF6AD3" w:rsidRDefault="00B43368">
      <w:pPr>
        <w:pStyle w:val="a6"/>
        <w:numPr>
          <w:ilvl w:val="0"/>
          <w:numId w:val="1"/>
        </w:numPr>
        <w:autoSpaceDE w:val="0"/>
        <w:spacing w:before="240" w:line="0" w:lineRule="atLeast"/>
        <w:ind w:left="480" w:hanging="480"/>
        <w:jc w:val="both"/>
      </w:pPr>
      <w:r>
        <w:rPr>
          <w:kern w:val="0"/>
        </w:rPr>
        <w:t>At the 2nd meeting of the Taskforce</w:t>
      </w:r>
      <w:r w:rsidRPr="00921ED1">
        <w:rPr>
          <w:kern w:val="0"/>
        </w:rPr>
        <w:t>, the</w:t>
      </w:r>
      <w:r>
        <w:rPr>
          <w:kern w:val="0"/>
        </w:rPr>
        <w:t xml:space="preserve"> Ministry of Foreign Affairs (MOFA) was asked to report on planning for Taiwan’s participation in the Open Government Partnership.</w:t>
      </w:r>
    </w:p>
    <w:p w:rsidR="00FF6AD3" w:rsidRDefault="00FF6AD3">
      <w:pPr>
        <w:pStyle w:val="a6"/>
        <w:autoSpaceDE w:val="0"/>
        <w:spacing w:line="0" w:lineRule="atLeast"/>
        <w:jc w:val="both"/>
        <w:rPr>
          <w:b/>
          <w:bCs/>
          <w:color w:val="000000"/>
          <w:kern w:val="0"/>
        </w:rPr>
      </w:pPr>
    </w:p>
    <w:p w:rsidR="00FF6AD3" w:rsidRDefault="00B43368">
      <w:pPr>
        <w:pStyle w:val="a6"/>
        <w:numPr>
          <w:ilvl w:val="0"/>
          <w:numId w:val="1"/>
        </w:numPr>
        <w:autoSpaceDE w:val="0"/>
        <w:spacing w:line="0" w:lineRule="atLeast"/>
        <w:ind w:left="480" w:hanging="480"/>
        <w:jc w:val="both"/>
      </w:pPr>
      <w:r>
        <w:rPr>
          <w:b/>
          <w:bCs/>
          <w:color w:val="000000"/>
          <w:kern w:val="0"/>
        </w:rPr>
        <w:t>End of meeting: 12:30 pm (noon)</w:t>
      </w:r>
    </w:p>
    <w:p w:rsidR="00FF6AD3" w:rsidRDefault="00FF6AD3">
      <w:pPr>
        <w:pStyle w:val="a6"/>
        <w:autoSpaceDE w:val="0"/>
        <w:spacing w:line="0" w:lineRule="atLeast"/>
        <w:jc w:val="both"/>
        <w:rPr>
          <w:b/>
          <w:bCs/>
          <w:color w:val="000000"/>
          <w:kern w:val="0"/>
        </w:rPr>
      </w:pPr>
    </w:p>
    <w:p w:rsidR="00FF6AD3" w:rsidRDefault="00B43368">
      <w:pPr>
        <w:pStyle w:val="a6"/>
        <w:tabs>
          <w:tab w:val="center" w:pos="4153"/>
          <w:tab w:val="right" w:pos="8306"/>
        </w:tabs>
        <w:autoSpaceDE w:val="0"/>
        <w:spacing w:line="0" w:lineRule="atLeast"/>
      </w:pPr>
      <w:r>
        <w:rPr>
          <w:kern w:val="0"/>
          <w:sz w:val="32"/>
          <w:szCs w:val="32"/>
        </w:rPr>
        <w:t>Attachment 1</w:t>
      </w:r>
    </w:p>
    <w:p w:rsidR="00FF6AD3" w:rsidRDefault="00FF6AD3">
      <w:pPr>
        <w:pStyle w:val="a6"/>
        <w:autoSpaceDE w:val="0"/>
        <w:spacing w:line="0" w:lineRule="atLeast"/>
        <w:rPr>
          <w:b/>
          <w:bCs/>
          <w:color w:val="000000"/>
          <w:spacing w:val="15"/>
          <w:kern w:val="0"/>
        </w:rPr>
      </w:pPr>
    </w:p>
    <w:p w:rsidR="00FF6AD3" w:rsidRDefault="00B43368">
      <w:pPr>
        <w:pStyle w:val="a6"/>
        <w:autoSpaceDE w:val="0"/>
        <w:spacing w:line="0" w:lineRule="atLeast"/>
        <w:jc w:val="center"/>
      </w:pPr>
      <w:r>
        <w:rPr>
          <w:b/>
          <w:bCs/>
          <w:color w:val="000000"/>
          <w:kern w:val="0"/>
        </w:rPr>
        <w:t>Taiwan</w:t>
      </w:r>
      <w:r w:rsidR="004E1A88">
        <w:rPr>
          <w:b/>
          <w:bCs/>
          <w:color w:val="000000"/>
          <w:kern w:val="0"/>
        </w:rPr>
        <w:t>’</w:t>
      </w:r>
      <w:r>
        <w:rPr>
          <w:b/>
          <w:bCs/>
          <w:color w:val="000000"/>
          <w:kern w:val="0"/>
        </w:rPr>
        <w:t>s Open Government National Action Plan Commitments and Responsible Government Agencies</w:t>
      </w:r>
    </w:p>
    <w:tbl>
      <w:tblPr>
        <w:tblW w:w="0" w:type="auto"/>
        <w:tblInd w:w="216" w:type="dxa"/>
        <w:tblLayout w:type="fixed"/>
        <w:tblLook w:val="0000" w:firstRow="0" w:lastRow="0" w:firstColumn="0" w:lastColumn="0" w:noHBand="0" w:noVBand="0"/>
      </w:tblPr>
      <w:tblGrid>
        <w:gridCol w:w="486"/>
        <w:gridCol w:w="4634"/>
        <w:gridCol w:w="3278"/>
      </w:tblGrid>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2F2F2"/>
          </w:tcPr>
          <w:p w:rsidR="00FF6AD3" w:rsidRDefault="00FF6AD3">
            <w:pPr>
              <w:pStyle w:val="a6"/>
              <w:autoSpaceDE w:val="0"/>
              <w:spacing w:line="0" w:lineRule="atLeast"/>
              <w:ind w:left="975" w:hanging="778"/>
              <w:jc w:val="both"/>
              <w:rPr>
                <w:rFonts w:ascii="新細明體" w:hAnsi="新細明體" w:cs="新細明體"/>
                <w:kern w:val="0"/>
                <w:sz w:val="22"/>
                <w:szCs w:val="22"/>
              </w:rPr>
            </w:pPr>
          </w:p>
        </w:tc>
        <w:tc>
          <w:tcPr>
            <w:tcW w:w="46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F6AD3" w:rsidRDefault="00B43368">
            <w:pPr>
              <w:pStyle w:val="a6"/>
              <w:autoSpaceDE w:val="0"/>
              <w:spacing w:line="0" w:lineRule="atLeast"/>
              <w:ind w:left="975" w:hanging="778"/>
              <w:jc w:val="center"/>
            </w:pPr>
            <w:r>
              <w:rPr>
                <w:b/>
                <w:bCs/>
                <w:spacing w:val="15"/>
                <w:kern w:val="0"/>
                <w:lang w:val="zh-TW"/>
              </w:rPr>
              <w:t>Commitments</w:t>
            </w:r>
          </w:p>
        </w:tc>
        <w:tc>
          <w:tcPr>
            <w:tcW w:w="3278" w:type="dxa"/>
            <w:tcBorders>
              <w:top w:val="single" w:sz="4" w:space="0" w:color="000000"/>
              <w:left w:val="single" w:sz="4" w:space="0" w:color="000000"/>
              <w:bottom w:val="single" w:sz="4" w:space="0" w:color="000000"/>
              <w:right w:val="single" w:sz="4" w:space="0" w:color="000000"/>
            </w:tcBorders>
            <w:shd w:val="clear" w:color="auto" w:fill="F2F2F2"/>
          </w:tcPr>
          <w:p w:rsidR="00FF6AD3" w:rsidRDefault="00B43368">
            <w:pPr>
              <w:pStyle w:val="a6"/>
              <w:autoSpaceDE w:val="0"/>
              <w:spacing w:line="0" w:lineRule="atLeast"/>
              <w:ind w:firstLine="14"/>
              <w:jc w:val="center"/>
            </w:pPr>
            <w:r>
              <w:rPr>
                <w:b/>
                <w:bCs/>
                <w:spacing w:val="15"/>
                <w:kern w:val="0"/>
                <w:lang w:val="zh-TW"/>
              </w:rPr>
              <w:t>Responsible Government Agency</w:t>
            </w:r>
          </w:p>
        </w:tc>
      </w:tr>
      <w:tr w:rsidR="00FF6AD3">
        <w:trPr>
          <w:trHeight w:val="1020"/>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pPr>
            <w:r>
              <w:rPr>
                <w:kern w:val="0"/>
              </w:rPr>
              <w:t>Promote Open Data and Freedom of Information</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Complete Government Open Data and Data Sharing Mechanism</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jc w:val="center"/>
            </w:pPr>
            <w:r>
              <w:rPr>
                <w:color w:val="000000"/>
                <w:kern w:val="0"/>
                <w:lang w:val="zh-TW"/>
              </w:rPr>
              <w:t xml:space="preserve">National Development Council </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Establish an Open Dataset Platform for Value-added Use</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jc w:val="center"/>
            </w:pPr>
            <w:r w:rsidRPr="000C750C">
              <w:rPr>
                <w:color w:val="000000"/>
                <w:kern w:val="0"/>
              </w:rPr>
              <w:t>Ministry of Science and Technology</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Strengthen Digital Privacy and Personal Data Protection</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jc w:val="center"/>
            </w:pPr>
            <w:r>
              <w:rPr>
                <w:color w:val="000000"/>
                <w:kern w:val="0"/>
                <w:lang w:val="zh-TW"/>
              </w:rPr>
              <w:t xml:space="preserve">National Development Council </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Enhance Information Access in the Freedom of Government Information Law</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jc w:val="center"/>
            </w:pPr>
            <w:r>
              <w:rPr>
                <w:color w:val="000000"/>
                <w:kern w:val="0"/>
                <w:lang w:val="zh-TW"/>
              </w:rPr>
              <w:t>Ministry of Justice</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Information Disclosure Relating to the Environment</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Default="00B43368">
            <w:pPr>
              <w:pStyle w:val="a6"/>
              <w:autoSpaceDE w:val="0"/>
              <w:spacing w:line="0" w:lineRule="atLeast"/>
              <w:jc w:val="center"/>
            </w:pPr>
            <w:r w:rsidRPr="00D71C10">
              <w:rPr>
                <w:color w:val="000000"/>
                <w:kern w:val="0"/>
                <w:lang w:val="zh-TW"/>
              </w:rPr>
              <w:t>Environmental Protection Administration</w:t>
            </w:r>
            <w:r>
              <w:rPr>
                <w:spacing w:val="15"/>
                <w:kern w:val="0"/>
                <w:lang w:val="zh-TW"/>
              </w:rPr>
              <w:t xml:space="preserve"> </w:t>
            </w:r>
          </w:p>
        </w:tc>
      </w:tr>
      <w:tr w:rsidR="00FF6AD3">
        <w:trPr>
          <w:trHeight w:val="964"/>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F6AD3" w:rsidRDefault="00FF6AD3">
            <w:pPr>
              <w:pStyle w:val="a6"/>
              <w:autoSpaceDE w:val="0"/>
              <w:spacing w:line="0" w:lineRule="atLeast"/>
              <w:rPr>
                <w:kern w:val="0"/>
              </w:rPr>
            </w:pPr>
          </w:p>
          <w:p w:rsidR="00FF6AD3" w:rsidRDefault="00B43368">
            <w:pPr>
              <w:pStyle w:val="a6"/>
              <w:autoSpaceDE w:val="0"/>
              <w:spacing w:line="0" w:lineRule="atLeast"/>
            </w:pPr>
            <w:r>
              <w:rPr>
                <w:kern w:val="0"/>
              </w:rPr>
              <w:t>Expand the Public Participation Mechanisms</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rsidP="00891070">
            <w:pPr>
              <w:pStyle w:val="a6"/>
              <w:autoSpaceDE w:val="0"/>
              <w:spacing w:line="0" w:lineRule="atLeast"/>
              <w:jc w:val="both"/>
            </w:pPr>
            <w:r>
              <w:rPr>
                <w:kern w:val="0"/>
              </w:rPr>
              <w:t>National Referendum Electronic Joint Signatures</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Central Election Commission</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lang w:val="zh-TW"/>
              </w:rPr>
              <w:t>Youth Policy Participation</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Ministry of Education</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t>Establish a Regional Revitalization Interactive Platform</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Pr>
                <w:color w:val="000000"/>
                <w:kern w:val="0"/>
                <w:lang w:val="zh-TW"/>
              </w:rPr>
              <w:t xml:space="preserve">National Development Council </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Facilitate the Formation of Labor Unions</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Ministry of Labor</w:t>
            </w:r>
          </w:p>
        </w:tc>
      </w:tr>
      <w:tr w:rsidR="00FF6AD3">
        <w:trPr>
          <w:trHeight w:val="964"/>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10</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t>Incorporate the Concepts of Open Government into Civics and Society Course</w:t>
            </w:r>
            <w:r w:rsidRPr="00891070">
              <w:t>s,</w:t>
            </w:r>
            <w:r>
              <w:t xml:space="preserve"> Subjects and Teaching, and Enhance  Teachers’ Related Knowledge and Skillsets</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 xml:space="preserve">Ministry of Education </w:t>
            </w:r>
          </w:p>
        </w:tc>
      </w:tr>
      <w:tr w:rsidR="00FF6AD3">
        <w:trPr>
          <w:trHeight w:val="964"/>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F6AD3" w:rsidRDefault="00FF6AD3">
            <w:pPr>
              <w:pStyle w:val="a6"/>
              <w:autoSpaceDE w:val="0"/>
              <w:spacing w:line="0" w:lineRule="atLeast"/>
              <w:rPr>
                <w:kern w:val="0"/>
              </w:rPr>
            </w:pPr>
          </w:p>
          <w:p w:rsidR="00FF6AD3" w:rsidRDefault="00B43368">
            <w:pPr>
              <w:pStyle w:val="a6"/>
              <w:autoSpaceDE w:val="0"/>
              <w:spacing w:line="0" w:lineRule="atLeast"/>
            </w:pPr>
            <w:r>
              <w:rPr>
                <w:kern w:val="0"/>
              </w:rPr>
              <w:t>Increase Gender- and Ethnic Group- Inclusive Dialogue</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11</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Promote Gender-Inclusive Dialogue and Participation</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0C750C" w:rsidRDefault="00B43368">
            <w:pPr>
              <w:pStyle w:val="a6"/>
              <w:autoSpaceDE w:val="0"/>
              <w:spacing w:line="0" w:lineRule="atLeast"/>
              <w:jc w:val="center"/>
              <w:rPr>
                <w:color w:val="000000"/>
                <w:kern w:val="0"/>
              </w:rPr>
            </w:pPr>
            <w:r w:rsidRPr="000C750C">
              <w:rPr>
                <w:color w:val="000000"/>
                <w:kern w:val="0"/>
              </w:rPr>
              <w:t>Department of Gender Equality of the Executive Yuan</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12</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Empower Immigrants to Engage in Public Participation and Develop Their Potential</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Ministry of the Interior</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13</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pPr>
            <w:r>
              <w:rPr>
                <w:kern w:val="0"/>
              </w:rPr>
              <w:t>Increase Indigenous Peoples</w:t>
            </w:r>
            <w:r>
              <w:rPr>
                <w:rFonts w:ascii="新細明體" w:hAnsi="新細明體" w:cs="新細明體"/>
                <w:kern w:val="0"/>
              </w:rPr>
              <w:t>’</w:t>
            </w:r>
            <w:r>
              <w:rPr>
                <w:kern w:val="0"/>
              </w:rPr>
              <w:t xml:space="preserve"> Cross-Domain Participation and International </w:t>
            </w:r>
            <w:r>
              <w:rPr>
                <w:rFonts w:eastAsia="微軟正黑體"/>
              </w:rPr>
              <w:t>Linkage</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Council of Indigenous Peoples</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14</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Promote Public Participation on Hakka Issues</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891070" w:rsidRDefault="00B43368">
            <w:pPr>
              <w:pStyle w:val="a6"/>
              <w:autoSpaceDE w:val="0"/>
              <w:spacing w:line="0" w:lineRule="atLeast"/>
              <w:jc w:val="center"/>
              <w:rPr>
                <w:color w:val="000000"/>
                <w:kern w:val="0"/>
                <w:lang w:val="zh-TW"/>
              </w:rPr>
            </w:pPr>
            <w:r w:rsidRPr="00891070">
              <w:rPr>
                <w:color w:val="000000"/>
                <w:kern w:val="0"/>
                <w:lang w:val="zh-TW"/>
              </w:rPr>
              <w:t>Hakka Affairs Council</w:t>
            </w:r>
          </w:p>
        </w:tc>
      </w:tr>
      <w:tr w:rsidR="00FF6AD3">
        <w:trPr>
          <w:trHeight w:val="952"/>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F6AD3" w:rsidRDefault="00FF6AD3">
            <w:pPr>
              <w:pStyle w:val="a6"/>
              <w:autoSpaceDE w:val="0"/>
              <w:spacing w:line="0" w:lineRule="atLeast"/>
              <w:rPr>
                <w:kern w:val="0"/>
              </w:rPr>
            </w:pPr>
          </w:p>
          <w:p w:rsidR="00FF6AD3" w:rsidRDefault="00B43368">
            <w:pPr>
              <w:pStyle w:val="a6"/>
              <w:autoSpaceDE w:val="0"/>
              <w:spacing w:line="0" w:lineRule="atLeast"/>
            </w:pPr>
            <w:r>
              <w:rPr>
                <w:kern w:val="0"/>
              </w:rPr>
              <w:t>Enhance Integrity Policies</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15</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lang w:val="zh-TW"/>
              </w:rPr>
              <w:t>Enhance Political Donation Transparency</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1C6145" w:rsidRDefault="00B43368" w:rsidP="001C6145">
            <w:pPr>
              <w:pStyle w:val="a6"/>
              <w:autoSpaceDE w:val="0"/>
              <w:spacing w:line="0" w:lineRule="atLeast"/>
              <w:jc w:val="center"/>
              <w:rPr>
                <w:color w:val="000000"/>
                <w:kern w:val="0"/>
                <w:lang w:val="zh-TW"/>
              </w:rPr>
            </w:pPr>
            <w:r w:rsidRPr="001C6145">
              <w:rPr>
                <w:color w:val="000000"/>
                <w:kern w:val="0"/>
                <w:lang w:val="zh-TW"/>
              </w:rPr>
              <w:t>Ministry of the Interior</w:t>
            </w:r>
            <w:r>
              <w:rPr>
                <w:color w:val="000000"/>
                <w:kern w:val="0"/>
                <w:lang w:val="zh-TW"/>
              </w:rPr>
              <w:t xml:space="preserve"> </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16</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pPr>
            <w:r>
              <w:rPr>
                <w:kern w:val="0"/>
              </w:rPr>
              <w:t>Establish and Improve the Government Procurement Integrity Platform</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1C6145" w:rsidRDefault="00B43368">
            <w:pPr>
              <w:pStyle w:val="a6"/>
              <w:autoSpaceDE w:val="0"/>
              <w:spacing w:line="0" w:lineRule="atLeast"/>
              <w:jc w:val="center"/>
              <w:rPr>
                <w:color w:val="000000"/>
                <w:kern w:val="0"/>
                <w:lang w:val="zh-TW"/>
              </w:rPr>
            </w:pPr>
            <w:r w:rsidRPr="001C6145">
              <w:rPr>
                <w:color w:val="000000"/>
                <w:kern w:val="0"/>
                <w:lang w:val="zh-TW"/>
              </w:rPr>
              <w:t>Ministry of Justice</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17</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both"/>
            </w:pPr>
            <w:r>
              <w:rPr>
                <w:kern w:val="0"/>
              </w:rPr>
              <w:t>Legislation of the Whistleblower Protection Act</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1C6145" w:rsidRDefault="00B43368">
            <w:pPr>
              <w:pStyle w:val="a6"/>
              <w:autoSpaceDE w:val="0"/>
              <w:spacing w:line="0" w:lineRule="atLeast"/>
              <w:jc w:val="center"/>
              <w:rPr>
                <w:color w:val="000000"/>
                <w:kern w:val="0"/>
                <w:lang w:val="zh-TW"/>
              </w:rPr>
            </w:pPr>
            <w:r w:rsidRPr="001C6145">
              <w:rPr>
                <w:color w:val="000000"/>
                <w:kern w:val="0"/>
                <w:lang w:val="zh-TW"/>
              </w:rPr>
              <w:t>Ministry of Justice</w:t>
            </w:r>
          </w:p>
        </w:tc>
      </w:tr>
      <w:tr w:rsidR="00FF6AD3">
        <w:trPr>
          <w:trHeight w:val="952"/>
        </w:trPr>
        <w:tc>
          <w:tcPr>
            <w:tcW w:w="83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F6AD3" w:rsidRDefault="00FF6AD3">
            <w:pPr>
              <w:pStyle w:val="a6"/>
              <w:autoSpaceDE w:val="0"/>
              <w:spacing w:line="0" w:lineRule="atLeast"/>
              <w:rPr>
                <w:kern w:val="0"/>
              </w:rPr>
            </w:pPr>
          </w:p>
          <w:p w:rsidR="00FF6AD3" w:rsidRDefault="00B43368">
            <w:pPr>
              <w:pStyle w:val="a6"/>
              <w:autoSpaceDE w:val="0"/>
              <w:spacing w:line="0" w:lineRule="atLeast"/>
            </w:pPr>
            <w:r>
              <w:rPr>
                <w:kern w:val="0"/>
              </w:rPr>
              <w:t>Implement Anti-Money Laundering (AML)</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18</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ind w:left="34"/>
              <w:jc w:val="both"/>
            </w:pPr>
            <w:r>
              <w:rPr>
                <w:kern w:val="0"/>
                <w:lang w:val="zh-TW"/>
              </w:rPr>
              <w:t>Beneficial Ownership Transparency</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1C6145" w:rsidRDefault="00B43368">
            <w:pPr>
              <w:pStyle w:val="a6"/>
              <w:autoSpaceDE w:val="0"/>
              <w:spacing w:line="0" w:lineRule="atLeast"/>
              <w:jc w:val="center"/>
              <w:rPr>
                <w:color w:val="000000"/>
                <w:kern w:val="0"/>
                <w:lang w:val="zh-TW"/>
              </w:rPr>
            </w:pPr>
            <w:r w:rsidRPr="001C6145">
              <w:rPr>
                <w:color w:val="000000"/>
                <w:kern w:val="0"/>
                <w:lang w:val="zh-TW"/>
              </w:rPr>
              <w:t>Ministry of Justice</w:t>
            </w:r>
          </w:p>
        </w:tc>
      </w:tr>
      <w:tr w:rsidR="00FF6AD3">
        <w:trPr>
          <w:trHeight w:val="952"/>
        </w:trPr>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jc w:val="center"/>
            </w:pPr>
            <w:r>
              <w:rPr>
                <w:spacing w:val="15"/>
                <w:kern w:val="0"/>
                <w:lang w:val="zh-TW"/>
              </w:rPr>
              <w:t>19</w:t>
            </w:r>
          </w:p>
        </w:tc>
        <w:tc>
          <w:tcPr>
            <w:tcW w:w="46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AD3" w:rsidRDefault="00B43368">
            <w:pPr>
              <w:pStyle w:val="a6"/>
              <w:autoSpaceDE w:val="0"/>
              <w:spacing w:line="0" w:lineRule="atLeast"/>
              <w:ind w:left="34"/>
              <w:jc w:val="both"/>
            </w:pPr>
            <w:r>
              <w:rPr>
                <w:kern w:val="0"/>
              </w:rPr>
              <w:t>Policies on Financial Transparency of Religious Groups to Close AML Loopholes</w:t>
            </w:r>
          </w:p>
        </w:tc>
        <w:tc>
          <w:tcPr>
            <w:tcW w:w="3278" w:type="dxa"/>
            <w:tcBorders>
              <w:top w:val="single" w:sz="4" w:space="0" w:color="000000"/>
              <w:left w:val="single" w:sz="4" w:space="0" w:color="000000"/>
              <w:bottom w:val="single" w:sz="4" w:space="0" w:color="000000"/>
              <w:right w:val="single" w:sz="4" w:space="0" w:color="000000"/>
            </w:tcBorders>
            <w:shd w:val="clear" w:color="auto" w:fill="FFFFFF"/>
          </w:tcPr>
          <w:p w:rsidR="00FF6AD3" w:rsidRPr="001C6145" w:rsidRDefault="00B43368">
            <w:pPr>
              <w:pStyle w:val="a6"/>
              <w:autoSpaceDE w:val="0"/>
              <w:spacing w:line="0" w:lineRule="atLeast"/>
              <w:jc w:val="center"/>
              <w:rPr>
                <w:color w:val="000000"/>
                <w:kern w:val="0"/>
                <w:lang w:val="zh-TW"/>
              </w:rPr>
            </w:pPr>
            <w:r w:rsidRPr="001C6145">
              <w:rPr>
                <w:color w:val="000000"/>
                <w:kern w:val="0"/>
                <w:lang w:val="zh-TW"/>
              </w:rPr>
              <w:t>Ministry of the Interior</w:t>
            </w:r>
          </w:p>
        </w:tc>
      </w:tr>
    </w:tbl>
    <w:p w:rsidR="00FF6AD3" w:rsidRDefault="00FF6AD3">
      <w:pPr>
        <w:pStyle w:val="a6"/>
        <w:autoSpaceDE w:val="0"/>
        <w:spacing w:line="0" w:lineRule="atLeast"/>
        <w:jc w:val="center"/>
        <w:rPr>
          <w:b/>
          <w:bCs/>
          <w:spacing w:val="15"/>
          <w:kern w:val="0"/>
          <w:lang w:val="zh-TW"/>
        </w:rPr>
      </w:pPr>
    </w:p>
    <w:p w:rsidR="00FF6AD3" w:rsidRDefault="00FF6AD3">
      <w:pPr>
        <w:pStyle w:val="a6"/>
        <w:pageBreakBefore/>
        <w:autoSpaceDE w:val="0"/>
        <w:spacing w:line="0" w:lineRule="atLeast"/>
        <w:jc w:val="center"/>
        <w:rPr>
          <w:b/>
          <w:bCs/>
          <w:spacing w:val="15"/>
          <w:kern w:val="0"/>
          <w:lang w:val="zh-TW"/>
        </w:rPr>
      </w:pPr>
    </w:p>
    <w:p w:rsidR="00FF6AD3" w:rsidRDefault="00B43368">
      <w:pPr>
        <w:pStyle w:val="a6"/>
        <w:tabs>
          <w:tab w:val="center" w:pos="4153"/>
          <w:tab w:val="right" w:pos="8306"/>
        </w:tabs>
        <w:autoSpaceDE w:val="0"/>
        <w:spacing w:line="0" w:lineRule="atLeast"/>
      </w:pPr>
      <w:r>
        <w:rPr>
          <w:kern w:val="0"/>
          <w:sz w:val="32"/>
          <w:szCs w:val="32"/>
          <w:lang w:val="zh-TW"/>
        </w:rPr>
        <w:t>Attachment 2</w:t>
      </w:r>
    </w:p>
    <w:p w:rsidR="00FF6AD3" w:rsidRDefault="00FF6AD3">
      <w:pPr>
        <w:pStyle w:val="a6"/>
        <w:autoSpaceDE w:val="0"/>
        <w:spacing w:line="0" w:lineRule="atLeast"/>
        <w:rPr>
          <w:b/>
          <w:bCs/>
          <w:spacing w:val="15"/>
          <w:kern w:val="0"/>
          <w:lang w:val="zh-TW"/>
        </w:rPr>
      </w:pPr>
    </w:p>
    <w:p w:rsidR="00FF6AD3" w:rsidRDefault="00B43368">
      <w:pPr>
        <w:pStyle w:val="a6"/>
        <w:autoSpaceDE w:val="0"/>
        <w:spacing w:line="0" w:lineRule="atLeast"/>
        <w:jc w:val="center"/>
      </w:pPr>
      <w:r>
        <w:rPr>
          <w:b/>
          <w:bCs/>
          <w:kern w:val="0"/>
        </w:rPr>
        <w:t>Executive Yuan Open Government National Action Plan</w:t>
      </w:r>
    </w:p>
    <w:p w:rsidR="00FF6AD3" w:rsidRDefault="00B43368">
      <w:pPr>
        <w:pStyle w:val="a6"/>
        <w:autoSpaceDE w:val="0"/>
        <w:spacing w:line="0" w:lineRule="atLeast"/>
        <w:jc w:val="center"/>
      </w:pPr>
      <w:r>
        <w:rPr>
          <w:b/>
          <w:bCs/>
          <w:kern w:val="0"/>
        </w:rPr>
        <w:t>Taskforce Operational Guidelines for Work groups</w:t>
      </w:r>
    </w:p>
    <w:p w:rsidR="00FF6AD3" w:rsidRDefault="00FF6AD3">
      <w:pPr>
        <w:pStyle w:val="a6"/>
        <w:autoSpaceDE w:val="0"/>
        <w:spacing w:line="0" w:lineRule="atLeast"/>
        <w:jc w:val="center"/>
        <w:rPr>
          <w:b/>
          <w:bCs/>
          <w:kern w:val="0"/>
        </w:rPr>
      </w:pPr>
    </w:p>
    <w:p w:rsidR="00FF6AD3" w:rsidRDefault="00B43368">
      <w:pPr>
        <w:pStyle w:val="a6"/>
        <w:numPr>
          <w:ilvl w:val="0"/>
          <w:numId w:val="1"/>
        </w:numPr>
        <w:autoSpaceDE w:val="0"/>
        <w:spacing w:line="0" w:lineRule="atLeast"/>
        <w:ind w:left="480" w:hanging="480"/>
        <w:jc w:val="both"/>
      </w:pPr>
      <w:r>
        <w:rPr>
          <w:kern w:val="0"/>
        </w:rPr>
        <w:t>These Guidelines establish groups under the Taskforce in accordance with Point 6 of the Guidelines for the Establishment of the Open Government National Action Plan Taskforce (hereafter referred to as “Taskforce”). They seek to facilitate discussion and completion of commitments by relevant agencies responsible for the commitments to</w:t>
      </w:r>
      <w:r w:rsidRPr="001C6145">
        <w:rPr>
          <w:color w:val="000000" w:themeColor="text1"/>
          <w:kern w:val="0"/>
        </w:rPr>
        <w:t xml:space="preserve"> formulate</w:t>
      </w:r>
      <w:r>
        <w:rPr>
          <w:kern w:val="0"/>
        </w:rPr>
        <w:t xml:space="preserve"> Taiwan’s Open Government National Action Plan.</w:t>
      </w:r>
    </w:p>
    <w:p w:rsidR="00FF6AD3" w:rsidRPr="0039718A" w:rsidRDefault="00B43368">
      <w:pPr>
        <w:pStyle w:val="a6"/>
        <w:numPr>
          <w:ilvl w:val="0"/>
          <w:numId w:val="1"/>
        </w:numPr>
        <w:autoSpaceDE w:val="0"/>
        <w:spacing w:before="240" w:line="0" w:lineRule="atLeast"/>
        <w:ind w:left="480" w:hanging="480"/>
        <w:jc w:val="both"/>
        <w:rPr>
          <w:color w:val="000000" w:themeColor="text1"/>
        </w:rPr>
      </w:pPr>
      <w:r>
        <w:rPr>
          <w:kern w:val="0"/>
        </w:rPr>
        <w:t xml:space="preserve">The main mission of the work groups is to formulate, confirm and complete the content of each commitment </w:t>
      </w:r>
      <w:r w:rsidRPr="0039718A">
        <w:rPr>
          <w:color w:val="000000" w:themeColor="text1"/>
          <w:kern w:val="0"/>
        </w:rPr>
        <w:t>with the collaboration between the government and civil society.</w:t>
      </w:r>
    </w:p>
    <w:p w:rsidR="00FF6AD3" w:rsidRDefault="00B43368">
      <w:pPr>
        <w:pStyle w:val="a6"/>
        <w:autoSpaceDE w:val="0"/>
        <w:spacing w:line="0" w:lineRule="atLeast"/>
        <w:ind w:left="480" w:firstLine="480"/>
        <w:jc w:val="both"/>
      </w:pPr>
      <w:r>
        <w:rPr>
          <w:kern w:val="0"/>
        </w:rPr>
        <w:t xml:space="preserve">The aforementioned </w:t>
      </w:r>
      <w:r w:rsidRPr="0039718A">
        <w:rPr>
          <w:color w:val="000000" w:themeColor="text1"/>
          <w:kern w:val="0"/>
        </w:rPr>
        <w:t>collaboration means the agency responsible for the commitment should in principle convene meetings and solicit opinions from group members face to face or online; and consult the public opinion to the proposed commitment online and through other channels if needed.</w:t>
      </w:r>
    </w:p>
    <w:p w:rsidR="00FF6AD3" w:rsidRDefault="00B43368">
      <w:pPr>
        <w:pStyle w:val="a6"/>
        <w:numPr>
          <w:ilvl w:val="0"/>
          <w:numId w:val="1"/>
        </w:numPr>
        <w:autoSpaceDE w:val="0"/>
        <w:spacing w:before="240" w:line="0" w:lineRule="atLeast"/>
        <w:ind w:left="480" w:hanging="480"/>
        <w:jc w:val="both"/>
      </w:pPr>
      <w:r>
        <w:rPr>
          <w:kern w:val="0"/>
        </w:rPr>
        <w:t xml:space="preserve">Each work group has one </w:t>
      </w:r>
      <w:proofErr w:type="spellStart"/>
      <w:r>
        <w:rPr>
          <w:kern w:val="0"/>
        </w:rPr>
        <w:t>convenor</w:t>
      </w:r>
      <w:proofErr w:type="spellEnd"/>
      <w:r>
        <w:rPr>
          <w:kern w:val="0"/>
        </w:rPr>
        <w:t xml:space="preserve">, a position held by the deputy leader of the responsible agency; a joint </w:t>
      </w:r>
      <w:proofErr w:type="spellStart"/>
      <w:r>
        <w:rPr>
          <w:kern w:val="0"/>
        </w:rPr>
        <w:t>convenor</w:t>
      </w:r>
      <w:proofErr w:type="spellEnd"/>
      <w:r>
        <w:rPr>
          <w:kern w:val="0"/>
        </w:rPr>
        <w:t xml:space="preserve"> shall be appointed as required, with the position filled by a member of a non-government agency appointed by the </w:t>
      </w:r>
      <w:proofErr w:type="spellStart"/>
      <w:r>
        <w:rPr>
          <w:kern w:val="0"/>
        </w:rPr>
        <w:t>convenor</w:t>
      </w:r>
      <w:proofErr w:type="spellEnd"/>
      <w:r>
        <w:rPr>
          <w:kern w:val="0"/>
        </w:rPr>
        <w:t>.</w:t>
      </w:r>
    </w:p>
    <w:p w:rsidR="00FF6AD3" w:rsidRDefault="00B43368">
      <w:pPr>
        <w:pStyle w:val="a6"/>
        <w:autoSpaceDE w:val="0"/>
        <w:spacing w:line="0" w:lineRule="atLeast"/>
        <w:ind w:left="480" w:firstLine="276"/>
        <w:jc w:val="both"/>
      </w:pPr>
      <w:r>
        <w:rPr>
          <w:kern w:val="0"/>
        </w:rPr>
        <w:t>In principle, half of the members of groups should be from government agencies and half from non-government agencies, including the following persons:</w:t>
      </w:r>
    </w:p>
    <w:p w:rsidR="00FF6AD3" w:rsidRDefault="00B43368">
      <w:pPr>
        <w:pStyle w:val="a6"/>
        <w:numPr>
          <w:ilvl w:val="0"/>
          <w:numId w:val="1"/>
        </w:numPr>
        <w:tabs>
          <w:tab w:val="left" w:pos="851"/>
        </w:tabs>
        <w:autoSpaceDE w:val="0"/>
        <w:spacing w:line="0" w:lineRule="atLeast"/>
        <w:ind w:left="851" w:hanging="425"/>
        <w:jc w:val="both"/>
      </w:pPr>
      <w:r>
        <w:rPr>
          <w:kern w:val="0"/>
        </w:rPr>
        <w:t>Representatives of the lead implementing agency and co-organizing agency for related commitments</w:t>
      </w:r>
    </w:p>
    <w:p w:rsidR="00FF6AD3" w:rsidRDefault="00B43368">
      <w:pPr>
        <w:pStyle w:val="a6"/>
        <w:numPr>
          <w:ilvl w:val="0"/>
          <w:numId w:val="1"/>
        </w:numPr>
        <w:tabs>
          <w:tab w:val="left" w:pos="851"/>
        </w:tabs>
        <w:autoSpaceDE w:val="0"/>
        <w:spacing w:line="0" w:lineRule="atLeast"/>
        <w:ind w:left="851" w:hanging="425"/>
        <w:jc w:val="both"/>
      </w:pPr>
      <w:r>
        <w:rPr>
          <w:kern w:val="0"/>
        </w:rPr>
        <w:t>At least one Taskforce member from civil society.</w:t>
      </w:r>
    </w:p>
    <w:p w:rsidR="00FF6AD3" w:rsidRDefault="00B43368">
      <w:pPr>
        <w:pStyle w:val="a6"/>
        <w:numPr>
          <w:ilvl w:val="0"/>
          <w:numId w:val="1"/>
        </w:numPr>
        <w:tabs>
          <w:tab w:val="left" w:pos="851"/>
        </w:tabs>
        <w:autoSpaceDE w:val="0"/>
        <w:spacing w:line="0" w:lineRule="atLeast"/>
        <w:ind w:left="851" w:hanging="425"/>
        <w:jc w:val="both"/>
      </w:pPr>
      <w:r>
        <w:rPr>
          <w:kern w:val="0"/>
        </w:rPr>
        <w:t>Representatives of citizen groups, civic organizations or related industry organizations with a long-term interest in issues related to the commitment.</w:t>
      </w:r>
    </w:p>
    <w:p w:rsidR="00FF6AD3" w:rsidRDefault="00B43368">
      <w:pPr>
        <w:pStyle w:val="a6"/>
        <w:numPr>
          <w:ilvl w:val="0"/>
          <w:numId w:val="1"/>
        </w:numPr>
        <w:tabs>
          <w:tab w:val="left" w:pos="851"/>
        </w:tabs>
        <w:autoSpaceDE w:val="0"/>
        <w:spacing w:line="0" w:lineRule="atLeast"/>
        <w:ind w:left="851" w:hanging="425"/>
        <w:jc w:val="both"/>
      </w:pPr>
      <w:r>
        <w:rPr>
          <w:kern w:val="0"/>
        </w:rPr>
        <w:t>Academics and experts familiar with commitment related issues.</w:t>
      </w:r>
    </w:p>
    <w:p w:rsidR="00FF6AD3" w:rsidRDefault="00B43368">
      <w:pPr>
        <w:pStyle w:val="a6"/>
        <w:numPr>
          <w:ilvl w:val="0"/>
          <w:numId w:val="1"/>
        </w:numPr>
        <w:tabs>
          <w:tab w:val="left" w:pos="851"/>
        </w:tabs>
        <w:autoSpaceDE w:val="0"/>
        <w:spacing w:line="0" w:lineRule="atLeast"/>
        <w:ind w:left="851" w:hanging="425"/>
        <w:jc w:val="both"/>
      </w:pPr>
      <w:r>
        <w:rPr>
          <w:kern w:val="0"/>
        </w:rPr>
        <w:t>Academics and experts familiar with the</w:t>
      </w:r>
      <w:r>
        <w:rPr>
          <w:color w:val="FF0000"/>
          <w:kern w:val="0"/>
        </w:rPr>
        <w:t xml:space="preserve"> </w:t>
      </w:r>
      <w:r w:rsidRPr="00DF1597">
        <w:rPr>
          <w:color w:val="000000" w:themeColor="text1"/>
          <w:kern w:val="0"/>
        </w:rPr>
        <w:t xml:space="preserve">open government initiatives, policies </w:t>
      </w:r>
      <w:r>
        <w:rPr>
          <w:kern w:val="0"/>
        </w:rPr>
        <w:t>or operations of related international organizations.</w:t>
      </w:r>
    </w:p>
    <w:p w:rsidR="00FF6AD3" w:rsidRDefault="00B43368">
      <w:pPr>
        <w:pStyle w:val="a6"/>
        <w:tabs>
          <w:tab w:val="left" w:pos="426"/>
          <w:tab w:val="left" w:pos="851"/>
        </w:tabs>
        <w:autoSpaceDE w:val="0"/>
        <w:spacing w:line="0" w:lineRule="atLeast"/>
        <w:ind w:left="851"/>
        <w:jc w:val="both"/>
      </w:pPr>
      <w:r>
        <w:rPr>
          <w:kern w:val="0"/>
        </w:rPr>
        <w:t>Although group members will receive no remuneration, non-government agency members will receive attendance and transportation fees according to regulations.</w:t>
      </w:r>
    </w:p>
    <w:p w:rsidR="00FF6AD3" w:rsidRDefault="00B43368">
      <w:pPr>
        <w:pStyle w:val="a6"/>
        <w:numPr>
          <w:ilvl w:val="0"/>
          <w:numId w:val="1"/>
        </w:numPr>
        <w:autoSpaceDE w:val="0"/>
        <w:spacing w:before="240" w:line="0" w:lineRule="atLeast"/>
        <w:ind w:left="480" w:hanging="480"/>
        <w:jc w:val="both"/>
      </w:pPr>
      <w:r>
        <w:rPr>
          <w:kern w:val="0"/>
        </w:rPr>
        <w:t>Group meeting decisions will be made by consensus, but where consensus is impossible decisions must be passed by a majority of attendees.</w:t>
      </w:r>
    </w:p>
    <w:p w:rsidR="00FF6AD3" w:rsidRDefault="00B43368">
      <w:pPr>
        <w:pStyle w:val="a6"/>
        <w:autoSpaceDE w:val="0"/>
        <w:spacing w:line="0" w:lineRule="atLeast"/>
        <w:ind w:left="480" w:firstLine="480"/>
        <w:jc w:val="both"/>
      </w:pPr>
      <w:r>
        <w:rPr>
          <w:kern w:val="0"/>
        </w:rPr>
        <w:t>Each work group should keep minutes of meetings and records of consultations (including in writing) to be handed over to the NDC</w:t>
      </w:r>
      <w:r>
        <w:rPr>
          <w:color w:val="000000"/>
          <w:kern w:val="0"/>
        </w:rPr>
        <w:t xml:space="preserve"> for review</w:t>
      </w:r>
      <w:r>
        <w:rPr>
          <w:kern w:val="0"/>
        </w:rPr>
        <w:t>.</w:t>
      </w:r>
    </w:p>
    <w:p w:rsidR="00FF6AD3" w:rsidRDefault="00B43368">
      <w:pPr>
        <w:pStyle w:val="a6"/>
        <w:numPr>
          <w:ilvl w:val="0"/>
          <w:numId w:val="1"/>
        </w:numPr>
        <w:autoSpaceDE w:val="0"/>
        <w:spacing w:before="240" w:line="0" w:lineRule="atLeast"/>
        <w:ind w:left="480" w:hanging="480"/>
        <w:jc w:val="both"/>
      </w:pPr>
      <w:r>
        <w:rPr>
          <w:kern w:val="0"/>
        </w:rPr>
        <w:t>The Open Government National Action Plan commitment should be completed according to the following principles:</w:t>
      </w:r>
    </w:p>
    <w:p w:rsidR="00FF6AD3" w:rsidRDefault="00B43368">
      <w:pPr>
        <w:pStyle w:val="a6"/>
        <w:numPr>
          <w:ilvl w:val="0"/>
          <w:numId w:val="1"/>
        </w:numPr>
        <w:autoSpaceDE w:val="0"/>
        <w:spacing w:line="0" w:lineRule="atLeast"/>
        <w:ind w:left="851" w:hanging="425"/>
        <w:jc w:val="both"/>
      </w:pPr>
      <w:r>
        <w:rPr>
          <w:kern w:val="0"/>
        </w:rPr>
        <w:t>Commitments should be ground-breaking, forward-looking and challenging, showcasing the determination of the government to promote open government.</w:t>
      </w:r>
    </w:p>
    <w:p w:rsidR="00FF6AD3" w:rsidRDefault="00B43368">
      <w:pPr>
        <w:pStyle w:val="a6"/>
        <w:numPr>
          <w:ilvl w:val="0"/>
          <w:numId w:val="1"/>
        </w:numPr>
        <w:autoSpaceDE w:val="0"/>
        <w:spacing w:line="0" w:lineRule="atLeast"/>
        <w:ind w:left="851" w:hanging="425"/>
        <w:jc w:val="both"/>
      </w:pPr>
      <w:r>
        <w:rPr>
          <w:kern w:val="0"/>
        </w:rPr>
        <w:t>The connection of commitments to the core values of the Open Government Partnership (transparency, participation, accountability) as well as their contribution to solving public problems should be clearly explained.</w:t>
      </w:r>
    </w:p>
    <w:p w:rsidR="00FF6AD3" w:rsidRDefault="00B43368">
      <w:pPr>
        <w:pStyle w:val="a6"/>
        <w:numPr>
          <w:ilvl w:val="0"/>
          <w:numId w:val="1"/>
        </w:numPr>
        <w:autoSpaceDE w:val="0"/>
        <w:spacing w:line="0" w:lineRule="atLeast"/>
        <w:ind w:left="851" w:hanging="425"/>
        <w:jc w:val="both"/>
      </w:pPr>
      <w:r>
        <w:rPr>
          <w:kern w:val="0"/>
        </w:rPr>
        <w:t>Commitments should have quantifiable or verifiable year by year indicators. The execution period is January 2021 to May 2024.</w:t>
      </w:r>
    </w:p>
    <w:p w:rsidR="00FF6AD3" w:rsidRDefault="00B43368">
      <w:pPr>
        <w:pStyle w:val="a6"/>
        <w:numPr>
          <w:ilvl w:val="0"/>
          <w:numId w:val="1"/>
        </w:numPr>
        <w:autoSpaceDE w:val="0"/>
        <w:spacing w:line="0" w:lineRule="atLeast"/>
        <w:ind w:left="851" w:hanging="425"/>
        <w:jc w:val="both"/>
      </w:pPr>
      <w:r>
        <w:rPr>
          <w:kern w:val="0"/>
        </w:rPr>
        <w:t>Detailed information on civil society groups and non-government or work teams participating in the formulation of commitments should be provided.</w:t>
      </w:r>
    </w:p>
    <w:p w:rsidR="00FF6AD3" w:rsidRPr="006465F0" w:rsidRDefault="00B43368">
      <w:pPr>
        <w:pStyle w:val="a6"/>
        <w:numPr>
          <w:ilvl w:val="0"/>
          <w:numId w:val="1"/>
        </w:numPr>
        <w:autoSpaceDE w:val="0"/>
        <w:spacing w:before="240" w:line="0" w:lineRule="atLeast"/>
        <w:ind w:left="426" w:hanging="426"/>
        <w:jc w:val="both"/>
        <w:rPr>
          <w:color w:val="000000" w:themeColor="text1"/>
        </w:rPr>
      </w:pPr>
      <w:r>
        <w:rPr>
          <w:kern w:val="0"/>
        </w:rPr>
        <w:t xml:space="preserve">Each work group should complete its responsible </w:t>
      </w:r>
      <w:r w:rsidRPr="006465F0">
        <w:rPr>
          <w:color w:val="000000" w:themeColor="text1"/>
          <w:kern w:val="0"/>
        </w:rPr>
        <w:t>commitment before November 30, 2020</w:t>
      </w:r>
    </w:p>
    <w:p w:rsidR="00FF6AD3" w:rsidRDefault="00B43368">
      <w:pPr>
        <w:pStyle w:val="a6"/>
        <w:numPr>
          <w:ilvl w:val="0"/>
          <w:numId w:val="1"/>
        </w:numPr>
        <w:autoSpaceDE w:val="0"/>
        <w:spacing w:before="240" w:line="0" w:lineRule="atLeast"/>
        <w:ind w:left="426" w:hanging="426"/>
        <w:jc w:val="both"/>
      </w:pPr>
      <w:r>
        <w:rPr>
          <w:kern w:val="0"/>
        </w:rPr>
        <w:t>The funding for each work group shall come from the budget of each responsible agency.</w:t>
      </w:r>
    </w:p>
    <w:p w:rsidR="00FF6AD3" w:rsidRDefault="00B43368">
      <w:pPr>
        <w:pStyle w:val="a6"/>
        <w:numPr>
          <w:ilvl w:val="0"/>
          <w:numId w:val="1"/>
        </w:numPr>
        <w:autoSpaceDE w:val="0"/>
        <w:spacing w:before="240" w:line="0" w:lineRule="atLeast"/>
        <w:ind w:left="426" w:hanging="426"/>
        <w:jc w:val="both"/>
      </w:pPr>
      <w:r>
        <w:rPr>
          <w:kern w:val="0"/>
        </w:rPr>
        <w:t xml:space="preserve">Notifications for work group meetings should be copied to the office of the Minister </w:t>
      </w:r>
      <w:proofErr w:type="gramStart"/>
      <w:r>
        <w:rPr>
          <w:kern w:val="0"/>
        </w:rPr>
        <w:t>Without</w:t>
      </w:r>
      <w:proofErr w:type="gramEnd"/>
      <w:r>
        <w:rPr>
          <w:kern w:val="0"/>
        </w:rPr>
        <w:t xml:space="preserve"> Portfolio </w:t>
      </w:r>
      <w:r>
        <w:rPr>
          <w:color w:val="000000"/>
          <w:kern w:val="0"/>
        </w:rPr>
        <w:t>Audrey</w:t>
      </w:r>
      <w:r>
        <w:rPr>
          <w:kern w:val="0"/>
        </w:rPr>
        <w:t xml:space="preserve"> Tang and the NDC’s Department of Social Development.</w:t>
      </w:r>
    </w:p>
    <w:p w:rsidR="00FF6AD3" w:rsidRDefault="00FF6AD3">
      <w:pPr>
        <w:pStyle w:val="a6"/>
        <w:autoSpaceDE w:val="0"/>
        <w:spacing w:line="0" w:lineRule="atLeast"/>
        <w:ind w:left="509"/>
        <w:jc w:val="both"/>
        <w:rPr>
          <w:kern w:val="0"/>
        </w:rPr>
      </w:pPr>
    </w:p>
    <w:p w:rsidR="00FF6AD3" w:rsidRDefault="00FF6AD3">
      <w:pPr>
        <w:pStyle w:val="a6"/>
        <w:spacing w:line="0" w:lineRule="atLeast"/>
      </w:pPr>
    </w:p>
    <w:sectPr w:rsidR="00FF6AD3">
      <w:pgSz w:w="11906" w:h="16838"/>
      <w:pgMar w:top="1440" w:right="1800" w:bottom="1440" w:left="1800" w:header="720" w:footer="720" w:gutter="0"/>
      <w:cols w:space="720"/>
      <w:docGrid w:type="lines" w:linePitch="600" w:charSpace="-20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0" w:firstLine="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68"/>
    <w:rsid w:val="000C750C"/>
    <w:rsid w:val="001C6145"/>
    <w:rsid w:val="0039718A"/>
    <w:rsid w:val="004E1A88"/>
    <w:rsid w:val="004E680E"/>
    <w:rsid w:val="006465F0"/>
    <w:rsid w:val="00654457"/>
    <w:rsid w:val="00891070"/>
    <w:rsid w:val="008A5D3F"/>
    <w:rsid w:val="00917EBB"/>
    <w:rsid w:val="00921ED1"/>
    <w:rsid w:val="00A375FD"/>
    <w:rsid w:val="00B43368"/>
    <w:rsid w:val="00B858BC"/>
    <w:rsid w:val="00D71C10"/>
    <w:rsid w:val="00DF1597"/>
    <w:rsid w:val="00DF21F6"/>
    <w:rsid w:val="00FC5AA8"/>
    <w:rsid w:val="00FF6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6ED052A-E5B7-4464-B1AE-656B6097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kern w:val="2"/>
    </w:rPr>
  </w:style>
  <w:style w:type="character" w:customStyle="1" w:styleId="a4">
    <w:name w:val="頁尾 字元"/>
    <w:rPr>
      <w:kern w:val="2"/>
    </w:rPr>
  </w:style>
  <w:style w:type="character" w:customStyle="1" w:styleId="WWCharLFO1LVL1">
    <w:name w:val="WW_CharLFO1LVL1"/>
    <w:rPr>
      <w:rFonts w:ascii="Symbol" w:hAnsi="Symbol"/>
    </w:rPr>
  </w:style>
  <w:style w:type="character" w:styleId="a5">
    <w:name w:val="Hyperlink"/>
    <w:rPr>
      <w:color w:val="000080"/>
      <w:u w:val="single"/>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2"/>
      <w:sz w:val="24"/>
      <w:szCs w:val="24"/>
    </w:rPr>
  </w:style>
  <w:style w:type="paragraph" w:styleId="a7">
    <w:name w:val="Balloon Text"/>
    <w:basedOn w:val="a6"/>
    <w:rPr>
      <w:rFonts w:ascii="Arial" w:hAnsi="Arial"/>
      <w:sz w:val="18"/>
      <w:szCs w:val="18"/>
    </w:r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customStyle="1" w:styleId="aa">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yit.pdis.nat.gov.tw/2020-10-28-&#34892;&#25919;&#38498;&#38283;&#25918;&#25919;&#24220;&#22283;&#23478;&#34892;&#21205;&#26041;&#26696;&#25512;&#21205;&#23567;&#32068;&#31532;1&#27425;&#26371;&#35696;"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Yuan Open Government National Action Plan Promotion Taskforce</dc:title>
  <dc:subject/>
  <dc:creator>apuser</dc:creator>
  <cp:keywords/>
  <cp:lastModifiedBy>翁慧雯</cp:lastModifiedBy>
  <cp:revision>19</cp:revision>
  <cp:lastPrinted>2021-06-07T08:02:00Z</cp:lastPrinted>
  <dcterms:created xsi:type="dcterms:W3CDTF">2021-06-07T07:01:00Z</dcterms:created>
  <dcterms:modified xsi:type="dcterms:W3CDTF">2021-11-15T03:02:00Z</dcterms:modified>
</cp:coreProperties>
</file>