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74" w:rsidRDefault="00936E95">
      <w:pPr>
        <w:pStyle w:val="Textbody"/>
        <w:autoSpaceDE w:val="0"/>
        <w:snapToGrid w:val="0"/>
        <w:spacing w:line="480" w:lineRule="exact"/>
        <w:ind w:left="-142" w:right="-197"/>
        <w:jc w:val="center"/>
        <w:rPr>
          <w:rFonts w:ascii="Times New Roman" w:eastAsia="標楷體" w:hAnsi="Times New Roman"/>
          <w:b/>
          <w:color w:val="000000"/>
          <w:sz w:val="28"/>
          <w:szCs w:val="28"/>
        </w:rPr>
      </w:pPr>
      <w:r>
        <w:rPr>
          <w:rFonts w:ascii="Times New Roman" w:eastAsia="標楷體" w:hAnsi="Times New Roman"/>
          <w:b/>
          <w:color w:val="000000"/>
          <w:sz w:val="28"/>
          <w:szCs w:val="28"/>
        </w:rPr>
        <w:t>The Executive Yuan Open Government National Action Plan Taskforce</w:t>
      </w:r>
    </w:p>
    <w:p w:rsidR="00EF5F74" w:rsidRDefault="00936E95">
      <w:pPr>
        <w:pStyle w:val="Textbody"/>
        <w:widowControl/>
        <w:autoSpaceDE w:val="0"/>
        <w:snapToGrid w:val="0"/>
        <w:spacing w:line="480" w:lineRule="exact"/>
        <w:jc w:val="center"/>
      </w:pPr>
      <w:r>
        <w:rPr>
          <w:rFonts w:ascii="Times New Roman" w:eastAsia="標楷體" w:hAnsi="Times New Roman"/>
          <w:b/>
          <w:color w:val="000000"/>
          <w:sz w:val="28"/>
          <w:szCs w:val="28"/>
        </w:rPr>
        <w:t>3</w:t>
      </w:r>
      <w:r>
        <w:rPr>
          <w:rFonts w:ascii="Times New Roman" w:eastAsia="標楷體" w:hAnsi="Times New Roman"/>
          <w:b/>
          <w:color w:val="000000"/>
          <w:sz w:val="28"/>
          <w:szCs w:val="28"/>
          <w:vertAlign w:val="superscript"/>
        </w:rPr>
        <w:t xml:space="preserve">rd </w:t>
      </w:r>
      <w:r>
        <w:rPr>
          <w:rFonts w:ascii="Times New Roman" w:eastAsia="標楷體" w:hAnsi="Times New Roman"/>
          <w:b/>
          <w:color w:val="000000"/>
          <w:sz w:val="28"/>
          <w:szCs w:val="28"/>
        </w:rPr>
        <w:t>Meeting -Minutes</w:t>
      </w:r>
    </w:p>
    <w:p w:rsidR="00EF5F74" w:rsidRDefault="00936E95">
      <w:pPr>
        <w:pStyle w:val="a3"/>
        <w:numPr>
          <w:ilvl w:val="0"/>
          <w:numId w:val="1"/>
        </w:numPr>
        <w:snapToGrid w:val="0"/>
        <w:spacing w:line="480" w:lineRule="exact"/>
        <w:ind w:left="454" w:hanging="57"/>
        <w:jc w:val="both"/>
        <w:rPr>
          <w:rFonts w:ascii="Times New Roman" w:eastAsia="標楷體" w:hAnsi="Times New Roman"/>
          <w:bCs/>
          <w:color w:val="000000"/>
          <w:sz w:val="28"/>
          <w:szCs w:val="28"/>
        </w:rPr>
      </w:pPr>
      <w:r>
        <w:rPr>
          <w:rFonts w:ascii="Times New Roman" w:eastAsia="標楷體" w:hAnsi="Times New Roman"/>
          <w:bCs/>
          <w:color w:val="000000"/>
          <w:sz w:val="28"/>
          <w:szCs w:val="28"/>
        </w:rPr>
        <w:t>Meeting time: 1:30pm, Wednesday, May 12, 2021</w:t>
      </w:r>
    </w:p>
    <w:p w:rsidR="00EF5F74" w:rsidRDefault="00936E95">
      <w:pPr>
        <w:pStyle w:val="a3"/>
        <w:numPr>
          <w:ilvl w:val="0"/>
          <w:numId w:val="1"/>
        </w:numPr>
        <w:snapToGrid w:val="0"/>
        <w:spacing w:line="480" w:lineRule="exact"/>
        <w:ind w:left="964" w:hanging="567"/>
        <w:jc w:val="both"/>
        <w:rPr>
          <w:rFonts w:ascii="Times New Roman" w:eastAsia="標楷體" w:hAnsi="Times New Roman"/>
          <w:bCs/>
          <w:color w:val="000000"/>
          <w:sz w:val="28"/>
          <w:szCs w:val="28"/>
        </w:rPr>
      </w:pPr>
      <w:r>
        <w:rPr>
          <w:rFonts w:ascii="Times New Roman" w:eastAsia="標楷體" w:hAnsi="Times New Roman"/>
          <w:bCs/>
          <w:color w:val="000000"/>
          <w:sz w:val="28"/>
          <w:szCs w:val="28"/>
        </w:rPr>
        <w:t>Venue: Meeting Room 610, National Development Council (NDC)</w:t>
      </w:r>
    </w:p>
    <w:p w:rsidR="00EF5F74" w:rsidRDefault="00936E95">
      <w:pPr>
        <w:pStyle w:val="a3"/>
        <w:numPr>
          <w:ilvl w:val="0"/>
          <w:numId w:val="1"/>
        </w:numPr>
        <w:snapToGrid w:val="0"/>
        <w:spacing w:line="480" w:lineRule="exact"/>
        <w:ind w:left="964" w:hanging="567"/>
        <w:jc w:val="both"/>
        <w:rPr>
          <w:rFonts w:ascii="Times New Roman" w:eastAsia="標楷體" w:hAnsi="Times New Roman"/>
          <w:bCs/>
          <w:color w:val="000000"/>
          <w:sz w:val="28"/>
          <w:szCs w:val="28"/>
        </w:rPr>
      </w:pPr>
      <w:r>
        <w:rPr>
          <w:rFonts w:ascii="Times New Roman" w:eastAsia="標楷體" w:hAnsi="Times New Roman"/>
          <w:bCs/>
          <w:color w:val="000000"/>
          <w:sz w:val="28"/>
          <w:szCs w:val="28"/>
        </w:rPr>
        <w:t>Chairpersons: Minister Without Portfolio and convenor Audrey Tang, National Development Council Minister and joint convenor Kung Ming-hsin, WeatherRisk Explore Inc. President and joint convenor Peng Chih-ming</w:t>
      </w:r>
    </w:p>
    <w:p w:rsidR="00EF5F74" w:rsidRDefault="00936E95">
      <w:pPr>
        <w:pStyle w:val="a3"/>
        <w:numPr>
          <w:ilvl w:val="0"/>
          <w:numId w:val="2"/>
        </w:numPr>
        <w:autoSpaceDE w:val="0"/>
        <w:spacing w:line="480" w:lineRule="exact"/>
        <w:ind w:left="907" w:hanging="454"/>
        <w:jc w:val="both"/>
        <w:rPr>
          <w:rFonts w:ascii="Times New Roman" w:eastAsia="標楷體" w:hAnsi="Times New Roman"/>
          <w:bCs/>
          <w:color w:val="000000"/>
          <w:sz w:val="28"/>
          <w:szCs w:val="28"/>
        </w:rPr>
      </w:pPr>
      <w:r>
        <w:rPr>
          <w:rFonts w:ascii="Times New Roman" w:eastAsia="標楷體" w:hAnsi="Times New Roman"/>
          <w:bCs/>
          <w:color w:val="000000"/>
          <w:sz w:val="28"/>
          <w:szCs w:val="28"/>
        </w:rPr>
        <w:t>Attendees: see sign-in sheet               Minute taker: Yang Yi-jun</w:t>
      </w:r>
    </w:p>
    <w:p w:rsidR="00EF5F74" w:rsidRDefault="00936E95">
      <w:pPr>
        <w:pStyle w:val="a3"/>
        <w:numPr>
          <w:ilvl w:val="0"/>
          <w:numId w:val="2"/>
        </w:numPr>
        <w:autoSpaceDE w:val="0"/>
        <w:spacing w:line="480" w:lineRule="exact"/>
        <w:ind w:firstLine="0"/>
        <w:jc w:val="both"/>
        <w:rPr>
          <w:rFonts w:ascii="Times New Roman" w:eastAsia="標楷體" w:hAnsi="Times New Roman"/>
          <w:bCs/>
          <w:color w:val="000000"/>
          <w:sz w:val="28"/>
          <w:szCs w:val="28"/>
        </w:rPr>
      </w:pPr>
      <w:r>
        <w:rPr>
          <w:rFonts w:ascii="Times New Roman" w:eastAsia="標楷體" w:hAnsi="Times New Roman"/>
          <w:bCs/>
          <w:color w:val="000000"/>
          <w:sz w:val="28"/>
          <w:szCs w:val="28"/>
        </w:rPr>
        <w:t>Chairperson’s Remarks: omitted</w:t>
      </w:r>
    </w:p>
    <w:p w:rsidR="00EF5F74" w:rsidRDefault="00936E95">
      <w:pPr>
        <w:pStyle w:val="a3"/>
        <w:numPr>
          <w:ilvl w:val="0"/>
          <w:numId w:val="2"/>
        </w:numPr>
        <w:autoSpaceDE w:val="0"/>
        <w:spacing w:line="480" w:lineRule="exact"/>
        <w:ind w:left="964" w:hanging="510"/>
        <w:jc w:val="both"/>
        <w:rPr>
          <w:rFonts w:ascii="Times New Roman" w:eastAsia="標楷體" w:hAnsi="Times New Roman"/>
          <w:bCs/>
          <w:color w:val="000000"/>
          <w:sz w:val="28"/>
          <w:szCs w:val="28"/>
        </w:rPr>
      </w:pPr>
      <w:r>
        <w:rPr>
          <w:rFonts w:ascii="Times New Roman" w:eastAsia="標楷體" w:hAnsi="Times New Roman"/>
          <w:bCs/>
          <w:color w:val="000000"/>
          <w:sz w:val="28"/>
          <w:szCs w:val="28"/>
        </w:rPr>
        <w:t>Comments by members and agencies: for the verbatim transcript, see the following website:</w:t>
      </w:r>
    </w:p>
    <w:p w:rsidR="00EF5F74" w:rsidRDefault="00936E95">
      <w:pPr>
        <w:pStyle w:val="a3"/>
        <w:snapToGrid w:val="0"/>
        <w:spacing w:line="480" w:lineRule="exact"/>
        <w:ind w:left="964"/>
        <w:jc w:val="both"/>
      </w:pPr>
      <w:r>
        <w:rPr>
          <w:rFonts w:ascii="Times New Roman" w:eastAsia="標楷體" w:hAnsi="Times New Roman"/>
          <w:bCs/>
          <w:sz w:val="28"/>
          <w:szCs w:val="28"/>
        </w:rPr>
        <w:t>https://ey.pdis.nat.gov.tw/shared/XsJHpwi6sNWCIdk2xmvUVC2iozRbfKJUu407Ci7nJlj</w:t>
      </w:r>
    </w:p>
    <w:p w:rsidR="00EF5F74" w:rsidRDefault="00936E95">
      <w:pPr>
        <w:pStyle w:val="a3"/>
        <w:numPr>
          <w:ilvl w:val="0"/>
          <w:numId w:val="3"/>
        </w:numPr>
        <w:snapToGrid w:val="0"/>
        <w:spacing w:line="480" w:lineRule="exact"/>
        <w:ind w:left="964" w:hanging="510"/>
        <w:jc w:val="both"/>
      </w:pPr>
      <w:r>
        <w:rPr>
          <w:rFonts w:ascii="Times New Roman" w:eastAsia="標楷體" w:hAnsi="Times New Roman"/>
          <w:b/>
          <w:bCs/>
          <w:color w:val="000000"/>
          <w:sz w:val="28"/>
          <w:szCs w:val="28"/>
        </w:rPr>
        <w:t>Follow-up report on the conclusions of the 2</w:t>
      </w:r>
      <w:r>
        <w:rPr>
          <w:rFonts w:ascii="Times New Roman" w:eastAsia="標楷體" w:hAnsi="Times New Roman"/>
          <w:b/>
          <w:bCs/>
          <w:color w:val="000000"/>
          <w:sz w:val="28"/>
          <w:szCs w:val="28"/>
          <w:vertAlign w:val="superscript"/>
        </w:rPr>
        <w:t>nd</w:t>
      </w:r>
      <w:r>
        <w:rPr>
          <w:rFonts w:ascii="Times New Roman" w:eastAsia="標楷體" w:hAnsi="Times New Roman"/>
          <w:b/>
          <w:bCs/>
          <w:color w:val="000000"/>
          <w:sz w:val="28"/>
          <w:szCs w:val="28"/>
        </w:rPr>
        <w:t xml:space="preserve"> meeting (reporting unit: NDC)</w:t>
      </w:r>
    </w:p>
    <w:p w:rsidR="00EF5F74" w:rsidRDefault="00936E95">
      <w:pPr>
        <w:pStyle w:val="Textbody"/>
        <w:snapToGrid w:val="0"/>
        <w:spacing w:line="480" w:lineRule="exact"/>
        <w:ind w:firstLine="850"/>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Follow-up report:</w:t>
      </w:r>
    </w:p>
    <w:p w:rsidR="00EF5F74" w:rsidRDefault="00936E95">
      <w:pPr>
        <w:pStyle w:val="a3"/>
        <w:numPr>
          <w:ilvl w:val="0"/>
          <w:numId w:val="4"/>
        </w:numPr>
        <w:snapToGrid w:val="0"/>
        <w:spacing w:line="480" w:lineRule="exact"/>
        <w:ind w:left="1417" w:hanging="454"/>
        <w:jc w:val="both"/>
      </w:pPr>
      <w:r>
        <w:rPr>
          <w:rFonts w:ascii="Times New Roman" w:eastAsia="標楷體" w:hAnsi="Times New Roman"/>
          <w:color w:val="000000"/>
          <w:sz w:val="28"/>
          <w:szCs w:val="28"/>
        </w:rPr>
        <w:t>The 2</w:t>
      </w:r>
      <w:r>
        <w:rPr>
          <w:rFonts w:ascii="Times New Roman" w:eastAsia="標楷體" w:hAnsi="Times New Roman"/>
          <w:color w:val="000000"/>
          <w:sz w:val="28"/>
          <w:szCs w:val="28"/>
          <w:vertAlign w:val="superscript"/>
        </w:rPr>
        <w:t>nd</w:t>
      </w:r>
      <w:r>
        <w:rPr>
          <w:rFonts w:ascii="Times New Roman" w:eastAsia="標楷體" w:hAnsi="Times New Roman"/>
          <w:color w:val="000000"/>
          <w:sz w:val="28"/>
          <w:szCs w:val="28"/>
        </w:rPr>
        <w:t xml:space="preserve"> meeting had six conclusions, five of which have been completed and agreement reached on the lifting of monitoring. The follow-up related </w:t>
      </w:r>
      <w:bookmarkStart w:id="0" w:name="_GoBack"/>
      <w:r w:rsidR="00CD0282" w:rsidRPr="00F42E90">
        <w:rPr>
          <w:rFonts w:ascii="Times New Roman" w:eastAsia="標楷體" w:hAnsi="Times New Roman"/>
          <w:sz w:val="28"/>
          <w:szCs w:val="28"/>
        </w:rPr>
        <w:t>promotion</w:t>
      </w:r>
      <w:bookmarkEnd w:id="0"/>
      <w:r>
        <w:rPr>
          <w:rFonts w:ascii="Times New Roman" w:eastAsia="標楷體" w:hAnsi="Times New Roman"/>
          <w:color w:val="000000"/>
          <w:sz w:val="28"/>
          <w:szCs w:val="28"/>
        </w:rPr>
        <w:t xml:space="preserve"> and empowerment activities for the Taiwan Open Government Action Plan continues to be monitored.</w:t>
      </w:r>
    </w:p>
    <w:p w:rsidR="00EF5F74" w:rsidRDefault="00936E95">
      <w:pPr>
        <w:pStyle w:val="a3"/>
        <w:numPr>
          <w:ilvl w:val="0"/>
          <w:numId w:val="4"/>
        </w:numPr>
        <w:snapToGrid w:val="0"/>
        <w:spacing w:line="480" w:lineRule="exact"/>
        <w:ind w:left="1417" w:hanging="454"/>
        <w:jc w:val="both"/>
      </w:pPr>
      <w:r>
        <w:rPr>
          <w:rFonts w:ascii="Times New Roman" w:eastAsia="標楷體" w:hAnsi="Times New Roman"/>
          <w:color w:val="000000"/>
          <w:sz w:val="28"/>
          <w:szCs w:val="28"/>
        </w:rPr>
        <w:t>Meeting conclusion 1 “Ministry of Foreign Affairs (</w:t>
      </w:r>
      <w:r>
        <w:rPr>
          <w:rFonts w:ascii="Times New Roman" w:hAnsi="Times New Roman"/>
          <w:kern w:val="0"/>
          <w:sz w:val="28"/>
          <w:szCs w:val="28"/>
        </w:rPr>
        <w:t>MOFA) will seek to fully coordinate and cooperate with the Legislative Yuan and civic groups and provide necessary support, while also enhancing participation in related activities through experience sharing and other methods, in pursuit of OGP participation.</w:t>
      </w:r>
      <w:r>
        <w:rPr>
          <w:rFonts w:ascii="Times New Roman" w:eastAsia="標楷體" w:hAnsi="Times New Roman"/>
          <w:color w:val="000000"/>
          <w:sz w:val="28"/>
          <w:szCs w:val="28"/>
        </w:rPr>
        <w:t>” NDC has been added as a competent agency and monitoring of this item has been lifted.</w:t>
      </w:r>
    </w:p>
    <w:p w:rsidR="00EF5F74" w:rsidRDefault="00936E95">
      <w:pPr>
        <w:pStyle w:val="a3"/>
        <w:numPr>
          <w:ilvl w:val="0"/>
          <w:numId w:val="4"/>
        </w:numPr>
        <w:snapToGrid w:val="0"/>
        <w:spacing w:line="480" w:lineRule="exact"/>
        <w:ind w:left="1417" w:hanging="454"/>
        <w:jc w:val="both"/>
      </w:pPr>
      <w:r>
        <w:rPr>
          <w:rFonts w:ascii="Times New Roman" w:eastAsia="標楷體" w:hAnsi="Times New Roman"/>
          <w:color w:val="000000"/>
          <w:sz w:val="28"/>
          <w:szCs w:val="28"/>
        </w:rPr>
        <w:lastRenderedPageBreak/>
        <w:t>Monitoring of Conclusion 6 lifted: “</w:t>
      </w:r>
      <w:r>
        <w:rPr>
          <w:rFonts w:ascii="Times New Roman" w:hAnsi="Times New Roman"/>
          <w:kern w:val="0"/>
          <w:sz w:val="28"/>
          <w:szCs w:val="28"/>
        </w:rPr>
        <w:t>The implementation of each commitment should fully embrace the principle of collaboration between government and civil society; each responsible agency is requested to invite the participation of civic groups as required. Other than Taskforce meetings reviewing the progress and results of commitments every four months, responsible units should also be invited to share successful cases, problems encountered and other matters relating to the promotional process.</w:t>
      </w:r>
      <w:r>
        <w:rPr>
          <w:rFonts w:ascii="Times New Roman" w:eastAsia="標楷體" w:hAnsi="Times New Roman"/>
          <w:color w:val="000000"/>
          <w:sz w:val="28"/>
          <w:szCs w:val="28"/>
        </w:rPr>
        <w:t>” When the competent agency for each commitment reports on progress, collaboration cases or difficulties encountered between government and civil society should be included in the report. When each competent agency calls a work group meeting or related meeting, all civic society members of the Taskforce should be invited to take part. Depending on the meeting topic, at least one civic society member should attend.</w:t>
      </w:r>
    </w:p>
    <w:p w:rsidR="00EF5F74" w:rsidRDefault="00936E95">
      <w:pPr>
        <w:pStyle w:val="a3"/>
        <w:numPr>
          <w:ilvl w:val="0"/>
          <w:numId w:val="5"/>
        </w:numPr>
        <w:snapToGrid w:val="0"/>
        <w:spacing w:line="480" w:lineRule="exact"/>
        <w:ind w:firstLine="0"/>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Reported matters</w:t>
      </w:r>
    </w:p>
    <w:p w:rsidR="00EF5F74" w:rsidRDefault="00936E95">
      <w:pPr>
        <w:pStyle w:val="a3"/>
        <w:numPr>
          <w:ilvl w:val="0"/>
          <w:numId w:val="6"/>
        </w:numPr>
        <w:snapToGrid w:val="0"/>
        <w:spacing w:line="480" w:lineRule="exact"/>
        <w:ind w:left="1417" w:hanging="567"/>
        <w:jc w:val="both"/>
      </w:pPr>
      <w:r>
        <w:rPr>
          <w:rFonts w:ascii="Times New Roman" w:eastAsia="標楷體" w:hAnsi="Times New Roman"/>
          <w:color w:val="000000"/>
          <w:sz w:val="28"/>
          <w:szCs w:val="28"/>
        </w:rPr>
        <w:t>“Youth Policy Participation” commitment promotion progress (Reporting unit: Youth D</w:t>
      </w:r>
      <w:r>
        <w:rPr>
          <w:rFonts w:ascii="Times New Roman" w:eastAsia="標楷體" w:hAnsi="Times New Roman"/>
          <w:sz w:val="28"/>
          <w:szCs w:val="28"/>
        </w:rPr>
        <w:t>evelopment Administration, MOE)</w:t>
      </w:r>
    </w:p>
    <w:p w:rsidR="00EF5F74" w:rsidRDefault="00936E95">
      <w:pPr>
        <w:pStyle w:val="a3"/>
        <w:snapToGrid w:val="0"/>
        <w:spacing w:line="480" w:lineRule="exact"/>
        <w:ind w:left="1474" w:hanging="340"/>
        <w:jc w:val="both"/>
      </w:pPr>
      <w:r>
        <w:rPr>
          <w:rFonts w:ascii="Times New Roman" w:eastAsia="標楷體" w:hAnsi="Times New Roman"/>
          <w:b/>
          <w:bCs/>
          <w:sz w:val="28"/>
          <w:szCs w:val="28"/>
        </w:rPr>
        <w:t>Conclusion:</w:t>
      </w:r>
      <w:r>
        <w:rPr>
          <w:rFonts w:ascii="Times New Roman" w:eastAsia="標楷體" w:hAnsi="Times New Roman"/>
          <w:sz w:val="28"/>
          <w:szCs w:val="28"/>
        </w:rPr>
        <w:t xml:space="preserve"> Regrading “Stocktaking of freedom of information contents and channels of schools above high school level” it is suggested that related guidance principles or measures can be set to encourage schools to open up related school affairs information.</w:t>
      </w:r>
    </w:p>
    <w:p w:rsidR="00EF5F74" w:rsidRDefault="00936E95">
      <w:pPr>
        <w:pStyle w:val="a3"/>
        <w:numPr>
          <w:ilvl w:val="0"/>
          <w:numId w:val="6"/>
        </w:numPr>
        <w:snapToGrid w:val="0"/>
        <w:spacing w:line="480" w:lineRule="exact"/>
        <w:ind w:left="1474" w:hanging="567"/>
        <w:jc w:val="both"/>
      </w:pPr>
      <w:r>
        <w:rPr>
          <w:rFonts w:ascii="Times New Roman" w:eastAsia="標楷體" w:hAnsi="Times New Roman"/>
          <w:sz w:val="28"/>
          <w:szCs w:val="28"/>
        </w:rPr>
        <w:t>“Establishment of a Regional Revitalization Interaction Platform” commitment promotion progress (Reporti</w:t>
      </w:r>
      <w:r>
        <w:rPr>
          <w:rFonts w:ascii="Times New Roman" w:eastAsia="標楷體" w:hAnsi="Times New Roman"/>
          <w:color w:val="000000"/>
          <w:sz w:val="28"/>
          <w:szCs w:val="28"/>
        </w:rPr>
        <w:t>ng unit: NDC)</w:t>
      </w:r>
    </w:p>
    <w:p w:rsidR="00EF5F74" w:rsidRDefault="00936E95">
      <w:pPr>
        <w:pStyle w:val="a3"/>
        <w:snapToGrid w:val="0"/>
        <w:spacing w:line="480" w:lineRule="exact"/>
        <w:ind w:left="1134"/>
        <w:jc w:val="both"/>
      </w:pPr>
      <w:r>
        <w:rPr>
          <w:rFonts w:ascii="Times New Roman" w:eastAsia="標楷體" w:hAnsi="Times New Roman"/>
          <w:b/>
          <w:bCs/>
          <w:color w:val="000000"/>
          <w:sz w:val="28"/>
          <w:szCs w:val="28"/>
        </w:rPr>
        <w:t>Conclusion:</w:t>
      </w:r>
    </w:p>
    <w:p w:rsidR="00EF5F74" w:rsidRDefault="00936E95">
      <w:pPr>
        <w:pStyle w:val="a3"/>
        <w:snapToGrid w:val="0"/>
        <w:spacing w:line="480" w:lineRule="exact"/>
        <w:ind w:left="1587" w:hanging="510"/>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(1) To build a clear question and answer mechanism, an FAQ area </w:t>
      </w:r>
      <w:r>
        <w:rPr>
          <w:rFonts w:ascii="Times New Roman" w:eastAsia="標楷體" w:hAnsi="Times New Roman"/>
          <w:color w:val="000000"/>
          <w:sz w:val="28"/>
          <w:szCs w:val="28"/>
        </w:rPr>
        <w:lastRenderedPageBreak/>
        <w:t>can be established on the website and the public allowed to know which stage of the regional revitalization proposal process they put forward belong to.</w:t>
      </w:r>
    </w:p>
    <w:p w:rsidR="00EF5F74" w:rsidRDefault="00936E95">
      <w:pPr>
        <w:pStyle w:val="a3"/>
        <w:snapToGrid w:val="0"/>
        <w:spacing w:line="480" w:lineRule="exact"/>
        <w:ind w:left="1474" w:hanging="397"/>
        <w:jc w:val="both"/>
        <w:rPr>
          <w:rFonts w:ascii="Times New Roman" w:eastAsia="標楷體" w:hAnsi="Times New Roman"/>
          <w:color w:val="000000"/>
          <w:sz w:val="28"/>
          <w:szCs w:val="28"/>
        </w:rPr>
      </w:pPr>
      <w:r>
        <w:rPr>
          <w:rFonts w:ascii="Times New Roman" w:eastAsia="標楷體" w:hAnsi="Times New Roman"/>
          <w:color w:val="000000"/>
          <w:sz w:val="28"/>
          <w:szCs w:val="28"/>
        </w:rPr>
        <w:t>(2) The smart phone interactive interface can be optimized; it is suggested, before the website official goes online, as well as internal testing, user testing can be done with long-term partners in regional revitalization.</w:t>
      </w:r>
    </w:p>
    <w:p w:rsidR="00EF5F74" w:rsidRDefault="00936E95">
      <w:pPr>
        <w:pStyle w:val="a3"/>
        <w:numPr>
          <w:ilvl w:val="0"/>
          <w:numId w:val="6"/>
        </w:numPr>
        <w:snapToGrid w:val="0"/>
        <w:spacing w:line="480" w:lineRule="exact"/>
        <w:ind w:left="1474" w:hanging="567"/>
        <w:jc w:val="both"/>
        <w:rPr>
          <w:rFonts w:ascii="Times New Roman" w:eastAsia="標楷體" w:hAnsi="Times New Roman"/>
          <w:color w:val="000000"/>
          <w:sz w:val="28"/>
          <w:szCs w:val="28"/>
        </w:rPr>
      </w:pPr>
      <w:r>
        <w:rPr>
          <w:rFonts w:ascii="Times New Roman" w:eastAsia="標楷體" w:hAnsi="Times New Roman"/>
          <w:color w:val="000000"/>
          <w:sz w:val="28"/>
          <w:szCs w:val="28"/>
        </w:rPr>
        <w:t>“Promoting Gender-Inclusive Dialogue and Participation” commitment promotion progress (Reporting unit: Gender Equality Committee, Executive Yuan)</w:t>
      </w:r>
    </w:p>
    <w:p w:rsidR="00EF5F74" w:rsidRDefault="00936E95">
      <w:pPr>
        <w:pStyle w:val="a3"/>
        <w:snapToGrid w:val="0"/>
        <w:spacing w:line="480" w:lineRule="exact"/>
        <w:ind w:left="1134"/>
        <w:jc w:val="both"/>
      </w:pPr>
      <w:r>
        <w:rPr>
          <w:rFonts w:ascii="Times New Roman" w:eastAsia="標楷體" w:hAnsi="Times New Roman"/>
          <w:b/>
          <w:bCs/>
          <w:color w:val="000000"/>
          <w:sz w:val="28"/>
          <w:szCs w:val="28"/>
        </w:rPr>
        <w:t>Conclusion:</w:t>
      </w:r>
      <w:r>
        <w:rPr>
          <w:rFonts w:ascii="Times New Roman" w:eastAsia="標楷體" w:hAnsi="Times New Roman"/>
          <w:color w:val="000000"/>
          <w:sz w:val="28"/>
          <w:szCs w:val="28"/>
        </w:rPr>
        <w:t xml:space="preserve"> The Important Gender Statistics Database can be interfaced with the NDC’s Government Open Data Platform depending on the nature and format of data.</w:t>
      </w:r>
    </w:p>
    <w:p w:rsidR="00EF5F74" w:rsidRDefault="00936E95">
      <w:pPr>
        <w:pStyle w:val="a3"/>
        <w:numPr>
          <w:ilvl w:val="0"/>
          <w:numId w:val="6"/>
        </w:numPr>
        <w:snapToGrid w:val="0"/>
        <w:spacing w:line="480" w:lineRule="exact"/>
        <w:ind w:left="1474" w:hanging="567"/>
        <w:jc w:val="both"/>
        <w:rPr>
          <w:rFonts w:ascii="Times New Roman" w:eastAsia="標楷體" w:hAnsi="Times New Roman"/>
          <w:color w:val="000000"/>
          <w:sz w:val="28"/>
          <w:szCs w:val="28"/>
        </w:rPr>
      </w:pPr>
      <w:r>
        <w:rPr>
          <w:rFonts w:ascii="Times New Roman" w:eastAsia="標楷體" w:hAnsi="Times New Roman"/>
          <w:color w:val="000000"/>
          <w:sz w:val="28"/>
          <w:szCs w:val="28"/>
        </w:rPr>
        <w:t>“Establish and Improve the Government Procurement Integrity Platform” commitment promotion progress (Reporting unit: Agency Against Corruption, MOJ)</w:t>
      </w:r>
    </w:p>
    <w:p w:rsidR="00EF5F74" w:rsidRDefault="00936E95">
      <w:pPr>
        <w:pStyle w:val="a3"/>
        <w:snapToGrid w:val="0"/>
        <w:spacing w:line="480" w:lineRule="exact"/>
        <w:ind w:left="1134"/>
        <w:jc w:val="both"/>
      </w:pPr>
      <w:r>
        <w:rPr>
          <w:rFonts w:ascii="Times New Roman" w:eastAsia="標楷體" w:hAnsi="Times New Roman"/>
          <w:b/>
          <w:bCs/>
          <w:color w:val="000000"/>
          <w:sz w:val="28"/>
          <w:szCs w:val="28"/>
        </w:rPr>
        <w:t>Conclusion:</w:t>
      </w:r>
    </w:p>
    <w:p w:rsidR="00EF5F74" w:rsidRDefault="00936E95">
      <w:pPr>
        <w:pStyle w:val="a3"/>
        <w:snapToGrid w:val="0"/>
        <w:spacing w:line="480" w:lineRule="exact"/>
        <w:ind w:left="1587" w:hanging="454"/>
        <w:jc w:val="both"/>
        <w:rPr>
          <w:rFonts w:ascii="Times New Roman" w:eastAsia="標楷體" w:hAnsi="Times New Roman"/>
          <w:color w:val="000000"/>
          <w:sz w:val="28"/>
          <w:szCs w:val="28"/>
        </w:rPr>
      </w:pPr>
      <w:r>
        <w:rPr>
          <w:rFonts w:ascii="Times New Roman" w:eastAsia="標楷體" w:hAnsi="Times New Roman"/>
          <w:color w:val="000000"/>
          <w:sz w:val="28"/>
          <w:szCs w:val="28"/>
        </w:rPr>
        <w:t>(1) In the “Government Procurement Integrity Platform” promotion video, it says that engineering invitations to tender have often generated “protest” in the past. The word protest is a way of people or civic groups who have suffered losses to strive for their rights and isn’t totally negative. It is suggested that when the film is adjusted in future, more suitable wording is considered.</w:t>
      </w:r>
    </w:p>
    <w:p w:rsidR="00EF5F74" w:rsidRDefault="00936E95">
      <w:pPr>
        <w:pStyle w:val="a3"/>
        <w:snapToGrid w:val="0"/>
        <w:spacing w:line="480" w:lineRule="exact"/>
        <w:ind w:left="1531" w:hanging="454"/>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(2) When formulating the integrity platform open data framework and format, it is suggested that it is interfaced with the international </w:t>
      </w:r>
      <w:r w:rsidR="00CD0282">
        <w:rPr>
          <w:rFonts w:ascii="Times New Roman" w:eastAsia="標楷體" w:hAnsi="Times New Roman"/>
          <w:color w:val="000000"/>
          <w:sz w:val="28"/>
          <w:szCs w:val="28"/>
        </w:rPr>
        <w:t>o</w:t>
      </w:r>
      <w:r>
        <w:rPr>
          <w:rFonts w:ascii="Times New Roman" w:eastAsia="標楷體" w:hAnsi="Times New Roman"/>
          <w:color w:val="000000"/>
          <w:sz w:val="28"/>
          <w:szCs w:val="28"/>
        </w:rPr>
        <w:t xml:space="preserve">pen </w:t>
      </w:r>
      <w:r w:rsidR="00CD0282">
        <w:rPr>
          <w:rFonts w:ascii="Times New Roman" w:eastAsia="標楷體" w:hAnsi="Times New Roman"/>
          <w:color w:val="000000"/>
          <w:sz w:val="28"/>
          <w:szCs w:val="28"/>
        </w:rPr>
        <w:t>c</w:t>
      </w:r>
      <w:r>
        <w:rPr>
          <w:rFonts w:ascii="Times New Roman" w:eastAsia="標楷體" w:hAnsi="Times New Roman"/>
          <w:color w:val="000000"/>
          <w:sz w:val="28"/>
          <w:szCs w:val="28"/>
        </w:rPr>
        <w:t>ontracting standard.</w:t>
      </w:r>
    </w:p>
    <w:p w:rsidR="00EF5F74" w:rsidRDefault="00936E95">
      <w:pPr>
        <w:pStyle w:val="a3"/>
        <w:numPr>
          <w:ilvl w:val="0"/>
          <w:numId w:val="7"/>
        </w:numPr>
        <w:snapToGrid w:val="0"/>
        <w:spacing w:line="480" w:lineRule="exact"/>
        <w:ind w:firstLine="0"/>
        <w:jc w:val="both"/>
        <w:rPr>
          <w:rFonts w:ascii="Times New Roman" w:eastAsia="標楷體" w:hAnsi="Times New Roman"/>
          <w:b/>
          <w:bCs/>
          <w:sz w:val="28"/>
          <w:szCs w:val="28"/>
        </w:rPr>
      </w:pPr>
      <w:r>
        <w:rPr>
          <w:rFonts w:ascii="Times New Roman" w:eastAsia="標楷體" w:hAnsi="Times New Roman"/>
          <w:b/>
          <w:bCs/>
          <w:sz w:val="28"/>
          <w:szCs w:val="28"/>
        </w:rPr>
        <w:t>Extempore motion</w:t>
      </w:r>
    </w:p>
    <w:p w:rsidR="00EF5F74" w:rsidRDefault="00936E95">
      <w:pPr>
        <w:pStyle w:val="a3"/>
        <w:snapToGrid w:val="0"/>
        <w:spacing w:line="480" w:lineRule="exact"/>
        <w:jc w:val="both"/>
        <w:rPr>
          <w:rFonts w:ascii="Times New Roman" w:eastAsia="標楷體" w:hAnsi="Times New Roman"/>
          <w:sz w:val="28"/>
          <w:szCs w:val="28"/>
        </w:rPr>
      </w:pPr>
      <w:r>
        <w:rPr>
          <w:rFonts w:ascii="Times New Roman" w:eastAsia="標楷體" w:hAnsi="Times New Roman"/>
          <w:sz w:val="28"/>
          <w:szCs w:val="28"/>
        </w:rPr>
        <w:t xml:space="preserve">Prior to Taiwan officially joining the Open Government Partnership </w:t>
      </w:r>
      <w:r>
        <w:rPr>
          <w:rFonts w:ascii="Times New Roman" w:eastAsia="標楷體" w:hAnsi="Times New Roman"/>
          <w:sz w:val="28"/>
          <w:szCs w:val="28"/>
        </w:rPr>
        <w:lastRenderedPageBreak/>
        <w:t>(OGP), the Executive Yuan should first activate a Taiwan Model of the Independent Review Mechanism (IRM) of Open Government and pay related expenses (Proposing members: Peng Chi-ming, Geng Lu, Wu Ming-hsuan, Hsiao Hsin-cheng )</w:t>
      </w:r>
    </w:p>
    <w:p w:rsidR="00EF5F74" w:rsidRDefault="00936E95">
      <w:pPr>
        <w:pStyle w:val="a3"/>
        <w:snapToGrid w:val="0"/>
        <w:spacing w:line="480" w:lineRule="exact"/>
        <w:jc w:val="both"/>
        <w:rPr>
          <w:rFonts w:ascii="Times New Roman" w:eastAsia="標楷體" w:hAnsi="Times New Roman"/>
          <w:b/>
          <w:bCs/>
          <w:sz w:val="28"/>
          <w:szCs w:val="28"/>
        </w:rPr>
      </w:pPr>
      <w:r>
        <w:rPr>
          <w:rFonts w:ascii="Times New Roman" w:eastAsia="標楷體" w:hAnsi="Times New Roman"/>
          <w:b/>
          <w:bCs/>
          <w:sz w:val="28"/>
          <w:szCs w:val="28"/>
        </w:rPr>
        <w:t>Conclusion:</w:t>
      </w:r>
    </w:p>
    <w:p w:rsidR="00EF5F74" w:rsidRDefault="00936E95">
      <w:pPr>
        <w:pStyle w:val="a3"/>
        <w:numPr>
          <w:ilvl w:val="0"/>
          <w:numId w:val="8"/>
        </w:numPr>
        <w:snapToGrid w:val="0"/>
        <w:spacing w:line="480" w:lineRule="exact"/>
        <w:ind w:left="1304" w:hanging="510"/>
        <w:jc w:val="both"/>
        <w:rPr>
          <w:rFonts w:ascii="Times New Roman" w:eastAsia="標楷體" w:hAnsi="Times New Roman"/>
          <w:sz w:val="28"/>
          <w:szCs w:val="28"/>
        </w:rPr>
      </w:pPr>
      <w:r>
        <w:rPr>
          <w:rFonts w:ascii="Times New Roman" w:eastAsia="標楷體" w:hAnsi="Times New Roman"/>
          <w:sz w:val="28"/>
          <w:szCs w:val="28"/>
        </w:rPr>
        <w:t>Regarding the joint production of an independent review report for the Taiwan Open Government National Action Plan and Taiwan Open Parliament Action Plan, as this involves coordination between the Executive Yuan and the Legislative Yuan it will not be addressed in this meeting at this time.</w:t>
      </w:r>
    </w:p>
    <w:p w:rsidR="00EF5F74" w:rsidRDefault="00936E95">
      <w:pPr>
        <w:pStyle w:val="a3"/>
        <w:numPr>
          <w:ilvl w:val="0"/>
          <w:numId w:val="8"/>
        </w:numPr>
        <w:snapToGrid w:val="0"/>
        <w:spacing w:line="480" w:lineRule="exact"/>
        <w:ind w:left="1247" w:hanging="454"/>
        <w:jc w:val="both"/>
        <w:rPr>
          <w:rFonts w:ascii="Times New Roman" w:eastAsia="標楷體" w:hAnsi="Times New Roman"/>
          <w:sz w:val="28"/>
          <w:szCs w:val="28"/>
        </w:rPr>
      </w:pPr>
      <w:r>
        <w:rPr>
          <w:rFonts w:ascii="Times New Roman" w:eastAsia="標楷體" w:hAnsi="Times New Roman"/>
          <w:sz w:val="28"/>
          <w:szCs w:val="28"/>
        </w:rPr>
        <w:t xml:space="preserve">Regarding the writing of an independent review report by a </w:t>
      </w:r>
      <w:r w:rsidR="00701C4D">
        <w:rPr>
          <w:rFonts w:ascii="Times New Roman" w:eastAsia="標楷體" w:hAnsi="Times New Roman"/>
          <w:sz w:val="28"/>
          <w:szCs w:val="28"/>
        </w:rPr>
        <w:t xml:space="preserve">independent </w:t>
      </w:r>
      <w:r>
        <w:rPr>
          <w:rFonts w:ascii="Times New Roman" w:eastAsia="標楷體" w:hAnsi="Times New Roman"/>
          <w:sz w:val="28"/>
          <w:szCs w:val="28"/>
        </w:rPr>
        <w:t>third-party, the staff unit is requested to ask the OGP steering committee, secretariat or members of the International Experts Panel what assistance the OGP can provide through civic society member</w:t>
      </w:r>
      <w:r w:rsidR="003E6460">
        <w:rPr>
          <w:rFonts w:ascii="Times New Roman" w:eastAsia="標楷體" w:hAnsi="Times New Roman"/>
          <w:sz w:val="28"/>
          <w:szCs w:val="28"/>
        </w:rPr>
        <w:t>s</w:t>
      </w:r>
      <w:r>
        <w:rPr>
          <w:rFonts w:ascii="Times New Roman" w:eastAsia="標楷體" w:hAnsi="Times New Roman"/>
          <w:sz w:val="28"/>
          <w:szCs w:val="28"/>
        </w:rPr>
        <w:t xml:space="preserve"> and various other methods and then discuss the feasibility of Taiwan handling an independent review model as a non-official member.</w:t>
      </w:r>
    </w:p>
    <w:p w:rsidR="00EF5F74" w:rsidRDefault="00936E95">
      <w:pPr>
        <w:pStyle w:val="a3"/>
        <w:numPr>
          <w:ilvl w:val="0"/>
          <w:numId w:val="9"/>
        </w:numPr>
        <w:snapToGrid w:val="0"/>
        <w:spacing w:line="480" w:lineRule="exact"/>
        <w:ind w:firstLine="0"/>
        <w:jc w:val="both"/>
        <w:rPr>
          <w:rFonts w:ascii="Times New Roman" w:eastAsia="標楷體" w:hAnsi="Times New Roman"/>
          <w:b/>
          <w:bCs/>
          <w:sz w:val="28"/>
          <w:szCs w:val="28"/>
        </w:rPr>
      </w:pPr>
      <w:r>
        <w:rPr>
          <w:rFonts w:ascii="Times New Roman" w:eastAsia="標楷體" w:hAnsi="Times New Roman"/>
          <w:b/>
          <w:bCs/>
          <w:sz w:val="28"/>
          <w:szCs w:val="28"/>
        </w:rPr>
        <w:t>End of meeting (3:40 pm)</w:t>
      </w:r>
    </w:p>
    <w:p w:rsidR="00EF5F74" w:rsidRDefault="00EF5F74">
      <w:pPr>
        <w:pStyle w:val="Textbody"/>
        <w:snapToGrid w:val="0"/>
        <w:spacing w:before="360" w:line="300" w:lineRule="auto"/>
      </w:pPr>
    </w:p>
    <w:sectPr w:rsidR="00EF5F74">
      <w:pgSz w:w="11906" w:h="16838"/>
      <w:pgMar w:top="1440" w:right="1800" w:bottom="1440" w:left="1800"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767" w:rsidRDefault="000D4767">
      <w:r>
        <w:separator/>
      </w:r>
    </w:p>
  </w:endnote>
  <w:endnote w:type="continuationSeparator" w:id="0">
    <w:p w:rsidR="000D4767" w:rsidRDefault="000D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767" w:rsidRDefault="000D4767">
      <w:r>
        <w:rPr>
          <w:color w:val="000000"/>
        </w:rPr>
        <w:separator/>
      </w:r>
    </w:p>
  </w:footnote>
  <w:footnote w:type="continuationSeparator" w:id="0">
    <w:p w:rsidR="000D4767" w:rsidRDefault="000D4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C59B4"/>
    <w:multiLevelType w:val="multilevel"/>
    <w:tmpl w:val="4D96EA2E"/>
    <w:lvl w:ilvl="0">
      <w:numFmt w:val="bullet"/>
      <w:lvlText w:val=""/>
      <w:lvlJc w:val="left"/>
      <w:pPr>
        <w:ind w:left="480" w:hanging="480"/>
      </w:pPr>
      <w:rPr>
        <w:rFonts w:ascii="Symbol" w:hAnsi="Symbo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6D75F57"/>
    <w:multiLevelType w:val="multilevel"/>
    <w:tmpl w:val="A0D208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BD3521D"/>
    <w:multiLevelType w:val="multilevel"/>
    <w:tmpl w:val="D196F144"/>
    <w:lvl w:ilvl="0">
      <w:start w:val="1"/>
      <w:numFmt w:val="decimal"/>
      <w:lvlText w:val="%1."/>
      <w:lvlJc w:val="left"/>
      <w:pPr>
        <w:ind w:left="840" w:hanging="360"/>
      </w:p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 w15:restartNumberingAfterBreak="0">
    <w:nsid w:val="6D855754"/>
    <w:multiLevelType w:val="multilevel"/>
    <w:tmpl w:val="04020372"/>
    <w:lvl w:ilvl="0">
      <w:start w:val="1"/>
      <w:numFmt w:val="decimal"/>
      <w:lvlText w:val="%1."/>
      <w:lvlJc w:val="left"/>
      <w:pPr>
        <w:ind w:left="480" w:hanging="480"/>
      </w:pPr>
      <w:rPr>
        <w:spacing w:val="-5"/>
        <w:w w:val="100"/>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7E3E6D2E"/>
    <w:multiLevelType w:val="multilevel"/>
    <w:tmpl w:val="ADC4C2CE"/>
    <w:lvl w:ilvl="0">
      <w:numFmt w:val="bullet"/>
      <w:lvlText w:val=""/>
      <w:lvlJc w:val="left"/>
      <w:pPr>
        <w:ind w:left="480" w:hanging="480"/>
      </w:pPr>
      <w:rPr>
        <w:rFonts w:ascii="Symbol" w:hAnsi="Symbo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4"/>
  </w:num>
  <w:num w:numId="3">
    <w:abstractNumId w:val="0"/>
  </w:num>
  <w:num w:numId="4">
    <w:abstractNumId w:val="3"/>
  </w:num>
  <w:num w:numId="5">
    <w:abstractNumId w:val="0"/>
  </w:num>
  <w:num w:numId="6">
    <w:abstractNumId w:val="1"/>
  </w:num>
  <w:num w:numId="7">
    <w:abstractNumId w:val="0"/>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74"/>
    <w:rsid w:val="000D4767"/>
    <w:rsid w:val="00132399"/>
    <w:rsid w:val="003E6460"/>
    <w:rsid w:val="00701C4D"/>
    <w:rsid w:val="00855033"/>
    <w:rsid w:val="00936E95"/>
    <w:rsid w:val="00A65E9B"/>
    <w:rsid w:val="00CD0282"/>
    <w:rsid w:val="00DD7694"/>
    <w:rsid w:val="00EF5F74"/>
    <w:rsid w:val="00F42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EDF5E-732B-4621-AFFC-B97BC5D2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Revision"/>
    <w:hidden/>
    <w:uiPriority w:val="99"/>
    <w:semiHidden/>
    <w:rsid w:val="00855033"/>
    <w:pPr>
      <w:autoSpaceDN/>
      <w:textAlignment w:val="auto"/>
    </w:pPr>
  </w:style>
  <w:style w:type="paragraph" w:styleId="a5">
    <w:name w:val="Balloon Text"/>
    <w:basedOn w:val="a"/>
    <w:link w:val="a6"/>
    <w:uiPriority w:val="99"/>
    <w:semiHidden/>
    <w:unhideWhenUsed/>
    <w:rsid w:val="0085503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55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翁慧雯</dc:creator>
  <dc:description/>
  <cp:lastModifiedBy>User</cp:lastModifiedBy>
  <cp:revision>3</cp:revision>
  <cp:lastPrinted>2021-07-09T08:18:00Z</cp:lastPrinted>
  <dcterms:created xsi:type="dcterms:W3CDTF">2021-07-12T02:04:00Z</dcterms:created>
  <dcterms:modified xsi:type="dcterms:W3CDTF">2021-07-15T09:00:00Z</dcterms:modified>
</cp:coreProperties>
</file>