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2D" w:rsidRDefault="00442F2D">
      <w:pPr>
        <w:pStyle w:val="a7"/>
        <w:pageBreakBefore/>
        <w:spacing w:line="0" w:lineRule="atLeast"/>
      </w:pPr>
    </w:p>
    <w:p w:rsidR="00442F2D" w:rsidRDefault="00730518">
      <w:pPr>
        <w:pStyle w:val="a7"/>
        <w:autoSpaceDE w:val="0"/>
        <w:spacing w:line="0" w:lineRule="atLeast"/>
        <w:jc w:val="center"/>
      </w:pPr>
      <w:r w:rsidRPr="00FD1FB9">
        <w:rPr>
          <w:b/>
          <w:bCs/>
          <w:color w:val="000000" w:themeColor="text1"/>
          <w:kern w:val="0"/>
        </w:rPr>
        <w:t>The E</w:t>
      </w:r>
      <w:r>
        <w:rPr>
          <w:b/>
          <w:bCs/>
          <w:kern w:val="0"/>
        </w:rPr>
        <w:t>xecutive Yuan Open Government National Action Plan Taskforce</w:t>
      </w:r>
    </w:p>
    <w:p w:rsidR="00442F2D" w:rsidRDefault="00730518">
      <w:pPr>
        <w:pStyle w:val="a7"/>
        <w:autoSpaceDE w:val="0"/>
        <w:spacing w:line="0" w:lineRule="atLeast"/>
        <w:jc w:val="center"/>
      </w:pPr>
      <w:r>
        <w:rPr>
          <w:b/>
          <w:bCs/>
          <w:kern w:val="0"/>
        </w:rPr>
        <w:t>2</w:t>
      </w:r>
      <w:proofErr w:type="spellStart"/>
      <w:r>
        <w:rPr>
          <w:b/>
          <w:bCs/>
          <w:kern w:val="0"/>
          <w:position w:val="24"/>
          <w:sz w:val="16"/>
        </w:rPr>
        <w:t>nd</w:t>
      </w:r>
      <w:proofErr w:type="spellEnd"/>
      <w:r>
        <w:rPr>
          <w:b/>
          <w:bCs/>
          <w:kern w:val="0"/>
        </w:rPr>
        <w:t xml:space="preserve"> Meeting - Minutes</w:t>
      </w:r>
    </w:p>
    <w:p w:rsidR="00442F2D" w:rsidRDefault="00442F2D">
      <w:pPr>
        <w:pStyle w:val="a7"/>
        <w:autoSpaceDE w:val="0"/>
        <w:spacing w:line="0" w:lineRule="atLeast"/>
        <w:jc w:val="both"/>
        <w:rPr>
          <w:kern w:val="0"/>
        </w:rPr>
      </w:pPr>
    </w:p>
    <w:p w:rsidR="00442F2D" w:rsidRDefault="00730518">
      <w:pPr>
        <w:pStyle w:val="a7"/>
        <w:numPr>
          <w:ilvl w:val="0"/>
          <w:numId w:val="1"/>
        </w:numPr>
        <w:autoSpaceDE w:val="0"/>
        <w:spacing w:line="0" w:lineRule="atLeast"/>
        <w:ind w:left="480" w:hanging="480"/>
        <w:jc w:val="both"/>
      </w:pPr>
      <w:r>
        <w:rPr>
          <w:b/>
          <w:bCs/>
          <w:color w:val="000000"/>
          <w:kern w:val="0"/>
        </w:rPr>
        <w:t>Meeting time: 4:30 pm, Thursday, December 31, 2020</w:t>
      </w:r>
    </w:p>
    <w:p w:rsidR="00442F2D" w:rsidRDefault="00730518">
      <w:pPr>
        <w:pStyle w:val="a7"/>
        <w:numPr>
          <w:ilvl w:val="0"/>
          <w:numId w:val="1"/>
        </w:numPr>
        <w:autoSpaceDE w:val="0"/>
        <w:spacing w:line="0" w:lineRule="atLeast"/>
        <w:ind w:left="480" w:hanging="480"/>
        <w:jc w:val="both"/>
      </w:pPr>
      <w:r>
        <w:rPr>
          <w:b/>
          <w:bCs/>
          <w:color w:val="000000"/>
          <w:kern w:val="0"/>
          <w:lang w:val="zh-TW"/>
        </w:rPr>
        <w:t>Venue: VIP room, Executive Yuan</w:t>
      </w:r>
    </w:p>
    <w:p w:rsidR="00442F2D" w:rsidRDefault="00730518">
      <w:pPr>
        <w:pStyle w:val="a7"/>
        <w:numPr>
          <w:ilvl w:val="0"/>
          <w:numId w:val="1"/>
        </w:numPr>
        <w:autoSpaceDE w:val="0"/>
        <w:spacing w:line="0" w:lineRule="atLeast"/>
        <w:ind w:left="480" w:hanging="480"/>
        <w:jc w:val="both"/>
      </w:pPr>
      <w:r>
        <w:rPr>
          <w:b/>
          <w:bCs/>
          <w:color w:val="000000"/>
          <w:kern w:val="0"/>
        </w:rPr>
        <w:t xml:space="preserve">Chairperson: Minister Without Portfolio and </w:t>
      </w:r>
      <w:proofErr w:type="spellStart"/>
      <w:r>
        <w:rPr>
          <w:b/>
          <w:bCs/>
          <w:color w:val="000000"/>
          <w:kern w:val="0"/>
        </w:rPr>
        <w:t>convenor</w:t>
      </w:r>
      <w:proofErr w:type="spellEnd"/>
      <w:r>
        <w:rPr>
          <w:b/>
          <w:bCs/>
          <w:color w:val="000000"/>
          <w:kern w:val="0"/>
        </w:rPr>
        <w:t xml:space="preserve"> Audrey Tang, </w:t>
      </w:r>
    </w:p>
    <w:p w:rsidR="00442F2D" w:rsidRDefault="00730518">
      <w:pPr>
        <w:pStyle w:val="a7"/>
        <w:autoSpaceDE w:val="0"/>
        <w:spacing w:line="0" w:lineRule="atLeast"/>
        <w:ind w:left="480"/>
        <w:jc w:val="both"/>
      </w:pPr>
      <w:r>
        <w:rPr>
          <w:b/>
          <w:bCs/>
          <w:color w:val="000000"/>
          <w:kern w:val="0"/>
        </w:rPr>
        <w:t xml:space="preserve">National Development Council Minister and joint </w:t>
      </w:r>
      <w:proofErr w:type="spellStart"/>
      <w:r>
        <w:rPr>
          <w:b/>
          <w:bCs/>
          <w:color w:val="000000"/>
          <w:kern w:val="0"/>
        </w:rPr>
        <w:t>convenor</w:t>
      </w:r>
      <w:proofErr w:type="spellEnd"/>
      <w:r>
        <w:rPr>
          <w:b/>
          <w:bCs/>
          <w:color w:val="000000"/>
          <w:kern w:val="0"/>
        </w:rPr>
        <w:t xml:space="preserve"> Kung Ming-</w:t>
      </w:r>
      <w:proofErr w:type="spellStart"/>
      <w:r>
        <w:rPr>
          <w:b/>
          <w:bCs/>
          <w:color w:val="000000"/>
          <w:kern w:val="0"/>
        </w:rPr>
        <w:t>hsin</w:t>
      </w:r>
      <w:proofErr w:type="spellEnd"/>
      <w:r>
        <w:rPr>
          <w:b/>
          <w:bCs/>
          <w:color w:val="000000"/>
          <w:kern w:val="0"/>
        </w:rPr>
        <w:t xml:space="preserve">, </w:t>
      </w:r>
    </w:p>
    <w:p w:rsidR="00442F2D" w:rsidRDefault="00730518">
      <w:pPr>
        <w:pStyle w:val="a7"/>
        <w:autoSpaceDE w:val="0"/>
        <w:spacing w:line="0" w:lineRule="atLeast"/>
        <w:ind w:left="480"/>
        <w:jc w:val="both"/>
      </w:pPr>
      <w:r>
        <w:rPr>
          <w:b/>
          <w:bCs/>
          <w:color w:val="000000"/>
          <w:kern w:val="0"/>
        </w:rPr>
        <w:t xml:space="preserve">Weather Risk Explore Inc. President and joint </w:t>
      </w:r>
      <w:proofErr w:type="spellStart"/>
      <w:r>
        <w:rPr>
          <w:b/>
          <w:bCs/>
          <w:color w:val="000000"/>
          <w:kern w:val="0"/>
        </w:rPr>
        <w:t>convenor</w:t>
      </w:r>
      <w:proofErr w:type="spellEnd"/>
      <w:r>
        <w:rPr>
          <w:b/>
          <w:bCs/>
          <w:color w:val="000000"/>
          <w:kern w:val="0"/>
        </w:rPr>
        <w:t xml:space="preserve"> </w:t>
      </w:r>
      <w:proofErr w:type="spellStart"/>
      <w:r>
        <w:rPr>
          <w:b/>
          <w:bCs/>
          <w:color w:val="000000"/>
          <w:kern w:val="0"/>
        </w:rPr>
        <w:t>Peng</w:t>
      </w:r>
      <w:proofErr w:type="spellEnd"/>
      <w:r>
        <w:rPr>
          <w:b/>
          <w:bCs/>
          <w:color w:val="000000"/>
          <w:kern w:val="0"/>
        </w:rPr>
        <w:t xml:space="preserve"> </w:t>
      </w:r>
      <w:proofErr w:type="spellStart"/>
      <w:r>
        <w:rPr>
          <w:b/>
          <w:bCs/>
          <w:color w:val="000000"/>
          <w:kern w:val="0"/>
        </w:rPr>
        <w:t>Chih-ming</w:t>
      </w:r>
      <w:proofErr w:type="spellEnd"/>
      <w:r>
        <w:rPr>
          <w:b/>
          <w:bCs/>
          <w:color w:val="000000"/>
          <w:kern w:val="0"/>
        </w:rPr>
        <w:t>,</w:t>
      </w:r>
    </w:p>
    <w:p w:rsidR="00442F2D" w:rsidRDefault="00730518">
      <w:pPr>
        <w:pStyle w:val="a7"/>
        <w:numPr>
          <w:ilvl w:val="0"/>
          <w:numId w:val="1"/>
        </w:numPr>
        <w:autoSpaceDE w:val="0"/>
        <w:spacing w:line="0" w:lineRule="atLeast"/>
        <w:ind w:left="480" w:hanging="480"/>
        <w:jc w:val="both"/>
      </w:pPr>
      <w:r>
        <w:rPr>
          <w:b/>
          <w:bCs/>
          <w:color w:val="000000"/>
          <w:kern w:val="0"/>
        </w:rPr>
        <w:t xml:space="preserve">Attendees: see sign-in sheet          Minute taker: </w:t>
      </w:r>
      <w:proofErr w:type="spellStart"/>
      <w:r>
        <w:rPr>
          <w:b/>
          <w:bCs/>
          <w:color w:val="000000"/>
          <w:kern w:val="0"/>
        </w:rPr>
        <w:t>Gu</w:t>
      </w:r>
      <w:proofErr w:type="spellEnd"/>
      <w:r>
        <w:rPr>
          <w:b/>
          <w:bCs/>
          <w:color w:val="000000"/>
          <w:kern w:val="0"/>
        </w:rPr>
        <w:t xml:space="preserve"> Shang-</w:t>
      </w:r>
      <w:proofErr w:type="spellStart"/>
      <w:r>
        <w:rPr>
          <w:b/>
          <w:bCs/>
          <w:color w:val="000000"/>
          <w:kern w:val="0"/>
        </w:rPr>
        <w:t>jie</w:t>
      </w:r>
      <w:proofErr w:type="spellEnd"/>
    </w:p>
    <w:p w:rsidR="00442F2D" w:rsidRDefault="00730518">
      <w:pPr>
        <w:pStyle w:val="a7"/>
        <w:numPr>
          <w:ilvl w:val="0"/>
          <w:numId w:val="1"/>
        </w:numPr>
        <w:autoSpaceDE w:val="0"/>
        <w:spacing w:line="0" w:lineRule="atLeast"/>
        <w:ind w:left="480" w:hanging="480"/>
        <w:jc w:val="both"/>
      </w:pPr>
      <w:r>
        <w:rPr>
          <w:b/>
          <w:bCs/>
          <w:color w:val="000000"/>
          <w:kern w:val="0"/>
          <w:lang w:val="zh-TW"/>
        </w:rPr>
        <w:t>Chairperson</w:t>
      </w:r>
      <w:proofErr w:type="gramStart"/>
      <w:r w:rsidR="00FD1FB9">
        <w:rPr>
          <w:b/>
          <w:bCs/>
          <w:color w:val="000000"/>
          <w:kern w:val="0"/>
          <w:lang w:val="zh-TW"/>
        </w:rPr>
        <w:t>’</w:t>
      </w:r>
      <w:proofErr w:type="gramEnd"/>
      <w:r>
        <w:rPr>
          <w:b/>
          <w:bCs/>
          <w:color w:val="000000"/>
          <w:kern w:val="0"/>
          <w:lang w:val="zh-TW"/>
        </w:rPr>
        <w:t>s Remark: omitted</w:t>
      </w:r>
    </w:p>
    <w:p w:rsidR="00442F2D" w:rsidRDefault="00730518">
      <w:pPr>
        <w:pStyle w:val="a7"/>
        <w:numPr>
          <w:ilvl w:val="0"/>
          <w:numId w:val="1"/>
        </w:numPr>
        <w:autoSpaceDE w:val="0"/>
        <w:spacing w:line="0" w:lineRule="atLeast"/>
        <w:ind w:left="480" w:hanging="480"/>
        <w:jc w:val="both"/>
      </w:pPr>
      <w:r>
        <w:rPr>
          <w:b/>
          <w:bCs/>
          <w:color w:val="000000"/>
          <w:kern w:val="0"/>
        </w:rPr>
        <w:t>Comments by members and agencies: for the verbatim transcript, see the following website:</w:t>
      </w:r>
    </w:p>
    <w:p w:rsidR="00442F2D" w:rsidRDefault="00833C1D">
      <w:pPr>
        <w:pStyle w:val="a7"/>
        <w:autoSpaceDE w:val="0"/>
        <w:spacing w:line="0" w:lineRule="atLeast"/>
        <w:ind w:left="480"/>
        <w:jc w:val="both"/>
        <w:rPr>
          <w:b/>
          <w:bCs/>
          <w:color w:val="000000"/>
          <w:kern w:val="0"/>
        </w:rPr>
      </w:pPr>
      <w:hyperlink r:id="rId5" w:anchor="_blank" w:history="1">
        <w:r w:rsidR="00730518">
          <w:rPr>
            <w:color w:val="0000FF"/>
            <w:kern w:val="0"/>
            <w:u w:val="single"/>
          </w:rPr>
          <w:t>https://ey.pdis.nat.gov.tw/shared/oOLI-1IMhXPqLwVQOu2bw-ZRoefBsyBMLzEP47kX2xl</w:t>
        </w:r>
      </w:hyperlink>
    </w:p>
    <w:p w:rsidR="00442F2D" w:rsidRDefault="00730518">
      <w:pPr>
        <w:pStyle w:val="a7"/>
        <w:numPr>
          <w:ilvl w:val="0"/>
          <w:numId w:val="1"/>
        </w:numPr>
        <w:autoSpaceDE w:val="0"/>
        <w:spacing w:line="0" w:lineRule="atLeast"/>
        <w:ind w:left="480" w:hanging="480"/>
        <w:jc w:val="both"/>
      </w:pPr>
      <w:r>
        <w:rPr>
          <w:b/>
          <w:bCs/>
          <w:color w:val="000000"/>
          <w:kern w:val="0"/>
        </w:rPr>
        <w:t xml:space="preserve">Follow-up report on the conclusions of the first meeting (reporting unit: National Development Council, NDC): </w:t>
      </w:r>
    </w:p>
    <w:p w:rsidR="00442F2D" w:rsidRDefault="00730518">
      <w:pPr>
        <w:pStyle w:val="a7"/>
        <w:autoSpaceDE w:val="0"/>
        <w:spacing w:line="0" w:lineRule="atLeast"/>
        <w:ind w:left="480"/>
        <w:jc w:val="both"/>
      </w:pPr>
      <w:r>
        <w:rPr>
          <w:b/>
          <w:bCs/>
          <w:color w:val="000000"/>
          <w:kern w:val="0"/>
        </w:rPr>
        <w:t xml:space="preserve">Follow-up report: work relating to the seven conclusions of the first meeting has been completed and agreement reached </w:t>
      </w:r>
      <w:r>
        <w:rPr>
          <w:b/>
          <w:bCs/>
          <w:kern w:val="0"/>
        </w:rPr>
        <w:t xml:space="preserve">on the lifting of </w:t>
      </w:r>
      <w:r w:rsidR="001838CB">
        <w:rPr>
          <w:b/>
          <w:bCs/>
          <w:kern w:val="0"/>
        </w:rPr>
        <w:t>monitoring</w:t>
      </w:r>
      <w:r>
        <w:rPr>
          <w:b/>
          <w:bCs/>
          <w:kern w:val="0"/>
        </w:rPr>
        <w:t>.</w:t>
      </w:r>
    </w:p>
    <w:p w:rsidR="00442F2D" w:rsidRDefault="00730518">
      <w:pPr>
        <w:pStyle w:val="a7"/>
        <w:numPr>
          <w:ilvl w:val="0"/>
          <w:numId w:val="1"/>
        </w:numPr>
        <w:autoSpaceDE w:val="0"/>
        <w:spacing w:line="0" w:lineRule="atLeast"/>
        <w:ind w:left="480" w:hanging="480"/>
        <w:jc w:val="both"/>
      </w:pPr>
      <w:r>
        <w:rPr>
          <w:b/>
          <w:bCs/>
          <w:kern w:val="0"/>
        </w:rPr>
        <w:t xml:space="preserve">Planning for Taiwan’s participation in the Open Government Partnership (OGP) (reporting unit: Ministry of Foreign Affairs, MOFA): </w:t>
      </w:r>
    </w:p>
    <w:p w:rsidR="00442F2D" w:rsidRDefault="00442F2D">
      <w:pPr>
        <w:pStyle w:val="a7"/>
        <w:autoSpaceDE w:val="0"/>
        <w:spacing w:line="0" w:lineRule="atLeast"/>
        <w:ind w:left="480"/>
        <w:jc w:val="both"/>
        <w:rPr>
          <w:b/>
          <w:bCs/>
          <w:kern w:val="0"/>
        </w:rPr>
      </w:pPr>
    </w:p>
    <w:p w:rsidR="00442F2D" w:rsidRDefault="00730518">
      <w:pPr>
        <w:pStyle w:val="a7"/>
        <w:autoSpaceDE w:val="0"/>
        <w:spacing w:line="0" w:lineRule="atLeast"/>
        <w:ind w:left="480"/>
        <w:jc w:val="both"/>
      </w:pPr>
      <w:r>
        <w:rPr>
          <w:b/>
          <w:bCs/>
          <w:kern w:val="0"/>
          <w:lang w:val="zh-TW"/>
        </w:rPr>
        <w:t>Conclusion:</w:t>
      </w:r>
    </w:p>
    <w:p w:rsidR="00442F2D" w:rsidRDefault="00730518">
      <w:pPr>
        <w:pStyle w:val="a7"/>
        <w:numPr>
          <w:ilvl w:val="0"/>
          <w:numId w:val="1"/>
        </w:numPr>
        <w:autoSpaceDE w:val="0"/>
        <w:spacing w:line="0" w:lineRule="atLeast"/>
        <w:ind w:left="960" w:hanging="480"/>
        <w:jc w:val="both"/>
      </w:pPr>
      <w:r>
        <w:rPr>
          <w:kern w:val="0"/>
        </w:rPr>
        <w:t>MOFA will seek to fully coordinate and cooperate with the Legislative Yuan and civic groups and provide necessary support, while also enhancing participation in related activities through experience</w:t>
      </w:r>
      <w:r w:rsidRPr="001838CB">
        <w:rPr>
          <w:color w:val="000000" w:themeColor="text1"/>
          <w:kern w:val="0"/>
        </w:rPr>
        <w:t>s</w:t>
      </w:r>
      <w:r>
        <w:rPr>
          <w:kern w:val="0"/>
        </w:rPr>
        <w:t xml:space="preserve"> sharing and other methods, in pursuit of OGP participation.</w:t>
      </w:r>
    </w:p>
    <w:p w:rsidR="00442F2D" w:rsidRDefault="00730518">
      <w:pPr>
        <w:pStyle w:val="a7"/>
        <w:numPr>
          <w:ilvl w:val="0"/>
          <w:numId w:val="1"/>
        </w:numPr>
        <w:autoSpaceDE w:val="0"/>
        <w:spacing w:line="0" w:lineRule="atLeast"/>
        <w:ind w:left="960" w:hanging="480"/>
        <w:jc w:val="both"/>
      </w:pPr>
      <w:r>
        <w:rPr>
          <w:kern w:val="0"/>
        </w:rPr>
        <w:t>MOFA requires a detailed understanding of the schedule and methods to be adopted by South Korea for the 2021 Open Government Partnership Global Summit.</w:t>
      </w:r>
    </w:p>
    <w:p w:rsidR="00442F2D" w:rsidRDefault="00442F2D">
      <w:pPr>
        <w:pStyle w:val="a7"/>
        <w:autoSpaceDE w:val="0"/>
        <w:spacing w:line="0" w:lineRule="atLeast"/>
        <w:ind w:left="480"/>
        <w:jc w:val="both"/>
        <w:rPr>
          <w:kern w:val="0"/>
        </w:rPr>
      </w:pPr>
    </w:p>
    <w:p w:rsidR="00442F2D" w:rsidRDefault="00730518">
      <w:pPr>
        <w:pStyle w:val="a7"/>
        <w:numPr>
          <w:ilvl w:val="0"/>
          <w:numId w:val="1"/>
        </w:numPr>
        <w:autoSpaceDE w:val="0"/>
        <w:spacing w:line="0" w:lineRule="atLeast"/>
        <w:ind w:left="480" w:hanging="480"/>
        <w:jc w:val="both"/>
      </w:pPr>
      <w:r>
        <w:rPr>
          <w:b/>
          <w:bCs/>
          <w:kern w:val="0"/>
        </w:rPr>
        <w:t>Draft of Taiwan Open Government National Action Plan (reporting unit: NDC)</w:t>
      </w:r>
    </w:p>
    <w:p w:rsidR="00442F2D" w:rsidRDefault="00442F2D">
      <w:pPr>
        <w:pStyle w:val="a7"/>
        <w:autoSpaceDE w:val="0"/>
        <w:spacing w:line="0" w:lineRule="atLeast"/>
        <w:jc w:val="both"/>
        <w:rPr>
          <w:b/>
          <w:bCs/>
          <w:kern w:val="0"/>
        </w:rPr>
      </w:pPr>
    </w:p>
    <w:p w:rsidR="00442F2D" w:rsidRDefault="00730518">
      <w:pPr>
        <w:pStyle w:val="a7"/>
        <w:autoSpaceDE w:val="0"/>
        <w:spacing w:line="0" w:lineRule="atLeast"/>
        <w:ind w:left="480"/>
        <w:jc w:val="both"/>
      </w:pPr>
      <w:r>
        <w:rPr>
          <w:b/>
          <w:bCs/>
          <w:kern w:val="0"/>
          <w:lang w:val="zh-TW"/>
        </w:rPr>
        <w:t>Conclusion:</w:t>
      </w:r>
    </w:p>
    <w:p w:rsidR="00442F2D" w:rsidRDefault="00730518">
      <w:pPr>
        <w:pStyle w:val="a7"/>
        <w:numPr>
          <w:ilvl w:val="0"/>
          <w:numId w:val="1"/>
        </w:numPr>
        <w:autoSpaceDE w:val="0"/>
        <w:spacing w:line="0" w:lineRule="atLeast"/>
        <w:ind w:left="960" w:hanging="480"/>
        <w:jc w:val="both"/>
      </w:pPr>
      <w:r>
        <w:rPr>
          <w:kern w:val="0"/>
        </w:rPr>
        <w:t>Relating to the quantifiable or verifiable measuring indicators “Consult, compile and analyze problems encountered by the public and government agencies when people apply for government information.” In terms of commitment 1-4, “Enhance Information Access in the Freedom of Government Information Law,” these will take into account the fact that consultation will not be limited to members of the public who have previously encountered difficulties when applying to a government agency for information. In addition, the appeal agencies, processing and legal affairs personnel who have experience handling related operations should be increased and their review of government implementation of freedom of information expanded; the Ministry of Justice requested the text be revised.</w:t>
      </w:r>
    </w:p>
    <w:p w:rsidR="00442F2D" w:rsidRDefault="00730518">
      <w:pPr>
        <w:pStyle w:val="a7"/>
        <w:numPr>
          <w:ilvl w:val="0"/>
          <w:numId w:val="1"/>
        </w:numPr>
        <w:autoSpaceDE w:val="0"/>
        <w:spacing w:line="0" w:lineRule="atLeast"/>
        <w:ind w:left="960" w:hanging="480"/>
        <w:jc w:val="both"/>
      </w:pPr>
      <w:r>
        <w:rPr>
          <w:kern w:val="0"/>
        </w:rPr>
        <w:t xml:space="preserve">Following up, it is requested that the draft Open Government National Action Plan be submitted to the Executive Yuan for approval, after which it will be implemented by </w:t>
      </w:r>
      <w:r w:rsidRPr="001838CB">
        <w:rPr>
          <w:color w:val="000000" w:themeColor="text1"/>
          <w:kern w:val="0"/>
        </w:rPr>
        <w:t xml:space="preserve">responsible agencies. Planning of related </w:t>
      </w:r>
      <w:r w:rsidRPr="001838CB">
        <w:rPr>
          <w:color w:val="000000" w:themeColor="text1"/>
          <w:kern w:val="0"/>
        </w:rPr>
        <w:lastRenderedPageBreak/>
        <w:t>advocacy and empowerment activities is requested. Moreover, to facilitate Taiwan’s participation, MOFA will review and revise the Engl</w:t>
      </w:r>
      <w:r>
        <w:rPr>
          <w:kern w:val="0"/>
        </w:rPr>
        <w:t>ish content of the Plan.</w:t>
      </w:r>
    </w:p>
    <w:p w:rsidR="00442F2D" w:rsidRDefault="00730518">
      <w:pPr>
        <w:pStyle w:val="a7"/>
        <w:numPr>
          <w:ilvl w:val="0"/>
          <w:numId w:val="1"/>
        </w:numPr>
        <w:autoSpaceDE w:val="0"/>
        <w:spacing w:line="0" w:lineRule="atLeast"/>
        <w:ind w:left="960" w:hanging="480"/>
        <w:jc w:val="both"/>
      </w:pPr>
      <w:r>
        <w:rPr>
          <w:kern w:val="0"/>
        </w:rPr>
        <w:t>The implementation of each commitment should fully embrace the principle of</w:t>
      </w:r>
      <w:r w:rsidRPr="00833C1D">
        <w:rPr>
          <w:color w:val="000000" w:themeColor="text1"/>
          <w:kern w:val="0"/>
        </w:rPr>
        <w:t xml:space="preserve"> collaboration between the government and civil society; each responsible agency is requested to invite</w:t>
      </w:r>
      <w:bookmarkStart w:id="0" w:name="_GoBack"/>
      <w:bookmarkEnd w:id="0"/>
      <w:r w:rsidRPr="00833C1D">
        <w:rPr>
          <w:color w:val="000000" w:themeColor="text1"/>
          <w:kern w:val="0"/>
        </w:rPr>
        <w:t xml:space="preserve"> the participation of civic groups as required. Other than Taskforce meetings reviewing the progress and results of promotional commitments every four months, responsible agencies should also be invited to share successful cases, problems encountered and o</w:t>
      </w:r>
      <w:r>
        <w:rPr>
          <w:kern w:val="0"/>
        </w:rPr>
        <w:t xml:space="preserve">ther matters relating to the promotional process. </w:t>
      </w:r>
    </w:p>
    <w:p w:rsidR="00442F2D" w:rsidRDefault="00442F2D">
      <w:pPr>
        <w:pStyle w:val="a7"/>
        <w:autoSpaceDE w:val="0"/>
        <w:spacing w:line="0" w:lineRule="atLeast"/>
        <w:ind w:left="480"/>
        <w:jc w:val="both"/>
        <w:rPr>
          <w:kern w:val="0"/>
        </w:rPr>
      </w:pPr>
    </w:p>
    <w:p w:rsidR="00442F2D" w:rsidRDefault="00730518">
      <w:pPr>
        <w:pStyle w:val="a7"/>
        <w:numPr>
          <w:ilvl w:val="0"/>
          <w:numId w:val="1"/>
        </w:numPr>
        <w:autoSpaceDE w:val="0"/>
        <w:spacing w:line="0" w:lineRule="atLeast"/>
        <w:ind w:left="480" w:hanging="480"/>
        <w:jc w:val="both"/>
      </w:pPr>
      <w:r>
        <w:rPr>
          <w:b/>
          <w:bCs/>
          <w:kern w:val="0"/>
          <w:lang w:val="zh-TW"/>
        </w:rPr>
        <w:t>End of meeting: 6:00 pm</w:t>
      </w:r>
    </w:p>
    <w:p w:rsidR="00442F2D" w:rsidRDefault="00442F2D">
      <w:pPr>
        <w:pStyle w:val="a7"/>
        <w:autoSpaceDE w:val="0"/>
        <w:spacing w:line="0" w:lineRule="atLeast"/>
        <w:jc w:val="both"/>
        <w:rPr>
          <w:color w:val="365F91"/>
          <w:kern w:val="0"/>
          <w:lang w:val="zh-TW"/>
        </w:rPr>
      </w:pPr>
    </w:p>
    <w:p w:rsidR="00442F2D" w:rsidRDefault="00442F2D">
      <w:pPr>
        <w:pStyle w:val="a7"/>
        <w:autoSpaceDE w:val="0"/>
        <w:spacing w:line="0" w:lineRule="atLeast"/>
        <w:jc w:val="both"/>
        <w:rPr>
          <w:color w:val="365F91"/>
          <w:kern w:val="0"/>
          <w:lang w:val="zh-TW"/>
        </w:rPr>
      </w:pPr>
    </w:p>
    <w:p w:rsidR="00442F2D" w:rsidRDefault="00442F2D">
      <w:pPr>
        <w:pStyle w:val="a7"/>
        <w:spacing w:line="0" w:lineRule="atLeast"/>
      </w:pPr>
    </w:p>
    <w:sectPr w:rsidR="00442F2D">
      <w:pgSz w:w="11906" w:h="16838"/>
      <w:pgMar w:top="1440" w:right="1800" w:bottom="1440" w:left="1800" w:header="720" w:footer="720" w:gutter="0"/>
      <w:cols w:space="720"/>
      <w:docGrid w:type="lines" w:linePitch="600" w:charSpace="-204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0" w:firstLine="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18"/>
    <w:rsid w:val="001838CB"/>
    <w:rsid w:val="00442F2D"/>
    <w:rsid w:val="00730518"/>
    <w:rsid w:val="00833C1D"/>
    <w:rsid w:val="00FD1F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172587E-E72A-4667-84D6-9CFA368A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character" w:customStyle="1" w:styleId="a4">
    <w:name w:val="頁首 字元"/>
    <w:rPr>
      <w:kern w:val="2"/>
    </w:rPr>
  </w:style>
  <w:style w:type="character" w:customStyle="1" w:styleId="a5">
    <w:name w:val="頁尾 字元"/>
    <w:rPr>
      <w:kern w:val="2"/>
    </w:rPr>
  </w:style>
  <w:style w:type="character" w:customStyle="1" w:styleId="WWCharLFO1LVL1">
    <w:name w:val="WW_CharLFO1LVL1"/>
    <w:rPr>
      <w:rFonts w:ascii="Symbol" w:hAnsi="Symbol"/>
    </w:rPr>
  </w:style>
  <w:style w:type="character" w:styleId="a6">
    <w:name w:val="Hyperlink"/>
    <w:rPr>
      <w:color w:val="000080"/>
      <w:u w:val="single"/>
    </w:rPr>
  </w:style>
  <w:style w:type="paragraph" w:styleId="a7">
    <w:name w:val="Body Tex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新細明體"/>
      <w:kern w:val="2"/>
      <w:sz w:val="24"/>
      <w:szCs w:val="24"/>
    </w:rPr>
  </w:style>
  <w:style w:type="paragraph" w:styleId="a8">
    <w:name w:val="Balloon Text"/>
    <w:basedOn w:val="a7"/>
    <w:rPr>
      <w:rFonts w:ascii="Arial" w:hAnsi="Arial"/>
      <w:sz w:val="18"/>
      <w:szCs w:val="18"/>
    </w:rPr>
  </w:style>
  <w:style w:type="paragraph" w:styleId="a9">
    <w:name w:val="annotation text"/>
    <w:basedOn w:val="a7"/>
  </w:style>
  <w:style w:type="paragraph" w:styleId="aa">
    <w:name w:val="annotation subject"/>
    <w:basedOn w:val="a9"/>
    <w:next w:val="a9"/>
    <w:rPr>
      <w:b/>
      <w:bCs/>
    </w:rPr>
  </w:style>
  <w:style w:type="paragraph" w:styleId="ab">
    <w:name w:val="List Paragraph"/>
    <w:basedOn w:val="a7"/>
    <w:qFormat/>
    <w:pPr>
      <w:ind w:left="480"/>
    </w:pPr>
    <w:rPr>
      <w:rFonts w:ascii="Calibri" w:hAnsi="Calibri"/>
      <w:szCs w:val="22"/>
    </w:rPr>
  </w:style>
  <w:style w:type="paragraph" w:styleId="ac">
    <w:name w:val="header"/>
    <w:basedOn w:val="a7"/>
    <w:pPr>
      <w:tabs>
        <w:tab w:val="center" w:pos="4153"/>
        <w:tab w:val="right" w:pos="8306"/>
      </w:tabs>
      <w:snapToGrid w:val="0"/>
    </w:pPr>
    <w:rPr>
      <w:sz w:val="20"/>
      <w:szCs w:val="20"/>
    </w:rPr>
  </w:style>
  <w:style w:type="paragraph" w:styleId="ad">
    <w:name w:val="footer"/>
    <w:basedOn w:val="a7"/>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y.pdis.nat.gov.tw/shared/oOLI-1IMhXPqLwVQOu2bw-ZRoefBsyBMLzEP47kX2xl"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Yuan Open Government National Action Plan Promotion Taskforce</dc:title>
  <dc:subject/>
  <dc:creator>apuser</dc:creator>
  <cp:keywords/>
  <cp:lastModifiedBy>翁慧雯</cp:lastModifiedBy>
  <cp:revision>5</cp:revision>
  <cp:lastPrinted>1995-11-21T09:41:00Z</cp:lastPrinted>
  <dcterms:created xsi:type="dcterms:W3CDTF">2021-06-07T06:59:00Z</dcterms:created>
  <dcterms:modified xsi:type="dcterms:W3CDTF">2021-06-07T08:15:00Z</dcterms:modified>
</cp:coreProperties>
</file>