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80" w:rsidRPr="00455695" w:rsidRDefault="002C7280" w:rsidP="00972C2C">
      <w:pPr>
        <w:spacing w:before="4"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="00310C91"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175899" w:rsidRPr="004556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B6DC3"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F215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DD196F" w:rsidRDefault="00DD196F" w:rsidP="00610D92">
      <w:pPr>
        <w:spacing w:before="4" w:line="5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8F43AD" w:rsidRPr="00455695" w:rsidRDefault="00863078" w:rsidP="00610D92">
      <w:pPr>
        <w:spacing w:before="4" w:line="5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455695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賴揆：</w:t>
      </w:r>
      <w:r w:rsidR="00E5359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公私協力推動促參、加強推動城鄉建設使人民有感、修正採購法以</w:t>
      </w:r>
      <w:r w:rsidR="00E53591" w:rsidRPr="00E5359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提升採購品質</w:t>
      </w:r>
    </w:p>
    <w:p w:rsidR="00863078" w:rsidRPr="00BF17DE" w:rsidRDefault="00863078" w:rsidP="00610D92">
      <w:pPr>
        <w:spacing w:before="4" w:line="5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863078" w:rsidRPr="00940B9A" w:rsidRDefault="00863078" w:rsidP="00940B9A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40B9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行政</w:t>
      </w:r>
      <w:r w:rsidR="00BA3C4B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院</w:t>
      </w:r>
      <w:r w:rsidRPr="00940B9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長賴清德今（</w:t>
      </w:r>
      <w:r w:rsidRPr="00940B9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BF17D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</w:t>
      </w:r>
      <w:r w:rsidRPr="00940B9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）日主持</w:t>
      </w:r>
      <w:r w:rsidR="00E51811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="00BF17D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20</w:t>
      </w:r>
      <w:r w:rsidR="00E51811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次</w:t>
      </w:r>
      <w:r w:rsidRPr="00940B9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「加速投資</w:t>
      </w:r>
      <w:r w:rsidR="005B0EC5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台灣</w:t>
      </w:r>
      <w:r w:rsidR="00DE161A" w:rsidRPr="00940B9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專案會議」，</w:t>
      </w:r>
      <w:r w:rsidR="00DE161A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會中分別由</w:t>
      </w:r>
      <w:r w:rsidR="00BF17D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財政部</w:t>
      </w:r>
      <w:r w:rsidR="00DE161A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、國發會及工程會就</w:t>
      </w:r>
      <w:r w:rsidR="007C3553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BF17D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107</w:t>
      </w:r>
      <w:r w:rsidR="00BF17D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年截至</w:t>
      </w:r>
      <w:r w:rsidR="00BF17D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="00BF17D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月促參辦理成果</w:t>
      </w:r>
      <w:r w:rsidRPr="00940B9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BF17D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、「</w:t>
      </w:r>
      <w:r w:rsidR="00354369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前瞻基礎建設城鄉建設計畫滾動</w:t>
      </w:r>
      <w:r w:rsidR="00BF17D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檢討</w:t>
      </w:r>
      <w:r w:rsidR="00BF17DE" w:rsidRPr="00940B9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BF17D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及「政府採購法修正</w:t>
      </w:r>
      <w:r w:rsidR="00BF17DE" w:rsidRPr="00940B9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DE161A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進行報告</w:t>
      </w:r>
      <w:r w:rsidR="00BA3C4B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。賴院長</w:t>
      </w:r>
      <w:r w:rsidRPr="00940B9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表示</w:t>
      </w:r>
      <w:r w:rsidR="009B372B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3579B5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完備促參</w:t>
      </w:r>
      <w:r w:rsidR="00BF6A84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及政府採購</w:t>
      </w:r>
      <w:r w:rsidR="003579B5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法規，</w:t>
      </w:r>
      <w:r w:rsidR="007930F1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將有助</w:t>
      </w:r>
      <w:r w:rsidR="00337795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引入民間資源、創意及效率</w:t>
      </w:r>
      <w:r w:rsidR="00BF6A84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，以提升</w:t>
      </w:r>
      <w:r w:rsidR="00337795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公共</w:t>
      </w:r>
      <w:r w:rsidR="00BF6A84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服務品質</w:t>
      </w:r>
      <w:r w:rsidR="007930F1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，政府</w:t>
      </w:r>
      <w:r w:rsidR="00B11B17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務必</w:t>
      </w:r>
      <w:r w:rsidR="00BF6A84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積極</w:t>
      </w:r>
      <w:r w:rsidR="00B11B17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落實</w:t>
      </w:r>
      <w:r w:rsidR="00BF6A84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推動；</w:t>
      </w:r>
      <w:r w:rsidR="00E83BF9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城鄉建設則有助於平衡</w:t>
      </w:r>
      <w:r w:rsidR="005B0EC5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台灣</w:t>
      </w:r>
      <w:r w:rsidR="00E83BF9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整體發展，</w:t>
      </w:r>
      <w:r w:rsidR="008A2EDD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政府亦將持續傾聽民意需求及地方政府意見，在確保建設品質的前提下，積極提升執行效率。</w:t>
      </w:r>
    </w:p>
    <w:p w:rsidR="00863078" w:rsidRPr="00CA47EC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0C1DED" w:rsidRPr="00940B9A" w:rsidRDefault="00181516" w:rsidP="00940B9A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財政部指出</w:t>
      </w:r>
      <w:r w:rsidR="000C1DED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，為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精進促參法制環境，並引導民間資源投入長照、衛生醫療及汙水下水道等國人所需公共建設，</w:t>
      </w:r>
      <w:r w:rsidRPr="00940B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「促進民間參與公共建設法施行細則」修正條文已於今(107)年6月8日</w:t>
      </w:r>
      <w:r w:rsidR="000B1154" w:rsidRPr="00940B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</w:t>
      </w:r>
      <w:r w:rsidRPr="00940B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布實施。此外，</w:t>
      </w:r>
      <w:r w:rsidR="00CC231C" w:rsidRPr="00940B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政府</w:t>
      </w:r>
      <w:r w:rsidRPr="00940B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亦積極推動招商引資、協助地方政府辦理先期規劃等多項配套措施</w:t>
      </w:r>
      <w:r w:rsidR="000C1DED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在政府與民間共同努力下，今年截至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月民間投資促參金額已達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657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億元，為去（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）年同期的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2.38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倍。</w:t>
      </w:r>
    </w:p>
    <w:p w:rsidR="00387B83" w:rsidRDefault="00387B83" w:rsidP="00F56840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181516" w:rsidRPr="00940B9A" w:rsidRDefault="00181516" w:rsidP="00940B9A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40B9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賴院長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表示，政府資源有限</w:t>
      </w:r>
      <w:r w:rsidR="00610AB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，而民力無窮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610AB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唯有公私協力</w:t>
      </w:r>
      <w:r w:rsidR="00CC231C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參</w:t>
      </w:r>
      <w:r w:rsidR="00CC231C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與</w:t>
      </w:r>
      <w:r w:rsidR="00610AB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，才可順利推動，且政府推動促參不</w:t>
      </w:r>
      <w:r w:rsidR="00E251C7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</w:t>
      </w:r>
      <w:r w:rsidR="00610AB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以收取權利金為目的，而是以提升公共服務品質為目標。以長照</w:t>
      </w:r>
      <w:r w:rsidR="000B1154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機構</w:t>
      </w:r>
      <w:r w:rsidR="00610AB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為例，民間有很大的需求，請衛福部主動尋找可透過促參方式引入民間營運的據點，以落實照顧長者，並請財政部要建立更友善的促參環境，引入國內外資源投入</w:t>
      </w:r>
      <w:r w:rsidR="00CC231C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公共建設</w:t>
      </w:r>
      <w:r w:rsidR="00610AB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CC231C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以活絡經濟發展動能</w:t>
      </w:r>
      <w:r w:rsidR="00610ABE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387B83" w:rsidRDefault="00387B83" w:rsidP="00181516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4540A0" w:rsidRPr="00940B9A" w:rsidRDefault="004540A0" w:rsidP="00940B9A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在前瞻計畫特別預算之執行部分，國發會指出，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月至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107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月底止，前瞻計畫特別預算已執行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375.111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億元，執行率為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78.03%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。其中，「城鄉建設」計畫採取競爭型補助方式，由地方政府提出申請，經主管機關公開評核機制通過補助經費，期發揮最大效益。</w:t>
      </w:r>
    </w:p>
    <w:p w:rsidR="00B50A1B" w:rsidRDefault="00B50A1B" w:rsidP="00B50A1B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4540A0" w:rsidRPr="00940B9A" w:rsidRDefault="00430898" w:rsidP="00940B9A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賴院長首先肯定原住民</w:t>
      </w:r>
      <w:r w:rsidR="00E251C7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族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委員會、客家委員會、教育部</w:t>
      </w:r>
      <w:r w:rsidR="00E251C7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執行進度</w:t>
      </w:r>
      <w:r w:rsidR="00E251C7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超前的部會，對於執行率不佳的計畫也逐案釐清，院長特別指示進度落後的部會要持續嚴格管控進度，並應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把握一定的審查原則，</w:t>
      </w:r>
      <w:r w:rsidR="00E251C7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避免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審查程序太過複雜而影響計畫執行</w:t>
      </w:r>
      <w:r w:rsidR="004540A0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E251C7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且各部會應</w:t>
      </w:r>
      <w:r w:rsidR="004540A0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隨時透過跨部會協調，積極解決問題，以提升執行力，務</w:t>
      </w:r>
      <w:r w:rsidR="00B50A1B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使人民有感，並</w:t>
      </w:r>
      <w:r w:rsidR="004540A0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達成</w:t>
      </w:r>
      <w:r w:rsidR="000B1154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至今年底</w:t>
      </w:r>
      <w:r w:rsidR="004540A0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預算執行率超過</w:t>
      </w:r>
      <w:r w:rsidR="004540A0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="004540A0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</w:t>
      </w:r>
      <w:r w:rsidR="00B50A1B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的目標</w:t>
      </w:r>
      <w:r w:rsidR="004540A0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4540A0" w:rsidRPr="004540A0" w:rsidRDefault="004540A0" w:rsidP="004540A0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4540A0" w:rsidRPr="00940B9A" w:rsidRDefault="00E34DAF" w:rsidP="00940B9A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此外，因</w:t>
      </w:r>
      <w:r w:rsidR="004540A0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國內外企業與商會對採購法修正有很大的期待，本次會議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特別請</w:t>
      </w:r>
      <w:r w:rsidR="004540A0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工程會針對</w:t>
      </w:r>
      <w:r w:rsidRPr="00940B9A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「</w:t>
      </w:r>
      <w:r w:rsidR="004540A0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政府採購法</w:t>
      </w:r>
      <w:r w:rsidRPr="00940B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4540A0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修正案進行報告。</w:t>
      </w:r>
    </w:p>
    <w:p w:rsidR="00940B9A" w:rsidRDefault="00940B9A" w:rsidP="00940B9A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4540A0" w:rsidRPr="00940B9A" w:rsidRDefault="004540A0" w:rsidP="00940B9A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工程會表示，本次採購法修正重點包括：增訂「採購工作及審查小組」機制、修正利益迴避規定、簡化最有利標之適用條件</w:t>
      </w:r>
      <w:r w:rsidR="0004274D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、修正停權機制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等，</w:t>
      </w:r>
      <w:r w:rsidR="0004274D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以提升政府採購效率及品質、提高廠商參與政府採購意願，使政府採購制度更臻完備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0A355F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「政府採購法」部分條文修正草案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已經立法院交通委員會逐條審查完竣，全案待立法院二、三讀程序，並列立法院第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屆第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會期優先審議法案。</w:t>
      </w:r>
    </w:p>
    <w:p w:rsidR="004540A0" w:rsidRPr="004540A0" w:rsidRDefault="004540A0" w:rsidP="004540A0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181516" w:rsidRPr="00940B9A" w:rsidRDefault="004540A0" w:rsidP="00940B9A">
      <w:pPr>
        <w:spacing w:before="4" w:line="5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賴院長請工程會積極與立法院朝野各黨團溝通協調，</w:t>
      </w:r>
      <w:r w:rsidR="00E251C7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早日完成修法程序，並</w:t>
      </w:r>
      <w:r w:rsidR="008E5FD6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妥適準備修法通過後的配合措施。此外，院長亦期勉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工程會更主動積極協助相關部會與地方政府</w:t>
      </w:r>
      <w:r w:rsidR="008E5FD6"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辦理採購</w:t>
      </w:r>
      <w:r w:rsidRPr="00940B9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案件。</w:t>
      </w:r>
      <w:bookmarkStart w:id="0" w:name="_GoBack"/>
      <w:bookmarkEnd w:id="0"/>
    </w:p>
    <w:sectPr w:rsidR="00181516" w:rsidRPr="00940B9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7A" w:rsidRDefault="00917C7A" w:rsidP="002C7280">
      <w:r>
        <w:separator/>
      </w:r>
    </w:p>
  </w:endnote>
  <w:endnote w:type="continuationSeparator" w:id="0">
    <w:p w:rsidR="00917C7A" w:rsidRDefault="00917C7A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7C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72C" w:rsidRPr="00AE672C">
          <w:rPr>
            <w:noProof/>
            <w:lang w:val="zh-TW"/>
          </w:rPr>
          <w:t>3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7A" w:rsidRDefault="00917C7A" w:rsidP="002C7280">
      <w:r>
        <w:separator/>
      </w:r>
    </w:p>
  </w:footnote>
  <w:footnote w:type="continuationSeparator" w:id="0">
    <w:p w:rsidR="00917C7A" w:rsidRDefault="00917C7A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1" w:type="pct"/>
      <w:tblLook w:val="00A0" w:firstRow="1" w:lastRow="0" w:firstColumn="1" w:lastColumn="0" w:noHBand="0" w:noVBand="0"/>
    </w:tblPr>
    <w:tblGrid>
      <w:gridCol w:w="3804"/>
      <w:gridCol w:w="4122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 wp14:anchorId="70F58978" wp14:editId="16A7B20A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7930F1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917C7A" w:rsidP="002C7280">
          <w:pPr>
            <w:pStyle w:val="a4"/>
          </w:pPr>
          <w:r>
            <w:pict w14:anchorId="59B01043"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62BC4"/>
    <w:multiLevelType w:val="hybridMultilevel"/>
    <w:tmpl w:val="58844C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AD"/>
    <w:rsid w:val="0000538A"/>
    <w:rsid w:val="00014B19"/>
    <w:rsid w:val="00020439"/>
    <w:rsid w:val="0002685D"/>
    <w:rsid w:val="00030E57"/>
    <w:rsid w:val="0003126D"/>
    <w:rsid w:val="0004274D"/>
    <w:rsid w:val="00042FC5"/>
    <w:rsid w:val="00043ABB"/>
    <w:rsid w:val="00046F05"/>
    <w:rsid w:val="00063196"/>
    <w:rsid w:val="00072D48"/>
    <w:rsid w:val="0008461E"/>
    <w:rsid w:val="00094FDD"/>
    <w:rsid w:val="000A355F"/>
    <w:rsid w:val="000B1154"/>
    <w:rsid w:val="000B4F55"/>
    <w:rsid w:val="000C1DED"/>
    <w:rsid w:val="000D6DDF"/>
    <w:rsid w:val="000D7EE7"/>
    <w:rsid w:val="000F0A10"/>
    <w:rsid w:val="000F585F"/>
    <w:rsid w:val="0010292E"/>
    <w:rsid w:val="0012077D"/>
    <w:rsid w:val="00174F6C"/>
    <w:rsid w:val="00175899"/>
    <w:rsid w:val="00181516"/>
    <w:rsid w:val="001B2B64"/>
    <w:rsid w:val="001B2C86"/>
    <w:rsid w:val="001D48DC"/>
    <w:rsid w:val="00210B47"/>
    <w:rsid w:val="00212599"/>
    <w:rsid w:val="00223CDD"/>
    <w:rsid w:val="00226886"/>
    <w:rsid w:val="00227B7C"/>
    <w:rsid w:val="00243D42"/>
    <w:rsid w:val="002468AA"/>
    <w:rsid w:val="00246BF4"/>
    <w:rsid w:val="002525C2"/>
    <w:rsid w:val="002623D2"/>
    <w:rsid w:val="002737D6"/>
    <w:rsid w:val="00277A82"/>
    <w:rsid w:val="00291808"/>
    <w:rsid w:val="002A1F4F"/>
    <w:rsid w:val="002A5E21"/>
    <w:rsid w:val="002C7280"/>
    <w:rsid w:val="002D065E"/>
    <w:rsid w:val="002E2FF7"/>
    <w:rsid w:val="002E7A6B"/>
    <w:rsid w:val="00306139"/>
    <w:rsid w:val="00310C91"/>
    <w:rsid w:val="00332C24"/>
    <w:rsid w:val="00337795"/>
    <w:rsid w:val="00340077"/>
    <w:rsid w:val="00342C99"/>
    <w:rsid w:val="00354369"/>
    <w:rsid w:val="003579B5"/>
    <w:rsid w:val="00366D9D"/>
    <w:rsid w:val="00371C5E"/>
    <w:rsid w:val="00387B83"/>
    <w:rsid w:val="00395C24"/>
    <w:rsid w:val="00396A32"/>
    <w:rsid w:val="003A0E18"/>
    <w:rsid w:val="003B49FC"/>
    <w:rsid w:val="003F014C"/>
    <w:rsid w:val="003F7520"/>
    <w:rsid w:val="0040638C"/>
    <w:rsid w:val="00407BDC"/>
    <w:rsid w:val="004114DE"/>
    <w:rsid w:val="00424B0C"/>
    <w:rsid w:val="00430898"/>
    <w:rsid w:val="004377CA"/>
    <w:rsid w:val="00444621"/>
    <w:rsid w:val="004540A0"/>
    <w:rsid w:val="00455695"/>
    <w:rsid w:val="00457A66"/>
    <w:rsid w:val="00463798"/>
    <w:rsid w:val="004736C0"/>
    <w:rsid w:val="00476065"/>
    <w:rsid w:val="00477663"/>
    <w:rsid w:val="00480071"/>
    <w:rsid w:val="00490409"/>
    <w:rsid w:val="004D080E"/>
    <w:rsid w:val="004D69C7"/>
    <w:rsid w:val="004E260A"/>
    <w:rsid w:val="004F34DC"/>
    <w:rsid w:val="005117FA"/>
    <w:rsid w:val="005163EF"/>
    <w:rsid w:val="00547360"/>
    <w:rsid w:val="00582169"/>
    <w:rsid w:val="00592AB6"/>
    <w:rsid w:val="005A44B0"/>
    <w:rsid w:val="005B0EC5"/>
    <w:rsid w:val="005C1583"/>
    <w:rsid w:val="005D13BE"/>
    <w:rsid w:val="005E5FA8"/>
    <w:rsid w:val="005F47D4"/>
    <w:rsid w:val="00610ABE"/>
    <w:rsid w:val="00610D92"/>
    <w:rsid w:val="00617D3C"/>
    <w:rsid w:val="0063448C"/>
    <w:rsid w:val="00644FE0"/>
    <w:rsid w:val="00675685"/>
    <w:rsid w:val="006B7DA5"/>
    <w:rsid w:val="006C3956"/>
    <w:rsid w:val="006D45EA"/>
    <w:rsid w:val="006E30B9"/>
    <w:rsid w:val="006E52E6"/>
    <w:rsid w:val="006E59D1"/>
    <w:rsid w:val="006E7583"/>
    <w:rsid w:val="006F05E4"/>
    <w:rsid w:val="007054E7"/>
    <w:rsid w:val="00705C1F"/>
    <w:rsid w:val="00714A52"/>
    <w:rsid w:val="007250F2"/>
    <w:rsid w:val="007258A6"/>
    <w:rsid w:val="00726E6C"/>
    <w:rsid w:val="00751FE0"/>
    <w:rsid w:val="00770201"/>
    <w:rsid w:val="00770607"/>
    <w:rsid w:val="00772E77"/>
    <w:rsid w:val="00773350"/>
    <w:rsid w:val="00783A2A"/>
    <w:rsid w:val="00784FBF"/>
    <w:rsid w:val="00790E66"/>
    <w:rsid w:val="007930F1"/>
    <w:rsid w:val="007B16B1"/>
    <w:rsid w:val="007B61BF"/>
    <w:rsid w:val="007C2A74"/>
    <w:rsid w:val="007C3553"/>
    <w:rsid w:val="007C47C7"/>
    <w:rsid w:val="007C643A"/>
    <w:rsid w:val="007F27CC"/>
    <w:rsid w:val="007F2DD3"/>
    <w:rsid w:val="00807095"/>
    <w:rsid w:val="00821F39"/>
    <w:rsid w:val="00835AAA"/>
    <w:rsid w:val="00863078"/>
    <w:rsid w:val="0089094E"/>
    <w:rsid w:val="00890BED"/>
    <w:rsid w:val="00893C13"/>
    <w:rsid w:val="008A14C6"/>
    <w:rsid w:val="008A2EDD"/>
    <w:rsid w:val="008B2C8E"/>
    <w:rsid w:val="008E5FD6"/>
    <w:rsid w:val="008F1E8F"/>
    <w:rsid w:val="008F43AD"/>
    <w:rsid w:val="00917C7A"/>
    <w:rsid w:val="009339D6"/>
    <w:rsid w:val="00940B9A"/>
    <w:rsid w:val="00942F0D"/>
    <w:rsid w:val="00972C2C"/>
    <w:rsid w:val="00996513"/>
    <w:rsid w:val="009A1919"/>
    <w:rsid w:val="009B1E8A"/>
    <w:rsid w:val="009B372B"/>
    <w:rsid w:val="009B3F20"/>
    <w:rsid w:val="009C301C"/>
    <w:rsid w:val="009E6161"/>
    <w:rsid w:val="00A14511"/>
    <w:rsid w:val="00A2155B"/>
    <w:rsid w:val="00A42210"/>
    <w:rsid w:val="00A4282C"/>
    <w:rsid w:val="00A4548C"/>
    <w:rsid w:val="00A63D65"/>
    <w:rsid w:val="00A640EB"/>
    <w:rsid w:val="00A65264"/>
    <w:rsid w:val="00A71207"/>
    <w:rsid w:val="00AB1D4A"/>
    <w:rsid w:val="00AB59DF"/>
    <w:rsid w:val="00AB7345"/>
    <w:rsid w:val="00AC3E85"/>
    <w:rsid w:val="00AE672C"/>
    <w:rsid w:val="00B00D48"/>
    <w:rsid w:val="00B07B60"/>
    <w:rsid w:val="00B11000"/>
    <w:rsid w:val="00B11B17"/>
    <w:rsid w:val="00B218D8"/>
    <w:rsid w:val="00B2437E"/>
    <w:rsid w:val="00B41A6B"/>
    <w:rsid w:val="00B44EEC"/>
    <w:rsid w:val="00B452FB"/>
    <w:rsid w:val="00B50A1B"/>
    <w:rsid w:val="00B50D89"/>
    <w:rsid w:val="00B55BF9"/>
    <w:rsid w:val="00B67408"/>
    <w:rsid w:val="00B84CE5"/>
    <w:rsid w:val="00B96396"/>
    <w:rsid w:val="00BA3C4B"/>
    <w:rsid w:val="00BA5586"/>
    <w:rsid w:val="00BB6DC3"/>
    <w:rsid w:val="00BC4CAC"/>
    <w:rsid w:val="00BF17DE"/>
    <w:rsid w:val="00BF6A84"/>
    <w:rsid w:val="00C01388"/>
    <w:rsid w:val="00C01E74"/>
    <w:rsid w:val="00C100D3"/>
    <w:rsid w:val="00C24E3F"/>
    <w:rsid w:val="00C26791"/>
    <w:rsid w:val="00C44D02"/>
    <w:rsid w:val="00C77F63"/>
    <w:rsid w:val="00C82844"/>
    <w:rsid w:val="00C91316"/>
    <w:rsid w:val="00C951AA"/>
    <w:rsid w:val="00CA47EC"/>
    <w:rsid w:val="00CB7E32"/>
    <w:rsid w:val="00CC231C"/>
    <w:rsid w:val="00CC7B17"/>
    <w:rsid w:val="00CD359C"/>
    <w:rsid w:val="00CE04C8"/>
    <w:rsid w:val="00CE1331"/>
    <w:rsid w:val="00CF623E"/>
    <w:rsid w:val="00D061A0"/>
    <w:rsid w:val="00D15BA1"/>
    <w:rsid w:val="00D378AD"/>
    <w:rsid w:val="00D4170F"/>
    <w:rsid w:val="00D71700"/>
    <w:rsid w:val="00D74BF8"/>
    <w:rsid w:val="00D761C8"/>
    <w:rsid w:val="00D8612B"/>
    <w:rsid w:val="00D87B2C"/>
    <w:rsid w:val="00D909AF"/>
    <w:rsid w:val="00D95367"/>
    <w:rsid w:val="00D9747C"/>
    <w:rsid w:val="00DA648B"/>
    <w:rsid w:val="00DC215B"/>
    <w:rsid w:val="00DD196F"/>
    <w:rsid w:val="00DD5183"/>
    <w:rsid w:val="00DE161A"/>
    <w:rsid w:val="00DE4252"/>
    <w:rsid w:val="00DE5AFB"/>
    <w:rsid w:val="00E0528D"/>
    <w:rsid w:val="00E24E55"/>
    <w:rsid w:val="00E251C7"/>
    <w:rsid w:val="00E34DAF"/>
    <w:rsid w:val="00E51811"/>
    <w:rsid w:val="00E53591"/>
    <w:rsid w:val="00E83BF9"/>
    <w:rsid w:val="00E976E0"/>
    <w:rsid w:val="00EA0D25"/>
    <w:rsid w:val="00EA1E36"/>
    <w:rsid w:val="00EB2E31"/>
    <w:rsid w:val="00EB7927"/>
    <w:rsid w:val="00EC1A54"/>
    <w:rsid w:val="00EC687D"/>
    <w:rsid w:val="00ED6B86"/>
    <w:rsid w:val="00EE09BA"/>
    <w:rsid w:val="00F0718B"/>
    <w:rsid w:val="00F1133B"/>
    <w:rsid w:val="00F17C1D"/>
    <w:rsid w:val="00F215D1"/>
    <w:rsid w:val="00F216B7"/>
    <w:rsid w:val="00F22232"/>
    <w:rsid w:val="00F33DC3"/>
    <w:rsid w:val="00F35DE7"/>
    <w:rsid w:val="00F56840"/>
    <w:rsid w:val="00F57169"/>
    <w:rsid w:val="00F71099"/>
    <w:rsid w:val="00F9205C"/>
    <w:rsid w:val="00FA0C1A"/>
    <w:rsid w:val="00FA1A9B"/>
    <w:rsid w:val="00FD0808"/>
    <w:rsid w:val="00FD124B"/>
    <w:rsid w:val="00FD7AC9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724A9"/>
  <w15:docId w15:val="{158A6C95-2140-424F-89D0-AEEDCC27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95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2018%20&#38498;&#26371;%20&#22577;&#21578;&#26696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368A-E2B5-44E8-AB9A-A5735C05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院會 報告案 新聞稿.dotx</Template>
  <TotalTime>0</TotalTime>
  <Pages>3</Pages>
  <Words>179</Words>
  <Characters>1022</Characters>
  <Application>Microsoft Office Word</Application>
  <DocSecurity>0</DocSecurity>
  <Lines>8</Lines>
  <Paragraphs>2</Paragraphs>
  <ScaleCrop>false</ScaleCrop>
  <Company>行政院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</dc:creator>
  <cp:lastModifiedBy>廖秋雯</cp:lastModifiedBy>
  <cp:revision>2</cp:revision>
  <cp:lastPrinted>2018-08-28T10:57:00Z</cp:lastPrinted>
  <dcterms:created xsi:type="dcterms:W3CDTF">2018-08-28T11:16:00Z</dcterms:created>
  <dcterms:modified xsi:type="dcterms:W3CDTF">2018-08-28T11:16:00Z</dcterms:modified>
</cp:coreProperties>
</file>