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5" w:rsidRPr="005D4EAC" w:rsidRDefault="00ED6375" w:rsidP="00ED6375">
      <w:pPr>
        <w:jc w:val="center"/>
        <w:rPr>
          <w:rFonts w:eastAsia="標楷體"/>
          <w:sz w:val="48"/>
          <w:szCs w:val="48"/>
        </w:rPr>
      </w:pPr>
      <w:r w:rsidRPr="005D4EAC">
        <w:rPr>
          <w:rFonts w:eastAsia="標楷體" w:hint="eastAsia"/>
          <w:sz w:val="48"/>
          <w:szCs w:val="48"/>
        </w:rPr>
        <w:t>「加速投資台灣專案會議」第</w:t>
      </w:r>
      <w:r w:rsidR="00C4030C">
        <w:rPr>
          <w:rFonts w:eastAsia="標楷體" w:hint="eastAsia"/>
          <w:sz w:val="48"/>
          <w:szCs w:val="48"/>
        </w:rPr>
        <w:t>8</w:t>
      </w:r>
      <w:r w:rsidRPr="005D4EAC">
        <w:rPr>
          <w:rFonts w:eastAsia="標楷體" w:hint="eastAsia"/>
          <w:sz w:val="48"/>
          <w:szCs w:val="48"/>
        </w:rPr>
        <w:t>次會議</w:t>
      </w:r>
    </w:p>
    <w:p w:rsidR="00ED6375" w:rsidRPr="005D4EAC" w:rsidRDefault="00ED6375" w:rsidP="00ED6375">
      <w:pPr>
        <w:jc w:val="center"/>
        <w:rPr>
          <w:rFonts w:eastAsia="標楷體"/>
          <w:sz w:val="48"/>
          <w:szCs w:val="48"/>
        </w:rPr>
      </w:pPr>
      <w:r w:rsidRPr="005D4EAC">
        <w:rPr>
          <w:rFonts w:eastAsia="標楷體" w:hint="eastAsia"/>
          <w:sz w:val="48"/>
          <w:szCs w:val="48"/>
        </w:rPr>
        <w:t>院長裁示</w:t>
      </w:r>
      <w:r>
        <w:rPr>
          <w:rFonts w:eastAsia="標楷體" w:hint="eastAsia"/>
          <w:sz w:val="48"/>
          <w:szCs w:val="48"/>
        </w:rPr>
        <w:t>重點</w:t>
      </w:r>
    </w:p>
    <w:p w:rsidR="00C4030C" w:rsidRPr="00C4030C" w:rsidRDefault="00C4030C" w:rsidP="00C4030C">
      <w:pPr>
        <w:spacing w:beforeLines="100" w:before="360" w:afterLines="100" w:after="360" w:line="560" w:lineRule="exact"/>
        <w:ind w:left="2979" w:hangingChars="620" w:hanging="2979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報告事項</w:t>
      </w:r>
      <w:r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一</w:t>
      </w:r>
      <w:r w:rsidRPr="00C4030C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：行動支付推動措施與進度</w:t>
      </w:r>
      <w:bookmarkStart w:id="0" w:name="_GoBack"/>
      <w:bookmarkEnd w:id="0"/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感謝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國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發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會、財政部、金管會、交通部、經濟部今天分別提出報告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行政院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的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施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政有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五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大目標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：文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化台灣、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綠能矽島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、智慧國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家、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公義社會以及幸福家園。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智慧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國家是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行政院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施政的五大目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標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之一，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因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此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行動支付是行政院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的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重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要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施政重點，除了呼應社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會要求外，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也希望能夠帶動產業的創新應用，這對於我國成為數位國家或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智慧國家，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具有深層的意義。感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謝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國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發會以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及相關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部會的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積極配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合。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目前社會上對於行動支付這項議題的關注持續增加，這是政策推動上很好的契機，我希望各部會首長及主管應主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動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積極推動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lastRenderedPageBreak/>
        <w:t>政策，避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免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只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是被動配合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，這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樣才能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創造示範性效果以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及乘數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效應。昨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天陳美伶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政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委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跟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嘉義縣長主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持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今年台灣燈會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無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現金市集的預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先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開市，展示用手機整合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電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子票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券及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金融服務的功能，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讓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消費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者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不用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現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金就能夠從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自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動販賣機購物，就是一種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很好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的活動，也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是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行銷，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國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人看到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新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聞後，也會看到政府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的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決心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及施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政方向。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推動行動支付普及必須同時從供給面和需求面考量，請經濟部、交通部、教育部、衛福部、財政部、文化部等相關部會積極辦理:</w:t>
      </w:r>
    </w:p>
    <w:p w:rsidR="00C4030C" w:rsidRPr="00C4030C" w:rsidRDefault="00C4030C" w:rsidP="00C4030C">
      <w:pPr>
        <w:pStyle w:val="a7"/>
        <w:numPr>
          <w:ilvl w:val="0"/>
          <w:numId w:val="8"/>
        </w:numPr>
        <w:spacing w:beforeLines="50" w:before="180" w:afterLines="50" w:after="180" w:line="720" w:lineRule="exact"/>
        <w:ind w:leftChars="0" w:left="1077" w:hanging="1077"/>
        <w:rPr>
          <w:rFonts w:ascii="標楷體" w:eastAsia="標楷體" w:hAnsi="標楷體"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在供給方面，我們必須要創造更多能使用行動支付的場合，如提高國際來台人士行動生活便利性、</w:t>
      </w:r>
      <w:r w:rsidRPr="00C4030C">
        <w:rPr>
          <w:rFonts w:ascii="標楷體" w:eastAsia="標楷體" w:hAnsi="標楷體"/>
          <w:color w:val="000000" w:themeColor="text1"/>
          <w:sz w:val="48"/>
          <w:szCs w:val="48"/>
        </w:rPr>
        <w:t>林</w:t>
      </w: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務</w:t>
      </w:r>
      <w:r w:rsidRPr="00C4030C">
        <w:rPr>
          <w:rFonts w:ascii="標楷體" w:eastAsia="標楷體" w:hAnsi="標楷體"/>
          <w:color w:val="000000" w:themeColor="text1"/>
          <w:sz w:val="48"/>
          <w:szCs w:val="48"/>
        </w:rPr>
        <w:t>局遊樂場</w:t>
      </w: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或</w:t>
      </w:r>
      <w:r w:rsidRPr="00C4030C">
        <w:rPr>
          <w:rFonts w:ascii="標楷體" w:eastAsia="標楷體" w:hAnsi="標楷體"/>
          <w:color w:val="000000" w:themeColor="text1"/>
          <w:sz w:val="48"/>
          <w:szCs w:val="48"/>
        </w:rPr>
        <w:t>醫療診所等，</w:t>
      </w: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讓民眾充</w:t>
      </w: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lastRenderedPageBreak/>
        <w:t>分感受便利性。我希望各部會多利用相關採購、補助計畫的資源，在選商時將商家是否能提供行動支付列為評選項目之一，用</w:t>
      </w:r>
      <w:r w:rsidRPr="00C4030C">
        <w:rPr>
          <w:rFonts w:ascii="標楷體" w:eastAsia="標楷體" w:hAnsi="標楷體"/>
          <w:color w:val="000000" w:themeColor="text1"/>
          <w:sz w:val="48"/>
          <w:szCs w:val="48"/>
        </w:rPr>
        <w:t>政府的力量</w:t>
      </w: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來</w:t>
      </w:r>
      <w:r w:rsidRPr="00C4030C">
        <w:rPr>
          <w:rFonts w:ascii="標楷體" w:eastAsia="標楷體" w:hAnsi="標楷體"/>
          <w:color w:val="000000" w:themeColor="text1"/>
          <w:sz w:val="48"/>
          <w:szCs w:val="48"/>
        </w:rPr>
        <w:t>推動。</w:t>
      </w:r>
    </w:p>
    <w:p w:rsidR="00C4030C" w:rsidRPr="00C4030C" w:rsidRDefault="00C4030C" w:rsidP="00C4030C">
      <w:pPr>
        <w:pStyle w:val="a7"/>
        <w:numPr>
          <w:ilvl w:val="0"/>
          <w:numId w:val="8"/>
        </w:numPr>
        <w:spacing w:beforeLines="50" w:before="180" w:afterLines="50" w:after="180" w:line="720" w:lineRule="exact"/>
        <w:ind w:leftChars="0" w:left="1077" w:hanging="1077"/>
        <w:rPr>
          <w:rFonts w:ascii="標楷體" w:eastAsia="標楷體" w:hAnsi="標楷體"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color w:val="000000" w:themeColor="text1"/>
          <w:sz w:val="48"/>
          <w:szCs w:val="48"/>
        </w:rPr>
        <w:t>在需求方面，政府應設計誘因，讓民眾消費更加習慣行動支付。我希望各部會除應編列相關手續費預算外，也應提出具體的優惠措施積極推廣，例如民眾若以行動支付方式繳納相關費用，可評估給予一定折扣等。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有關中央和地方政府提供之行動支付繳費服務，如水電費、停車費等，應妥適予以整合，避免造成「蚊子平台」，並應多與民間業者合作，帶動支付產業發展。請國發會促請相關部會依此一方向推動。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lastRenderedPageBreak/>
        <w:t>政府為加速推動行動支付，必須擴大結合電子票證在交通、小額支付之應用，尤其年輕族群在行動支付上扮演關鍵角色，請教育部、交通部、經濟部、金管會主動推廣。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「金融科技創新實驗條例」已於去（106）年底通過，這對於行動支付業者而言是令人振奮的消息，請金管會主動和民間業者合作，推動示範性的應用案例。此部分也可納入科技業者及新創業者。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隨著行動支付普及，紙本憑證勢必將逐步被取代，請財政部、主計總處應與時俱進，配合檢討修正現行稅務、主計作業規範；另請財政部評估電子發票無紙化之可行性，持續電子發票專屬中獎的推廣。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政府推動行動支付，是希望在此基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lastRenderedPageBreak/>
        <w:t>礎上，將民眾的其他需求一併納入，營造更便利的生活環境，請經濟部、衛福部帶頭推出民眾有感的亮點案例，如發票、稅務、公共服務的問題都可以提升，以為示範。</w:t>
      </w:r>
    </w:p>
    <w:p w:rsidR="00C4030C" w:rsidRPr="00C4030C" w:rsidRDefault="00C4030C" w:rsidP="00C4030C">
      <w:pPr>
        <w:pStyle w:val="a7"/>
        <w:numPr>
          <w:ilvl w:val="0"/>
          <w:numId w:val="10"/>
        </w:numPr>
        <w:spacing w:beforeLines="50" w:before="180" w:afterLines="50" w:after="180" w:line="720" w:lineRule="exact"/>
        <w:ind w:leftChars="0" w:left="993" w:hanging="993"/>
        <w:rPr>
          <w:rFonts w:ascii="標楷體" w:eastAsia="標楷體" w:hAnsi="標楷體"/>
          <w:bCs/>
          <w:color w:val="000000" w:themeColor="text1"/>
          <w:sz w:val="48"/>
          <w:szCs w:val="48"/>
        </w:rPr>
      </w:pP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在資通安全的加強部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分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，資安是很多人在使用行動支付的疑慮，請彙整「數位國家・創新經濟發展方案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(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簡稱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DIGI+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方案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)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」中的資安行動方案提</w:t>
      </w:r>
      <w:r w:rsidRPr="00C4030C">
        <w:rPr>
          <w:rFonts w:ascii="標楷體" w:eastAsia="標楷體" w:hAnsi="標楷體"/>
          <w:bCs/>
          <w:color w:val="000000" w:themeColor="text1"/>
          <w:sz w:val="48"/>
          <w:szCs w:val="48"/>
        </w:rPr>
        <w:t>出報告</w:t>
      </w:r>
      <w:r w:rsidRPr="00C4030C">
        <w:rPr>
          <w:rFonts w:ascii="標楷體" w:eastAsia="標楷體" w:hAnsi="標楷體" w:hint="eastAsia"/>
          <w:bCs/>
          <w:color w:val="000000" w:themeColor="text1"/>
          <w:sz w:val="48"/>
          <w:szCs w:val="48"/>
        </w:rPr>
        <w:t>，讓民眾有信心。</w:t>
      </w:r>
    </w:p>
    <w:p w:rsidR="006444B4" w:rsidRDefault="006444B4" w:rsidP="004B3EED">
      <w:pPr>
        <w:spacing w:beforeLines="100" w:before="360" w:afterLines="100" w:after="360" w:line="560" w:lineRule="exact"/>
        <w:ind w:left="2979" w:hangingChars="620" w:hanging="2979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報告事項</w:t>
      </w:r>
      <w:r w:rsidR="00C4030C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二</w:t>
      </w:r>
      <w:r w:rsidR="004B3EED">
        <w:rPr>
          <w:rFonts w:ascii="新細明體" w:eastAsia="新細明體" w:hAnsi="新細明體" w:hint="eastAsia"/>
          <w:b/>
          <w:color w:val="000000" w:themeColor="text1"/>
          <w:sz w:val="48"/>
          <w:szCs w:val="48"/>
        </w:rPr>
        <w:t>：</w:t>
      </w:r>
      <w:r w:rsidR="00C4030C" w:rsidRPr="00C4030C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法規鬆綁的成果及效益</w:t>
      </w:r>
    </w:p>
    <w:p w:rsidR="00D90FB4" w:rsidRPr="00D3067E" w:rsidRDefault="00D3067E" w:rsidP="00DB1CAC">
      <w:pPr>
        <w:spacing w:beforeLines="100" w:before="360" w:afterLines="100" w:after="360" w:line="720" w:lineRule="exact"/>
        <w:ind w:firstLineChars="200" w:firstLine="960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目前政府做的，包括蔡總統的拼經濟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三</w:t>
      </w:r>
      <w:proofErr w:type="gramEnd"/>
      <w:r>
        <w:rPr>
          <w:rFonts w:ascii="標楷體" w:eastAsia="標楷體" w:hAnsi="標楷體" w:hint="eastAsia"/>
          <w:sz w:val="48"/>
          <w:szCs w:val="48"/>
        </w:rPr>
        <w:t>方向及行政院六大原則，希望各部會確實執行，本於職責主動積極檢討推動，才有乘數效應。而法規鬆綁非常重要，要執行徹底，經濟發展才能愈來愈成功。</w:t>
      </w:r>
    </w:p>
    <w:sectPr w:rsidR="00D90FB4" w:rsidRPr="00D306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B3" w:rsidRDefault="00193DB3" w:rsidP="00A702F8">
      <w:r>
        <w:separator/>
      </w:r>
    </w:p>
  </w:endnote>
  <w:endnote w:type="continuationSeparator" w:id="0">
    <w:p w:rsidR="00193DB3" w:rsidRDefault="00193DB3" w:rsidP="00A7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072"/>
      <w:docPartObj>
        <w:docPartGallery w:val="Page Numbers (Bottom of Page)"/>
        <w:docPartUnique/>
      </w:docPartObj>
    </w:sdtPr>
    <w:sdtEndPr/>
    <w:sdtContent>
      <w:p w:rsidR="00A702F8" w:rsidRDefault="00A70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BA" w:rsidRPr="00190BBA">
          <w:rPr>
            <w:noProof/>
            <w:lang w:val="zh-TW"/>
          </w:rPr>
          <w:t>5</w:t>
        </w:r>
        <w:r>
          <w:fldChar w:fldCharType="end"/>
        </w:r>
      </w:p>
    </w:sdtContent>
  </w:sdt>
  <w:p w:rsidR="00A702F8" w:rsidRDefault="00A70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B3" w:rsidRDefault="00193DB3" w:rsidP="00A702F8">
      <w:r>
        <w:separator/>
      </w:r>
    </w:p>
  </w:footnote>
  <w:footnote w:type="continuationSeparator" w:id="0">
    <w:p w:rsidR="00193DB3" w:rsidRDefault="00193DB3" w:rsidP="00A7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63"/>
    <w:multiLevelType w:val="hybridMultilevel"/>
    <w:tmpl w:val="41D887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83EAD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85563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D191C"/>
    <w:multiLevelType w:val="hybridMultilevel"/>
    <w:tmpl w:val="197624D8"/>
    <w:lvl w:ilvl="0" w:tplc="EE04A0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0D2E17"/>
    <w:multiLevelType w:val="hybridMultilevel"/>
    <w:tmpl w:val="E3887314"/>
    <w:lvl w:ilvl="0" w:tplc="A75026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27630"/>
    <w:multiLevelType w:val="hybridMultilevel"/>
    <w:tmpl w:val="5B08D5D0"/>
    <w:lvl w:ilvl="0" w:tplc="F954AEDA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361E2"/>
    <w:multiLevelType w:val="hybridMultilevel"/>
    <w:tmpl w:val="FCEC9CEE"/>
    <w:lvl w:ilvl="0" w:tplc="3BDAA6A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0B3ECD"/>
    <w:multiLevelType w:val="hybridMultilevel"/>
    <w:tmpl w:val="EF9000CA"/>
    <w:lvl w:ilvl="0" w:tplc="16865B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1733" w:hanging="480"/>
      </w:pPr>
    </w:lvl>
    <w:lvl w:ilvl="2" w:tplc="0409001B" w:tentative="1">
      <w:start w:val="1"/>
      <w:numFmt w:val="lowerRoman"/>
      <w:lvlText w:val="%3."/>
      <w:lvlJc w:val="right"/>
      <w:pPr>
        <w:ind w:left="-1253" w:hanging="480"/>
      </w:pPr>
    </w:lvl>
    <w:lvl w:ilvl="3" w:tplc="0409000F">
      <w:start w:val="1"/>
      <w:numFmt w:val="decimal"/>
      <w:lvlText w:val="%4."/>
      <w:lvlJc w:val="left"/>
      <w:pPr>
        <w:ind w:left="-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3" w:hanging="480"/>
      </w:pPr>
    </w:lvl>
    <w:lvl w:ilvl="5" w:tplc="0409001B" w:tentative="1">
      <w:start w:val="1"/>
      <w:numFmt w:val="lowerRoman"/>
      <w:lvlText w:val="%6."/>
      <w:lvlJc w:val="right"/>
      <w:pPr>
        <w:ind w:left="187" w:hanging="480"/>
      </w:pPr>
    </w:lvl>
    <w:lvl w:ilvl="6" w:tplc="0409000F" w:tentative="1">
      <w:start w:val="1"/>
      <w:numFmt w:val="decimal"/>
      <w:lvlText w:val="%7."/>
      <w:lvlJc w:val="left"/>
      <w:pPr>
        <w:ind w:left="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7" w:hanging="480"/>
      </w:pPr>
    </w:lvl>
    <w:lvl w:ilvl="8" w:tplc="0409001B" w:tentative="1">
      <w:start w:val="1"/>
      <w:numFmt w:val="lowerRoman"/>
      <w:lvlText w:val="%9."/>
      <w:lvlJc w:val="right"/>
      <w:pPr>
        <w:ind w:left="1627" w:hanging="480"/>
      </w:pPr>
    </w:lvl>
  </w:abstractNum>
  <w:abstractNum w:abstractNumId="9">
    <w:nsid w:val="6097489C"/>
    <w:multiLevelType w:val="hybridMultilevel"/>
    <w:tmpl w:val="26920180"/>
    <w:lvl w:ilvl="0" w:tplc="0B8C7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DE5B4E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3E1F9F"/>
    <w:multiLevelType w:val="hybridMultilevel"/>
    <w:tmpl w:val="A19428E6"/>
    <w:lvl w:ilvl="0" w:tplc="A75026B0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5F1B51"/>
    <w:multiLevelType w:val="hybridMultilevel"/>
    <w:tmpl w:val="41D887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AD5650"/>
    <w:multiLevelType w:val="hybridMultilevel"/>
    <w:tmpl w:val="222419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216DA6"/>
    <w:multiLevelType w:val="hybridMultilevel"/>
    <w:tmpl w:val="365CE282"/>
    <w:lvl w:ilvl="0" w:tplc="79484786">
      <w:start w:val="1"/>
      <w:numFmt w:val="taiwaneseCountingThousand"/>
      <w:lvlText w:val="(%1)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8"/>
    <w:rsid w:val="0000533C"/>
    <w:rsid w:val="00013E1E"/>
    <w:rsid w:val="0002224E"/>
    <w:rsid w:val="000276FD"/>
    <w:rsid w:val="00055066"/>
    <w:rsid w:val="00076FA6"/>
    <w:rsid w:val="000827CA"/>
    <w:rsid w:val="000849C0"/>
    <w:rsid w:val="000A45D7"/>
    <w:rsid w:val="000A5EBA"/>
    <w:rsid w:val="000B6452"/>
    <w:rsid w:val="000C1D5B"/>
    <w:rsid w:val="000C4EB2"/>
    <w:rsid w:val="000D1DA4"/>
    <w:rsid w:val="000D4AE0"/>
    <w:rsid w:val="000D5EF4"/>
    <w:rsid w:val="000D63C3"/>
    <w:rsid w:val="00103589"/>
    <w:rsid w:val="00103E6C"/>
    <w:rsid w:val="001123CE"/>
    <w:rsid w:val="001130E9"/>
    <w:rsid w:val="00124D28"/>
    <w:rsid w:val="001358B2"/>
    <w:rsid w:val="001651F1"/>
    <w:rsid w:val="00167EC5"/>
    <w:rsid w:val="0017219B"/>
    <w:rsid w:val="00181493"/>
    <w:rsid w:val="00190BBA"/>
    <w:rsid w:val="00192818"/>
    <w:rsid w:val="001939F5"/>
    <w:rsid w:val="00193DB3"/>
    <w:rsid w:val="001A592C"/>
    <w:rsid w:val="001F7832"/>
    <w:rsid w:val="00204E02"/>
    <w:rsid w:val="00221D34"/>
    <w:rsid w:val="002246D7"/>
    <w:rsid w:val="00227F2F"/>
    <w:rsid w:val="00234A8D"/>
    <w:rsid w:val="00235752"/>
    <w:rsid w:val="0023769A"/>
    <w:rsid w:val="00237F5F"/>
    <w:rsid w:val="0024267E"/>
    <w:rsid w:val="00253C34"/>
    <w:rsid w:val="00271AD2"/>
    <w:rsid w:val="00271E2D"/>
    <w:rsid w:val="002722AB"/>
    <w:rsid w:val="002A4865"/>
    <w:rsid w:val="002A5602"/>
    <w:rsid w:val="002B0262"/>
    <w:rsid w:val="002C206D"/>
    <w:rsid w:val="002C25BB"/>
    <w:rsid w:val="002C2DE0"/>
    <w:rsid w:val="002C4B0B"/>
    <w:rsid w:val="002C6315"/>
    <w:rsid w:val="002D1139"/>
    <w:rsid w:val="002D36F1"/>
    <w:rsid w:val="002F1544"/>
    <w:rsid w:val="002F33C2"/>
    <w:rsid w:val="00306198"/>
    <w:rsid w:val="00307044"/>
    <w:rsid w:val="00314664"/>
    <w:rsid w:val="00315FF0"/>
    <w:rsid w:val="00332248"/>
    <w:rsid w:val="00334762"/>
    <w:rsid w:val="00355B37"/>
    <w:rsid w:val="003624D6"/>
    <w:rsid w:val="00371BCC"/>
    <w:rsid w:val="00394F5A"/>
    <w:rsid w:val="003A4238"/>
    <w:rsid w:val="003B635E"/>
    <w:rsid w:val="003C4641"/>
    <w:rsid w:val="003C4D80"/>
    <w:rsid w:val="003C5748"/>
    <w:rsid w:val="003D4DB5"/>
    <w:rsid w:val="003D4FF1"/>
    <w:rsid w:val="003E44FC"/>
    <w:rsid w:val="003F2365"/>
    <w:rsid w:val="00402E74"/>
    <w:rsid w:val="004137CC"/>
    <w:rsid w:val="004225D5"/>
    <w:rsid w:val="0044755E"/>
    <w:rsid w:val="0045718A"/>
    <w:rsid w:val="00462F72"/>
    <w:rsid w:val="0047546E"/>
    <w:rsid w:val="00492432"/>
    <w:rsid w:val="00494882"/>
    <w:rsid w:val="004A7B05"/>
    <w:rsid w:val="004B23D5"/>
    <w:rsid w:val="004B3A86"/>
    <w:rsid w:val="004B3EED"/>
    <w:rsid w:val="004C0C0A"/>
    <w:rsid w:val="004C438E"/>
    <w:rsid w:val="004D2FFB"/>
    <w:rsid w:val="004E2649"/>
    <w:rsid w:val="004F46AA"/>
    <w:rsid w:val="00514848"/>
    <w:rsid w:val="0052083A"/>
    <w:rsid w:val="005215C4"/>
    <w:rsid w:val="00526FCA"/>
    <w:rsid w:val="00533D14"/>
    <w:rsid w:val="005343C3"/>
    <w:rsid w:val="005372A1"/>
    <w:rsid w:val="00540F09"/>
    <w:rsid w:val="00596222"/>
    <w:rsid w:val="005C7B26"/>
    <w:rsid w:val="005D7C5E"/>
    <w:rsid w:val="005E3F9B"/>
    <w:rsid w:val="005F4B36"/>
    <w:rsid w:val="00614B6C"/>
    <w:rsid w:val="00636E66"/>
    <w:rsid w:val="006444B4"/>
    <w:rsid w:val="00646A69"/>
    <w:rsid w:val="00660023"/>
    <w:rsid w:val="00660D88"/>
    <w:rsid w:val="006E48D0"/>
    <w:rsid w:val="00711113"/>
    <w:rsid w:val="00725D14"/>
    <w:rsid w:val="00731E34"/>
    <w:rsid w:val="00735E43"/>
    <w:rsid w:val="0075058B"/>
    <w:rsid w:val="00754529"/>
    <w:rsid w:val="00770CED"/>
    <w:rsid w:val="00785654"/>
    <w:rsid w:val="007866E5"/>
    <w:rsid w:val="00793546"/>
    <w:rsid w:val="007A1EA1"/>
    <w:rsid w:val="007B39EB"/>
    <w:rsid w:val="007C6858"/>
    <w:rsid w:val="007E25BC"/>
    <w:rsid w:val="007F4EB3"/>
    <w:rsid w:val="007F60C1"/>
    <w:rsid w:val="008028F8"/>
    <w:rsid w:val="00807F18"/>
    <w:rsid w:val="0081584B"/>
    <w:rsid w:val="0083131E"/>
    <w:rsid w:val="0083327B"/>
    <w:rsid w:val="00836E47"/>
    <w:rsid w:val="00870FE2"/>
    <w:rsid w:val="0087482A"/>
    <w:rsid w:val="00894C53"/>
    <w:rsid w:val="00895B7B"/>
    <w:rsid w:val="008A0DB7"/>
    <w:rsid w:val="008C0161"/>
    <w:rsid w:val="008C2C24"/>
    <w:rsid w:val="008D159E"/>
    <w:rsid w:val="008D38F9"/>
    <w:rsid w:val="008F4751"/>
    <w:rsid w:val="009001EA"/>
    <w:rsid w:val="00902380"/>
    <w:rsid w:val="00903679"/>
    <w:rsid w:val="00912E03"/>
    <w:rsid w:val="00933F67"/>
    <w:rsid w:val="00957DCC"/>
    <w:rsid w:val="00981981"/>
    <w:rsid w:val="009C3CBC"/>
    <w:rsid w:val="009C7D28"/>
    <w:rsid w:val="009D2E25"/>
    <w:rsid w:val="009E54FE"/>
    <w:rsid w:val="009E640E"/>
    <w:rsid w:val="009F09C7"/>
    <w:rsid w:val="009F4E00"/>
    <w:rsid w:val="00A04E83"/>
    <w:rsid w:val="00A17B17"/>
    <w:rsid w:val="00A34C2F"/>
    <w:rsid w:val="00A447AD"/>
    <w:rsid w:val="00A50184"/>
    <w:rsid w:val="00A6383C"/>
    <w:rsid w:val="00A675A5"/>
    <w:rsid w:val="00A70266"/>
    <w:rsid w:val="00A702F8"/>
    <w:rsid w:val="00A7368D"/>
    <w:rsid w:val="00A81457"/>
    <w:rsid w:val="00A8407E"/>
    <w:rsid w:val="00A900C5"/>
    <w:rsid w:val="00A901EB"/>
    <w:rsid w:val="00A933A3"/>
    <w:rsid w:val="00AA4184"/>
    <w:rsid w:val="00AB516E"/>
    <w:rsid w:val="00AC0503"/>
    <w:rsid w:val="00AC30BF"/>
    <w:rsid w:val="00AD7AD9"/>
    <w:rsid w:val="00AE0884"/>
    <w:rsid w:val="00AE52CD"/>
    <w:rsid w:val="00AF1E96"/>
    <w:rsid w:val="00AF548C"/>
    <w:rsid w:val="00B0552F"/>
    <w:rsid w:val="00B12B6B"/>
    <w:rsid w:val="00B277B2"/>
    <w:rsid w:val="00B34D6E"/>
    <w:rsid w:val="00B356AE"/>
    <w:rsid w:val="00B466C8"/>
    <w:rsid w:val="00B8157A"/>
    <w:rsid w:val="00B95749"/>
    <w:rsid w:val="00BA42AE"/>
    <w:rsid w:val="00BA4BFC"/>
    <w:rsid w:val="00BA61A2"/>
    <w:rsid w:val="00BB218D"/>
    <w:rsid w:val="00BC01DD"/>
    <w:rsid w:val="00BC7489"/>
    <w:rsid w:val="00BC7D2E"/>
    <w:rsid w:val="00BE4E46"/>
    <w:rsid w:val="00C105DF"/>
    <w:rsid w:val="00C15183"/>
    <w:rsid w:val="00C1604D"/>
    <w:rsid w:val="00C368D6"/>
    <w:rsid w:val="00C4030C"/>
    <w:rsid w:val="00C51792"/>
    <w:rsid w:val="00C63FF1"/>
    <w:rsid w:val="00C724B7"/>
    <w:rsid w:val="00C80E6D"/>
    <w:rsid w:val="00CB090B"/>
    <w:rsid w:val="00CB5F9D"/>
    <w:rsid w:val="00CB6DEE"/>
    <w:rsid w:val="00CE2793"/>
    <w:rsid w:val="00CF3698"/>
    <w:rsid w:val="00CF4F1A"/>
    <w:rsid w:val="00D04E99"/>
    <w:rsid w:val="00D103E8"/>
    <w:rsid w:val="00D20D72"/>
    <w:rsid w:val="00D3067E"/>
    <w:rsid w:val="00D318C9"/>
    <w:rsid w:val="00D500DC"/>
    <w:rsid w:val="00D51267"/>
    <w:rsid w:val="00D53642"/>
    <w:rsid w:val="00D55B52"/>
    <w:rsid w:val="00D90FB4"/>
    <w:rsid w:val="00D92243"/>
    <w:rsid w:val="00D94E2E"/>
    <w:rsid w:val="00DA5178"/>
    <w:rsid w:val="00DA6F35"/>
    <w:rsid w:val="00DB1CAC"/>
    <w:rsid w:val="00DD2E2F"/>
    <w:rsid w:val="00DE62A4"/>
    <w:rsid w:val="00DE69EE"/>
    <w:rsid w:val="00DF231E"/>
    <w:rsid w:val="00E0564B"/>
    <w:rsid w:val="00E11F4C"/>
    <w:rsid w:val="00E3251D"/>
    <w:rsid w:val="00E336BD"/>
    <w:rsid w:val="00E403AA"/>
    <w:rsid w:val="00E53B02"/>
    <w:rsid w:val="00E53F84"/>
    <w:rsid w:val="00E560E6"/>
    <w:rsid w:val="00E665E7"/>
    <w:rsid w:val="00E711FC"/>
    <w:rsid w:val="00E81EF0"/>
    <w:rsid w:val="00E930A8"/>
    <w:rsid w:val="00EC07CC"/>
    <w:rsid w:val="00ED6375"/>
    <w:rsid w:val="00EE782A"/>
    <w:rsid w:val="00EF4B38"/>
    <w:rsid w:val="00EF5FBD"/>
    <w:rsid w:val="00F12AF4"/>
    <w:rsid w:val="00F35CF3"/>
    <w:rsid w:val="00F40C98"/>
    <w:rsid w:val="00F451A3"/>
    <w:rsid w:val="00F54268"/>
    <w:rsid w:val="00F6648E"/>
    <w:rsid w:val="00F6654E"/>
    <w:rsid w:val="00FA00D3"/>
    <w:rsid w:val="00FA3A3F"/>
    <w:rsid w:val="00FC2BFA"/>
    <w:rsid w:val="00FD5633"/>
    <w:rsid w:val="00FD7512"/>
    <w:rsid w:val="00FE5E2F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2F33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51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6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721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2F33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51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6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721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C83E-5F49-453F-9801-286797D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吳明蕙</dc:creator>
  <cp:lastModifiedBy>吳明修</cp:lastModifiedBy>
  <cp:revision>14</cp:revision>
  <cp:lastPrinted>2017-12-05T09:44:00Z</cp:lastPrinted>
  <dcterms:created xsi:type="dcterms:W3CDTF">2018-01-09T06:17:00Z</dcterms:created>
  <dcterms:modified xsi:type="dcterms:W3CDTF">2018-02-06T07:07:00Z</dcterms:modified>
</cp:coreProperties>
</file>