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F388" w14:textId="77777777" w:rsidR="004D28BC" w:rsidRPr="009B7696" w:rsidRDefault="00A11FE5" w:rsidP="007E253F">
      <w:pPr>
        <w:jc w:val="both"/>
        <w:rPr>
          <w:color w:val="000000" w:themeColor="text1"/>
        </w:rPr>
      </w:pPr>
      <w:r w:rsidRPr="009B7696">
        <w:rPr>
          <w:rFonts w:ascii="Calibri" w:hAnsi="Calibri"/>
          <w:noProof/>
          <w:color w:val="000000" w:themeColor="text1"/>
        </w:rPr>
        <w:drawing>
          <wp:inline distT="0" distB="0" distL="0" distR="0" wp14:anchorId="6504520F" wp14:editId="71CCF9FD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743C" w14:textId="77777777" w:rsidR="00A04C46" w:rsidRPr="009B7696" w:rsidRDefault="00A11FE5" w:rsidP="00380F9D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9B7696">
        <w:rPr>
          <w:rFonts w:asciiTheme="minorEastAsia" w:hAnsiTheme="minorEastAsia" w:cs="Times New Roman"/>
          <w:b/>
          <w:bCs/>
          <w:color w:val="000000" w:themeColor="text1"/>
          <w:sz w:val="36"/>
          <w:szCs w:val="36"/>
        </w:rPr>
        <w:t>國家發展委員會 新聞稿</w:t>
      </w:r>
    </w:p>
    <w:p w14:paraId="4539F4BE" w14:textId="6E6C21DC" w:rsidR="00A11FE5" w:rsidRPr="00AA7A00" w:rsidRDefault="00B93276" w:rsidP="009D42B7">
      <w:pPr>
        <w:tabs>
          <w:tab w:val="center" w:pos="4185"/>
          <w:tab w:val="left" w:pos="6960"/>
        </w:tabs>
        <w:spacing w:beforeLines="100" w:before="360" w:line="0" w:lineRule="atLeast"/>
        <w:ind w:leftChars="-118" w:left="-2" w:rightChars="-142" w:right="-341" w:hangingChars="78" w:hanging="281"/>
        <w:jc w:val="center"/>
        <w:rPr>
          <w:rFonts w:asciiTheme="minorEastAsia" w:hAnsiTheme="minorEastAsia" w:cs="Times New Roman"/>
          <w:b/>
          <w:bCs/>
          <w:kern w:val="0"/>
          <w:sz w:val="36"/>
          <w:szCs w:val="36"/>
        </w:rPr>
      </w:pPr>
      <w:r w:rsidRPr="00AA7A00">
        <w:rPr>
          <w:rFonts w:asciiTheme="minorEastAsia" w:hAnsiTheme="minorEastAsia" w:cs="Times New Roman"/>
          <w:b/>
          <w:bCs/>
          <w:kern w:val="0"/>
          <w:sz w:val="36"/>
          <w:szCs w:val="36"/>
        </w:rPr>
        <w:t>1</w:t>
      </w:r>
      <w:r w:rsidRPr="00AA7A00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1</w:t>
      </w:r>
      <w:r w:rsidR="004E2A90" w:rsidRPr="00AA7A00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2</w:t>
      </w:r>
      <w:r w:rsidR="00A11FE5" w:rsidRPr="00AA7A00">
        <w:rPr>
          <w:rFonts w:asciiTheme="minorEastAsia" w:hAnsiTheme="minorEastAsia" w:cs="Times New Roman"/>
          <w:b/>
          <w:bCs/>
          <w:kern w:val="0"/>
          <w:sz w:val="36"/>
          <w:szCs w:val="36"/>
        </w:rPr>
        <w:t>年</w:t>
      </w:r>
      <w:r w:rsidR="006F6C19" w:rsidRPr="00AA7A00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1</w:t>
      </w:r>
      <w:r w:rsidR="00A11FE5" w:rsidRPr="00AA7A00">
        <w:rPr>
          <w:rFonts w:asciiTheme="minorEastAsia" w:hAnsiTheme="minorEastAsia" w:cs="Times New Roman"/>
          <w:b/>
          <w:bCs/>
          <w:kern w:val="0"/>
          <w:sz w:val="36"/>
          <w:szCs w:val="36"/>
        </w:rPr>
        <w:t>月</w:t>
      </w:r>
      <w:r w:rsidR="00EE6609" w:rsidRPr="00AA7A00">
        <w:rPr>
          <w:rFonts w:asciiTheme="minorEastAsia" w:hAnsiTheme="minorEastAsia" w:cs="Times New Roman" w:hint="eastAsia"/>
          <w:b/>
          <w:bCs/>
          <w:kern w:val="0"/>
          <w:sz w:val="36"/>
          <w:szCs w:val="36"/>
          <w:lang w:eastAsia="zh-HK"/>
        </w:rPr>
        <w:t>份</w:t>
      </w:r>
      <w:r w:rsidR="00A11FE5" w:rsidRPr="00AA7A00">
        <w:rPr>
          <w:rFonts w:asciiTheme="minorEastAsia" w:hAnsiTheme="minorEastAsia" w:cs="Times New Roman"/>
          <w:b/>
          <w:bCs/>
          <w:kern w:val="0"/>
          <w:sz w:val="36"/>
          <w:szCs w:val="36"/>
        </w:rPr>
        <w:t>景氣概況</w:t>
      </w:r>
    </w:p>
    <w:p w14:paraId="5B6EF9C9" w14:textId="77777777" w:rsidR="00577920" w:rsidRPr="00AA7A00" w:rsidRDefault="00577920" w:rsidP="00577920">
      <w:pPr>
        <w:tabs>
          <w:tab w:val="left" w:pos="6120"/>
        </w:tabs>
        <w:spacing w:line="280" w:lineRule="exact"/>
        <w:jc w:val="center"/>
        <w:rPr>
          <w:rFonts w:asciiTheme="minorEastAsia" w:hAnsiTheme="minorEastAsia" w:cs="Times New Roman"/>
        </w:rPr>
      </w:pPr>
    </w:p>
    <w:p w14:paraId="4B7168EA" w14:textId="4A3F5D4A" w:rsidR="00A04C46" w:rsidRPr="00AA7A00" w:rsidRDefault="00A04C46" w:rsidP="00577920">
      <w:pPr>
        <w:spacing w:line="0" w:lineRule="atLeast"/>
        <w:rPr>
          <w:rFonts w:asciiTheme="minorEastAsia" w:hAnsiTheme="minorEastAsia" w:cs="Times New Roman"/>
          <w:bCs/>
          <w:sz w:val="28"/>
          <w:szCs w:val="28"/>
        </w:rPr>
      </w:pPr>
      <w:r w:rsidRPr="00AA7A00">
        <w:rPr>
          <w:rFonts w:asciiTheme="minorEastAsia" w:hAnsiTheme="minorEastAsia" w:cs="Times New Roman"/>
          <w:bCs/>
          <w:sz w:val="28"/>
          <w:szCs w:val="28"/>
        </w:rPr>
        <w:t>發布日期：1</w:t>
      </w:r>
      <w:r w:rsidR="00A86563" w:rsidRPr="00AA7A00">
        <w:rPr>
          <w:rFonts w:asciiTheme="minorEastAsia" w:hAnsiTheme="minorEastAsia" w:cs="Times New Roman" w:hint="eastAsia"/>
          <w:bCs/>
          <w:sz w:val="28"/>
          <w:szCs w:val="28"/>
        </w:rPr>
        <w:t>1</w:t>
      </w:r>
      <w:r w:rsidR="00BE2B23" w:rsidRPr="00AA7A00">
        <w:rPr>
          <w:rFonts w:asciiTheme="minorEastAsia" w:hAnsiTheme="minorEastAsia" w:cs="Times New Roman"/>
          <w:bCs/>
          <w:sz w:val="28"/>
          <w:szCs w:val="28"/>
        </w:rPr>
        <w:t>2</w:t>
      </w:r>
      <w:r w:rsidRPr="00AA7A00">
        <w:rPr>
          <w:rFonts w:asciiTheme="minorEastAsia" w:hAnsiTheme="minorEastAsia" w:cs="Times New Roman"/>
          <w:bCs/>
          <w:sz w:val="28"/>
          <w:szCs w:val="28"/>
        </w:rPr>
        <w:t>年</w:t>
      </w:r>
      <w:r w:rsidR="006810C9" w:rsidRPr="00AA7A00">
        <w:rPr>
          <w:rFonts w:asciiTheme="minorEastAsia" w:hAnsiTheme="minorEastAsia" w:cs="Times New Roman" w:hint="eastAsia"/>
          <w:bCs/>
          <w:sz w:val="28"/>
          <w:szCs w:val="28"/>
        </w:rPr>
        <w:t>3</w:t>
      </w:r>
      <w:r w:rsidRPr="00AA7A00">
        <w:rPr>
          <w:rFonts w:asciiTheme="minorEastAsia" w:hAnsiTheme="minorEastAsia" w:cs="Times New Roman"/>
          <w:bCs/>
          <w:sz w:val="28"/>
          <w:szCs w:val="28"/>
        </w:rPr>
        <w:t>月</w:t>
      </w:r>
      <w:r w:rsidR="006810C9" w:rsidRPr="00AA7A00">
        <w:rPr>
          <w:rFonts w:asciiTheme="minorEastAsia" w:hAnsiTheme="minorEastAsia" w:cs="Times New Roman" w:hint="eastAsia"/>
          <w:bCs/>
          <w:sz w:val="28"/>
          <w:szCs w:val="28"/>
        </w:rPr>
        <w:t>1</w:t>
      </w:r>
      <w:r w:rsidRPr="00AA7A00">
        <w:rPr>
          <w:rFonts w:asciiTheme="minorEastAsia" w:hAnsiTheme="minorEastAsia" w:cs="Times New Roman"/>
          <w:bCs/>
          <w:sz w:val="28"/>
          <w:szCs w:val="28"/>
        </w:rPr>
        <w:t>日</w:t>
      </w:r>
    </w:p>
    <w:p w14:paraId="58D2AB21" w14:textId="77777777" w:rsidR="007C7FB3" w:rsidRPr="00AA7A00" w:rsidRDefault="00A04C46" w:rsidP="009D42B7">
      <w:pPr>
        <w:spacing w:afterLines="50" w:after="180" w:line="0" w:lineRule="atLeast"/>
        <w:rPr>
          <w:rFonts w:ascii="Times New Roman" w:eastAsia="標楷體" w:hAnsi="Times New Roman" w:cs="Times New Roman"/>
        </w:rPr>
      </w:pPr>
      <w:r w:rsidRPr="00AA7A00">
        <w:rPr>
          <w:rFonts w:asciiTheme="minorEastAsia" w:hAnsiTheme="minorEastAsia" w:cs="Times New Roman" w:hint="eastAsia"/>
          <w:bCs/>
          <w:sz w:val="28"/>
          <w:szCs w:val="28"/>
        </w:rPr>
        <w:t>發布單位：經濟發展處</w:t>
      </w:r>
    </w:p>
    <w:p w14:paraId="24FBEDD4" w14:textId="3620D412" w:rsidR="002E608F" w:rsidRPr="00A24510" w:rsidRDefault="00195851" w:rsidP="002E608F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054C8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6810C9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</w:t>
      </w:r>
      <w:r w:rsidR="00054C8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年</w:t>
      </w:r>
      <w:r w:rsidR="006F6C19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054C8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月景氣對策信號綜合判斷分數為</w:t>
      </w:r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054C8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分，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較</w:t>
      </w:r>
      <w:r w:rsidR="008E40A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上月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減少1分</w:t>
      </w:r>
      <w:r w:rsidR="008E40A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，燈號</w:t>
      </w:r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AD6D9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</w:t>
      </w:r>
      <w:r w:rsidR="00DD2A1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藍</w:t>
      </w:r>
      <w:r w:rsidR="00AD6D9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</w:t>
      </w:r>
      <w:r w:rsidR="00054C8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；</w:t>
      </w:r>
      <w:r w:rsidR="002E5199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景氣領先指標經回溯修正後呈連續3個月上升，同時指標則續呈下跌，仍須密切關注景氣後續變化</w:t>
      </w:r>
      <w:r w:rsidR="00333E08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2FAB2B54" w14:textId="5CE86D27" w:rsidR="007C71CE" w:rsidRPr="00A24510" w:rsidRDefault="00F501A6" w:rsidP="0023799B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proofErr w:type="gramStart"/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受通膨</w:t>
      </w:r>
      <w:proofErr w:type="gramEnd"/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及升息影響，全球經濟成長動能疲弱，終端市場需求低迷，且產業鏈持續調整庫存，致1月份生產面、貿易面、金融面、信心面</w:t>
      </w:r>
      <w:proofErr w:type="gramStart"/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指標均續呈</w:t>
      </w:r>
      <w:proofErr w:type="gramEnd"/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疲弱，</w:t>
      </w:r>
      <w:proofErr w:type="gramStart"/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惟內需</w:t>
      </w:r>
      <w:proofErr w:type="gramEnd"/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消費持續熱絡，零售及餐飲業</w:t>
      </w:r>
      <w:proofErr w:type="gramStart"/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營業額均較去年</w:t>
      </w:r>
      <w:proofErr w:type="gramEnd"/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同期擴增</w:t>
      </w:r>
      <w:r w:rsidR="00817A7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6F2AFCF3" w14:textId="45C85B44" w:rsidR="00D32242" w:rsidRPr="00A24510" w:rsidRDefault="00333E08" w:rsidP="00414B49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展望未來，</w:t>
      </w:r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為減緩外需下滑對國內經濟之衝擊，政府已提出</w:t>
      </w:r>
      <w:proofErr w:type="gramStart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疫</w:t>
      </w:r>
      <w:proofErr w:type="gramEnd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後強化經濟與社會韌性及全民共享經濟成果特別預算案，將有助於提振我國經濟表現。由於全球經貿成長動能低緩，恐持續牽制我國出口表現；投資方面，國內半導體供應鏈、</w:t>
      </w:r>
      <w:proofErr w:type="gramStart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綠能投資</w:t>
      </w:r>
      <w:proofErr w:type="gramEnd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持續，以及投資台灣三大方案延續，加以跨境旅遊增加致航空器購置也相應擴增，且政府擴大公共建設預算，</w:t>
      </w:r>
      <w:proofErr w:type="gramStart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均有助</w:t>
      </w:r>
      <w:proofErr w:type="gramEnd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支撐投資動能；內需方面，隨</w:t>
      </w:r>
      <w:proofErr w:type="gramStart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疫</w:t>
      </w:r>
      <w:proofErr w:type="gramEnd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情管制措施陸續鬆綁，消費動能</w:t>
      </w:r>
      <w:proofErr w:type="gramStart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可望續溫</w:t>
      </w:r>
      <w:proofErr w:type="gramEnd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  <w:proofErr w:type="gramStart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惟通膨</w:t>
      </w:r>
      <w:proofErr w:type="gramEnd"/>
      <w:r w:rsidR="00F501A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及升息壓力續存，俄烏戰爭未歇，加以美中科技戰持續，全球經濟下行風險仍高，須密切關注後續發展，適時因應</w:t>
      </w:r>
      <w:r w:rsidR="00142DE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03F2FC6E" w14:textId="7D137A18" w:rsidR="00426423" w:rsidRDefault="00426423" w:rsidP="009B32C2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6F3FDD95" w14:textId="77777777" w:rsidR="00AF3C3A" w:rsidRPr="00A24510" w:rsidRDefault="00AF3C3A" w:rsidP="009B32C2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5B1ED87B" w14:textId="77777777" w:rsidR="00C369E1" w:rsidRPr="00A24510" w:rsidRDefault="00FB6318" w:rsidP="00D32242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lastRenderedPageBreak/>
        <w:t>1.</w:t>
      </w:r>
      <w:r w:rsidR="00C369E1" w:rsidRPr="00A24510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景氣對策信號（詳圖</w:t>
      </w:r>
      <w:r w:rsidR="00F25204" w:rsidRPr="00A2451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1</w:t>
      </w:r>
      <w:r w:rsidR="00C369E1" w:rsidRPr="00A24510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、圖</w:t>
      </w:r>
      <w:r w:rsidR="00F25204" w:rsidRPr="00A2451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2</w:t>
      </w:r>
      <w:r w:rsidR="00C369E1" w:rsidRPr="00A24510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）</w:t>
      </w:r>
    </w:p>
    <w:p w14:paraId="4963C94A" w14:textId="4C7A9E13" w:rsidR="00DF4810" w:rsidRPr="00A24510" w:rsidRDefault="00E870D6" w:rsidP="00DD2A12">
      <w:pPr>
        <w:pStyle w:val="k02"/>
        <w:tabs>
          <w:tab w:val="clear" w:pos="960"/>
          <w:tab w:val="clear" w:pos="2880"/>
          <w:tab w:val="clear" w:pos="3840"/>
          <w:tab w:val="clear" w:pos="4800"/>
        </w:tabs>
        <w:spacing w:before="240" w:after="240" w:line="56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11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</w:t>
      </w:r>
      <w:r w:rsidR="0067753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年</w:t>
      </w:r>
      <w:r w:rsidR="00EF3250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95739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月為</w:t>
      </w:r>
      <w:r w:rsidR="00DD2A1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5E77B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分，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較上月減少1分</w:t>
      </w:r>
      <w:r w:rsidR="00AA50F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，燈號</w:t>
      </w:r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DD2A1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呈藍</w:t>
      </w:r>
      <w:r w:rsidR="00AD6D9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</w:t>
      </w:r>
      <w:r w:rsidR="0095739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  <w:r w:rsidR="00375258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9項構成項目中</w:t>
      </w:r>
      <w:r w:rsidR="002B5F31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，海關出口值由藍燈轉呈黃藍燈，分數增加1分</w:t>
      </w:r>
      <w:r w:rsidR="00AD6D9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貨幣總計數M1B</w:t>
      </w:r>
      <w:r w:rsidR="00D0537F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、</w:t>
      </w:r>
      <w:r w:rsidR="00306C46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批發、零售及餐飲業</w:t>
      </w:r>
      <w:proofErr w:type="gramStart"/>
      <w:r w:rsidR="00306C46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營業額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均</w:t>
      </w:r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</w:t>
      </w:r>
      <w:r w:rsidR="002B5F31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黃</w:t>
      </w:r>
      <w:proofErr w:type="gramEnd"/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藍</w:t>
      </w:r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燈轉呈藍燈，</w:t>
      </w:r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分數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各</w:t>
      </w:r>
      <w:r w:rsidR="002B5F31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減少</w:t>
      </w:r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1分</w:t>
      </w:r>
      <w:r w:rsidR="00375258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；其餘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6</w:t>
      </w:r>
      <w:r w:rsidR="00375258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項燈號不變。</w:t>
      </w:r>
      <w:r w:rsidR="0067753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個別構成項目說明如下</w:t>
      </w:r>
      <w:r w:rsidR="00FA666A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：</w:t>
      </w:r>
    </w:p>
    <w:p w14:paraId="142DF739" w14:textId="77EC840E" w:rsidR="00AB44CC" w:rsidRPr="00A24510" w:rsidRDefault="00C369E1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貨幣</w:t>
      </w:r>
      <w:r w:rsidR="00FA666A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總計數M1B變動率：</w:t>
      </w:r>
      <w:r w:rsidR="00AB44C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4.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AB44C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DD2A1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="00AB44C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2.3</w:t>
      </w:r>
      <w:r w:rsidR="00AB44C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</w:t>
      </w:r>
      <w:r w:rsidR="00D0537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轉</w:t>
      </w:r>
      <w:r w:rsidR="00EF3250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呈藍燈</w:t>
      </w:r>
      <w:r w:rsidR="00AB44C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4272094B" w14:textId="12B7F2DD" w:rsidR="008A35B2" w:rsidRPr="00A24510" w:rsidRDefault="00FA666A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股價指數變動率：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-1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8.7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至-</w:t>
      </w:r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9.2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8A35B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，燈號</w:t>
      </w:r>
      <w:r w:rsidR="00EF3250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呈藍燈</w:t>
      </w:r>
      <w:r w:rsidR="008A35B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2BDB55F1" w14:textId="7ABD43E5" w:rsidR="008A35B2" w:rsidRPr="00A24510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工業生產指數變動率：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proofErr w:type="gramStart"/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下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修值</w:t>
      </w:r>
      <w:proofErr w:type="gramEnd"/>
      <w:r w:rsidR="00EF3250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5.7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DD2A1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11.5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燈號</w:t>
      </w:r>
      <w:r w:rsidR="00EF3250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DD2A1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呈藍燈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187CD446" w14:textId="46847448" w:rsidR="008A35B2" w:rsidRPr="00A24510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非農業部門就業人數變動率：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EF3250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-0.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0.2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燈號</w:t>
      </w:r>
      <w:r w:rsidR="00EB010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呈藍燈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07E82D1E" w14:textId="1221F0C6" w:rsidR="008A35B2" w:rsidRPr="00A24510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bookmarkStart w:id="0" w:name="OLE_LINK1"/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海關出口</w:t>
      </w:r>
      <w:bookmarkEnd w:id="0"/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值變動率：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9.0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0.3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</w:t>
      </w:r>
      <w:r w:rsidR="00E1444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燈號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轉</w:t>
      </w:r>
      <w:r w:rsidR="00EB010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黃</w:t>
      </w:r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藍</w:t>
      </w:r>
      <w:r w:rsidR="00EB010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71178766" w14:textId="6D4B439D" w:rsidR="008A35B2" w:rsidRPr="00A24510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機械及電機設備進口值變動率：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-2.8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5.9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="00DD2A1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燈號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DD2A1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</w:t>
      </w:r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黃藍</w:t>
      </w:r>
      <w:r w:rsidR="00DD2A1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2EB25A67" w14:textId="3D9CA985" w:rsidR="008A35B2" w:rsidRPr="00A24510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製造業銷售量指數變動率：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proofErr w:type="gramStart"/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下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修值</w:t>
      </w:r>
      <w:proofErr w:type="gramEnd"/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12.1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%減</w:t>
      </w:r>
      <w:r w:rsidR="007E5581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少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EB010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</w:t>
      </w:r>
      <w:r w:rsidR="00EB0103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 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14.3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="00DF629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燈號</w:t>
      </w:r>
      <w:r w:rsidR="00EB010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A614F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呈藍燈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0B42EF1F" w14:textId="3305026C" w:rsidR="008A35B2" w:rsidRPr="00A24510" w:rsidRDefault="008A35B2" w:rsidP="00EB010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bookmarkStart w:id="1" w:name="_Hlk122709124"/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批發、零售及餐飲業營業額</w:t>
      </w:r>
      <w:bookmarkEnd w:id="1"/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變動率：</w:t>
      </w:r>
      <w:r w:rsidR="00106981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1C7554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0.8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</w:t>
      </w:r>
      <w:r w:rsidR="00F111BD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  </w:t>
      </w:r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F111B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3.9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</w:t>
      </w:r>
      <w:r w:rsidR="000A51B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燈號</w:t>
      </w:r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轉</w:t>
      </w:r>
      <w:r w:rsidR="00EB010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</w:t>
      </w:r>
      <w:r w:rsidR="00306C4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藍</w:t>
      </w:r>
      <w:r w:rsidR="00EB010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</w:t>
      </w:r>
      <w:r w:rsidR="000A51B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3B07B3C4" w14:textId="1B004950" w:rsidR="001E5938" w:rsidRPr="00AF3C3A" w:rsidRDefault="008A35B2" w:rsidP="00AF3C3A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6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F3C3A">
        <w:rPr>
          <w:rFonts w:asciiTheme="minorEastAsia" w:eastAsiaTheme="minorEastAsia" w:hAnsiTheme="minorEastAsia"/>
          <w:color w:val="000000" w:themeColor="text1"/>
          <w:sz w:val="32"/>
          <w:szCs w:val="32"/>
        </w:rPr>
        <w:t>製造業營業氣候測驗點：</w:t>
      </w:r>
      <w:r w:rsidR="00106981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proofErr w:type="gramStart"/>
      <w:r w:rsidR="001C7554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上</w:t>
      </w:r>
      <w:r w:rsidR="00A614FF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修值</w:t>
      </w:r>
      <w:r w:rsidR="00306C46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</w:t>
      </w:r>
      <w:r w:rsidR="002B5F31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6.5</w:t>
      </w:r>
      <w:r w:rsidR="00D57899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點</w:t>
      </w:r>
      <w:proofErr w:type="gramEnd"/>
      <w:r w:rsidR="00306C46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</w:t>
      </w:r>
      <w:r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62249E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</w:t>
      </w:r>
      <w:r w:rsidR="002B5F31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8.2</w:t>
      </w:r>
      <w:r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點，燈號</w:t>
      </w:r>
      <w:r w:rsidR="0062249E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33144B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</w:t>
      </w:r>
      <w:r w:rsidR="00830183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藍</w:t>
      </w:r>
      <w:r w:rsidR="0033144B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</w:t>
      </w:r>
      <w:r w:rsidR="00623589" w:rsidRPr="00AF3C3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189A8B69" w14:textId="77777777" w:rsidR="00C369E1" w:rsidRPr="00A24510" w:rsidRDefault="00FB6318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lastRenderedPageBreak/>
        <w:t>2.</w:t>
      </w:r>
      <w:r w:rsidR="00C369E1" w:rsidRPr="00A24510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景氣指標</w:t>
      </w:r>
    </w:p>
    <w:p w14:paraId="7BE2F30A" w14:textId="18459D62" w:rsidR="00C369E1" w:rsidRPr="00A24510" w:rsidRDefault="00CD17D1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(1)</w:t>
      </w:r>
      <w:r w:rsidR="00C369E1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領先指標</w:t>
      </w:r>
    </w:p>
    <w:p w14:paraId="4C92B3CE" w14:textId="4B2F130D" w:rsidR="00C369E1" w:rsidRPr="00A24510" w:rsidRDefault="00680651" w:rsidP="003E7C7F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領先指標不含趨勢指數為</w:t>
      </w:r>
      <w:r w:rsidR="005F5FDD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9</w:t>
      </w:r>
      <w:r w:rsidR="00327C9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9</w:t>
      </w:r>
      <w:r w:rsidR="005F5FDD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.</w:t>
      </w:r>
      <w:r w:rsidR="00842D90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</w:t>
      </w:r>
      <w:r w:rsidR="00327C9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</w:t>
      </w:r>
      <w:r w:rsidR="004836FD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，較上月</w:t>
      </w:r>
      <w:r w:rsidR="00327C9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上升</w:t>
      </w:r>
      <w:r w:rsidR="001D6551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0</w:t>
      </w:r>
      <w:r w:rsidR="005F5FDD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.</w:t>
      </w:r>
      <w:r w:rsidR="00327C9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85</w:t>
      </w:r>
      <w:r w:rsidR="004836FD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%</w:t>
      </w:r>
      <w:r w:rsidR="00C369E1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（詳表1、圖</w:t>
      </w:r>
      <w:r w:rsidR="00F87FB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</w:t>
      </w:r>
      <w:r w:rsidR="00C369E1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）。</w:t>
      </w:r>
    </w:p>
    <w:p w14:paraId="3308B257" w14:textId="7236D56A" w:rsidR="000638DC" w:rsidRPr="00A24510" w:rsidRDefault="00C369E1" w:rsidP="00556D33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7個構成項目經去除長期趨勢後，</w:t>
      </w:r>
      <w:r w:rsidR="00327C9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6</w:t>
      </w:r>
      <w:r w:rsidR="00842D90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項較上月上升，包括</w:t>
      </w:r>
      <w:r w:rsidR="00327C9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外銷訂單動向指數</w:t>
      </w:r>
      <w:r w:rsidR="00A3076B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、製造業營業氣候測驗點、工業及服務業受僱員工淨進入率</w:t>
      </w:r>
      <w:r w:rsidR="00327C9C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</w:t>
      </w:r>
      <w:r w:rsidR="00A3076B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建築物開工樓地板面積、</w:t>
      </w:r>
      <w:r w:rsidR="000E299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實質半導體設備進口值</w:t>
      </w:r>
      <w:r w:rsidR="00A3076B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、股價指數</w:t>
      </w:r>
      <w:r w:rsidR="007261D5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；</w:t>
      </w:r>
      <w:r w:rsidR="00A3076B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僅</w:t>
      </w:r>
      <w:r w:rsidR="005B450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實質貨幣總計數M1B</w:t>
      </w:r>
      <w:r w:rsidR="00A3076B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較上月下滑</w:t>
      </w: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。</w:t>
      </w:r>
    </w:p>
    <w:p w14:paraId="6FAE7889" w14:textId="77777777" w:rsidR="00C369E1" w:rsidRPr="00A24510" w:rsidRDefault="00CD17D1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(2)</w:t>
      </w:r>
      <w:r w:rsidR="00C369E1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同時指標</w:t>
      </w:r>
    </w:p>
    <w:p w14:paraId="1353242C" w14:textId="4F45AD0C" w:rsidR="002247E5" w:rsidRPr="00A24510" w:rsidRDefault="002247E5" w:rsidP="003E7C7F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同時指標不含趨勢指數為</w:t>
      </w:r>
      <w:r w:rsidR="00C04C1A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89.82</w:t>
      </w: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，較上月</w:t>
      </w:r>
      <w:r w:rsidR="004E357D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下降</w:t>
      </w:r>
      <w:r w:rsidR="00C04C1A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2.57</w:t>
      </w: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%（詳表2、圖</w:t>
      </w: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</w:t>
      </w: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）。</w:t>
      </w:r>
    </w:p>
    <w:p w14:paraId="3CB6B242" w14:textId="54D8FDDD" w:rsidR="00796077" w:rsidRPr="00A24510" w:rsidRDefault="002247E5" w:rsidP="007169A6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7個構成項目經去除長期趨勢後，</w:t>
      </w:r>
      <w:r w:rsidR="00124201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僅非農業部門就業人數較上月上升；其餘6項較上月下滑，分別為：</w:t>
      </w:r>
      <w:r w:rsidR="000E56C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電力（企業）總用電量、製造業銷售量指數、工業生產指數、批發、零售及餐飲業營業額、</w:t>
      </w:r>
      <w:r w:rsidR="00DA1830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實質海關出口值、</w:t>
      </w:r>
      <w:r w:rsidR="006A0802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實質機械及電機設備進口值</w:t>
      </w:r>
      <w:r w:rsidR="0007376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37E48620" w14:textId="77777777" w:rsidR="00C369E1" w:rsidRPr="00A24510" w:rsidRDefault="00CD17D1" w:rsidP="002247E5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(3)</w:t>
      </w:r>
      <w:r w:rsidR="00C369E1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落後指標</w:t>
      </w:r>
    </w:p>
    <w:p w14:paraId="54FA58DC" w14:textId="77C5BAB0" w:rsidR="00C369E1" w:rsidRPr="00A24510" w:rsidRDefault="00C369E1" w:rsidP="0029714C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落後指標不含趨勢指數為</w:t>
      </w:r>
      <w:r w:rsidR="0085005D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102.48</w:t>
      </w:r>
      <w:r w:rsidR="007143F8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</w:t>
      </w:r>
      <w:r w:rsidR="00493AC1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較上月</w:t>
      </w:r>
      <w:r w:rsidR="00493AC1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下降</w:t>
      </w:r>
      <w:r w:rsidR="0085005D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0.17</w:t>
      </w:r>
      <w:r w:rsidR="00493AC1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%</w:t>
      </w: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（詳表3、圖</w:t>
      </w:r>
      <w:r w:rsidR="00F87FB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</w:t>
      </w: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）。</w:t>
      </w:r>
    </w:p>
    <w:p w14:paraId="232FC498" w14:textId="2B80696A" w:rsidR="005D132B" w:rsidRPr="00A24510" w:rsidRDefault="009B2699" w:rsidP="0085005D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480" w:lineRule="exact"/>
        <w:ind w:left="567" w:hanging="329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</w:t>
      </w:r>
      <w:r w:rsidR="00C369E1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個構成項目經去除長期趨勢後，</w:t>
      </w:r>
      <w:r w:rsidR="005D70A5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3</w:t>
      </w:r>
      <w:r w:rsidR="00251229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項較上月上升，包括</w:t>
      </w:r>
      <w:r w:rsidR="005D70A5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製造業單位產出勞動成本指數、</w:t>
      </w:r>
      <w:r w:rsidR="00064E37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金融業隔夜拆款利率</w:t>
      </w:r>
      <w:r w:rsidR="00064E3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、失業率</w:t>
      </w:r>
      <w:r w:rsidR="00064E37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；</w:t>
      </w:r>
      <w:r w:rsidR="00064E3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其餘</w:t>
      </w:r>
      <w:r w:rsidR="005D70A5"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2</w:t>
      </w:r>
      <w:r w:rsidR="00064E3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項較上月下滑，分別為：</w:t>
      </w:r>
      <w:r w:rsidR="007339C8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製造業存貨價值、</w:t>
      </w:r>
      <w:r w:rsidR="00064E37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全體金融機構放款與投資</w:t>
      </w:r>
      <w:r w:rsidR="005D132B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7A95B86F" w14:textId="77777777" w:rsidR="00A84E25" w:rsidRPr="00A24510" w:rsidRDefault="00A84E25" w:rsidP="00DF4810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5CD16386" w14:textId="3680320E" w:rsidR="00A04C46" w:rsidRPr="00A24510" w:rsidRDefault="00A04C46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聯 絡 人：</w:t>
      </w:r>
      <w:r w:rsidR="00CD17D1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經濟發展處</w:t>
      </w:r>
      <w:r w:rsidR="009F409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吳明蕙處長</w:t>
      </w:r>
      <w:r w:rsidR="001D6BF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</w:t>
      </w:r>
      <w:r w:rsidR="003250B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郭重附科長</w:t>
      </w:r>
    </w:p>
    <w:p w14:paraId="67E3E66A" w14:textId="728AE967" w:rsidR="00A04C46" w:rsidRPr="00A24510" w:rsidRDefault="00A04C46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聯絡電話：</w:t>
      </w:r>
      <w:r w:rsidR="00CD17D1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(02)</w:t>
      </w:r>
      <w:r w:rsidRPr="00A24510">
        <w:rPr>
          <w:rFonts w:asciiTheme="minorEastAsia" w:eastAsiaTheme="minorEastAsia" w:hAnsiTheme="minorEastAsia"/>
          <w:color w:val="000000" w:themeColor="text1"/>
          <w:sz w:val="32"/>
          <w:szCs w:val="32"/>
        </w:rPr>
        <w:t>2316-5</w:t>
      </w:r>
      <w:r w:rsidR="009F409F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851</w:t>
      </w:r>
      <w:r w:rsidR="001D6BF6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</w:t>
      </w:r>
      <w:r w:rsidR="007E016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53</w:t>
      </w:r>
      <w:r w:rsidR="003250B3" w:rsidRPr="00A2451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46</w:t>
      </w:r>
    </w:p>
    <w:p w14:paraId="0F71E90A" w14:textId="77777777" w:rsidR="003E7C7F" w:rsidRPr="00A24510" w:rsidRDefault="003E7C7F" w:rsidP="003E7C7F">
      <w:pPr>
        <w:pStyle w:val="k02"/>
        <w:tabs>
          <w:tab w:val="clear" w:pos="960"/>
          <w:tab w:val="left" w:pos="680"/>
        </w:tabs>
        <w:spacing w:line="16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2ABEE9FD" w14:textId="5D160840" w:rsidR="00717CD8" w:rsidRPr="00864D7A" w:rsidRDefault="003362B2" w:rsidP="0025678A">
      <w:pPr>
        <w:tabs>
          <w:tab w:val="num" w:pos="-2268"/>
        </w:tabs>
        <w:spacing w:line="520" w:lineRule="exact"/>
        <w:ind w:leftChars="94" w:left="652" w:hangingChars="133" w:hanging="426"/>
        <w:jc w:val="center"/>
        <w:rPr>
          <w:rFonts w:asciiTheme="minorEastAsia" w:hAnsiTheme="minorEastAsia"/>
          <w:color w:val="000000" w:themeColor="text1"/>
          <w:sz w:val="32"/>
          <w:szCs w:val="28"/>
          <w:bdr w:val="single" w:sz="4" w:space="0" w:color="auto"/>
        </w:rPr>
      </w:pPr>
      <w:r w:rsidRPr="00A24510">
        <w:rPr>
          <w:rFonts w:asciiTheme="minorEastAsia" w:hAnsiTheme="minorEastAsia"/>
          <w:color w:val="000000" w:themeColor="text1"/>
          <w:sz w:val="32"/>
          <w:szCs w:val="28"/>
          <w:bdr w:val="single" w:sz="4" w:space="0" w:color="auto"/>
        </w:rPr>
        <w:t>下次發布日</w:t>
      </w:r>
      <w:r w:rsidRPr="00A24510">
        <w:rPr>
          <w:rFonts w:asciiTheme="minorEastAsia" w:hAnsiTheme="minorEastAsia" w:cs="Times New Roman"/>
          <w:color w:val="000000" w:themeColor="text1"/>
          <w:sz w:val="32"/>
          <w:szCs w:val="28"/>
          <w:bdr w:val="single" w:sz="4" w:space="0" w:color="auto"/>
        </w:rPr>
        <w:t>期為 1</w:t>
      </w:r>
      <w:r w:rsidR="00EA3E68" w:rsidRPr="00A24510">
        <w:rPr>
          <w:rFonts w:asciiTheme="minorEastAsia" w:hAnsiTheme="minorEastAsia" w:cs="Times New Roman" w:hint="eastAsia"/>
          <w:color w:val="000000" w:themeColor="text1"/>
          <w:sz w:val="32"/>
          <w:szCs w:val="28"/>
          <w:bdr w:val="single" w:sz="4" w:space="0" w:color="auto"/>
        </w:rPr>
        <w:t>1</w:t>
      </w:r>
      <w:r w:rsidR="000B67C8" w:rsidRPr="00A24510">
        <w:rPr>
          <w:rFonts w:asciiTheme="minorEastAsia" w:hAnsiTheme="minorEastAsia" w:cs="Times New Roman" w:hint="eastAsia"/>
          <w:color w:val="000000" w:themeColor="text1"/>
          <w:sz w:val="32"/>
          <w:szCs w:val="28"/>
          <w:bdr w:val="single" w:sz="4" w:space="0" w:color="auto"/>
        </w:rPr>
        <w:t>2</w:t>
      </w:r>
      <w:r w:rsidRPr="00A24510">
        <w:rPr>
          <w:rFonts w:asciiTheme="minorEastAsia" w:hAnsiTheme="minorEastAsia" w:cs="Times New Roman"/>
          <w:color w:val="000000" w:themeColor="text1"/>
          <w:sz w:val="32"/>
          <w:szCs w:val="28"/>
          <w:bdr w:val="single" w:sz="4" w:space="0" w:color="auto"/>
        </w:rPr>
        <w:t>年</w:t>
      </w:r>
      <w:r w:rsidR="00E77D33" w:rsidRPr="00A24510">
        <w:rPr>
          <w:rFonts w:asciiTheme="minorEastAsia" w:hAnsiTheme="minorEastAsia" w:cs="Times New Roman" w:hint="eastAsia"/>
          <w:color w:val="000000" w:themeColor="text1"/>
          <w:sz w:val="32"/>
          <w:szCs w:val="28"/>
          <w:bdr w:val="single" w:sz="4" w:space="0" w:color="auto"/>
        </w:rPr>
        <w:t>3</w:t>
      </w:r>
      <w:r w:rsidR="00B32F88" w:rsidRPr="00A24510">
        <w:rPr>
          <w:rFonts w:asciiTheme="minorEastAsia" w:hAnsiTheme="minorEastAsia" w:cs="Times New Roman"/>
          <w:color w:val="000000" w:themeColor="text1"/>
          <w:sz w:val="32"/>
          <w:szCs w:val="28"/>
          <w:bdr w:val="single" w:sz="4" w:space="0" w:color="auto"/>
        </w:rPr>
        <w:t>月</w:t>
      </w:r>
      <w:r w:rsidR="006810C9" w:rsidRPr="00A24510">
        <w:rPr>
          <w:rFonts w:asciiTheme="minorEastAsia" w:hAnsiTheme="minorEastAsia" w:cs="Times New Roman" w:hint="eastAsia"/>
          <w:color w:val="000000" w:themeColor="text1"/>
          <w:sz w:val="32"/>
          <w:szCs w:val="28"/>
          <w:bdr w:val="single" w:sz="4" w:space="0" w:color="auto"/>
        </w:rPr>
        <w:t>27</w:t>
      </w:r>
      <w:r w:rsidR="00B32F88" w:rsidRPr="00A24510">
        <w:rPr>
          <w:rFonts w:asciiTheme="minorEastAsia" w:hAnsiTheme="minorEastAsia" w:cs="Times New Roman"/>
          <w:color w:val="000000" w:themeColor="text1"/>
          <w:sz w:val="32"/>
          <w:szCs w:val="28"/>
          <w:bdr w:val="single" w:sz="4" w:space="0" w:color="auto"/>
        </w:rPr>
        <w:t>日（星期</w:t>
      </w:r>
      <w:r w:rsidR="006810C9" w:rsidRPr="00A24510">
        <w:rPr>
          <w:rFonts w:asciiTheme="minorEastAsia" w:hAnsiTheme="minorEastAsia" w:cs="Times New Roman" w:hint="eastAsia"/>
          <w:color w:val="000000" w:themeColor="text1"/>
          <w:sz w:val="32"/>
          <w:szCs w:val="28"/>
          <w:bdr w:val="single" w:sz="4" w:space="0" w:color="auto"/>
        </w:rPr>
        <w:t>一</w:t>
      </w:r>
      <w:r w:rsidR="00B32F88" w:rsidRPr="00A24510">
        <w:rPr>
          <w:rFonts w:asciiTheme="minorEastAsia" w:hAnsiTheme="minorEastAsia"/>
          <w:color w:val="000000" w:themeColor="text1"/>
          <w:sz w:val="32"/>
          <w:szCs w:val="28"/>
          <w:bdr w:val="single" w:sz="4" w:space="0" w:color="auto"/>
        </w:rPr>
        <w:t>）</w:t>
      </w:r>
      <w:r w:rsidRPr="00864D7A">
        <w:rPr>
          <w:rFonts w:asciiTheme="minorEastAsia" w:hAnsiTheme="minorEastAsia"/>
          <w:color w:val="000000" w:themeColor="text1"/>
          <w:sz w:val="32"/>
          <w:szCs w:val="28"/>
          <w:bdr w:val="single" w:sz="4" w:space="0" w:color="auto"/>
        </w:rPr>
        <w:t>下午</w:t>
      </w:r>
      <w:r w:rsidRPr="00864D7A">
        <w:rPr>
          <w:rFonts w:asciiTheme="minorEastAsia" w:hAnsiTheme="minorEastAsia" w:cs="Times New Roman"/>
          <w:color w:val="000000" w:themeColor="text1"/>
          <w:sz w:val="32"/>
          <w:szCs w:val="28"/>
          <w:bdr w:val="single" w:sz="4" w:space="0" w:color="auto"/>
        </w:rPr>
        <w:t>4</w:t>
      </w:r>
      <w:r w:rsidRPr="00864D7A">
        <w:rPr>
          <w:rFonts w:asciiTheme="minorEastAsia" w:hAnsiTheme="minorEastAsia"/>
          <w:color w:val="000000" w:themeColor="text1"/>
          <w:sz w:val="32"/>
          <w:szCs w:val="28"/>
          <w:bdr w:val="single" w:sz="4" w:space="0" w:color="auto"/>
        </w:rPr>
        <w:t>時</w:t>
      </w:r>
    </w:p>
    <w:p w14:paraId="12164017" w14:textId="1782B58F" w:rsidR="008505F3" w:rsidRPr="007B6707" w:rsidRDefault="00D0537F" w:rsidP="00D0537F">
      <w:pPr>
        <w:widowControl/>
        <w:ind w:leftChars="-472" w:left="-993" w:hanging="140"/>
        <w:jc w:val="center"/>
        <w:rPr>
          <w:rFonts w:eastAsia="標楷體"/>
          <w:sz w:val="28"/>
          <w:szCs w:val="28"/>
          <w:bdr w:val="single" w:sz="4" w:space="0" w:color="auto"/>
        </w:rPr>
      </w:pPr>
      <w:r>
        <w:rPr>
          <w:noProof/>
        </w:rPr>
        <w:lastRenderedPageBreak/>
        <w:drawing>
          <wp:inline distT="0" distB="0" distL="0" distR="0" wp14:anchorId="4D8A96BA" wp14:editId="3C797E19">
            <wp:extent cx="6695590" cy="387596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31" cy="389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CA8" w:rsidRPr="00D90282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="008505F3" w:rsidRPr="007B6707">
        <w:rPr>
          <w:rFonts w:hint="eastAsia"/>
          <w:b/>
          <w:bCs/>
          <w:sz w:val="32"/>
          <w:szCs w:val="32"/>
        </w:rPr>
        <w:t>圖</w:t>
      </w:r>
      <w:r w:rsidR="008505F3" w:rsidRPr="007B6707">
        <w:rPr>
          <w:rFonts w:hint="eastAsia"/>
          <w:b/>
          <w:bCs/>
          <w:sz w:val="32"/>
          <w:szCs w:val="32"/>
        </w:rPr>
        <w:t xml:space="preserve">1  </w:t>
      </w:r>
      <w:r w:rsidR="008505F3" w:rsidRPr="007B6707">
        <w:rPr>
          <w:rFonts w:hint="eastAsia"/>
          <w:b/>
          <w:bCs/>
          <w:sz w:val="32"/>
          <w:szCs w:val="32"/>
        </w:rPr>
        <w:t>近</w:t>
      </w:r>
      <w:r w:rsidR="008505F3" w:rsidRPr="007B6707">
        <w:rPr>
          <w:rFonts w:hint="eastAsia"/>
          <w:b/>
          <w:bCs/>
          <w:sz w:val="32"/>
          <w:szCs w:val="32"/>
        </w:rPr>
        <w:t>1</w:t>
      </w:r>
      <w:r w:rsidR="008505F3" w:rsidRPr="007B6707">
        <w:rPr>
          <w:rFonts w:hint="eastAsia"/>
          <w:b/>
          <w:bCs/>
          <w:sz w:val="32"/>
          <w:szCs w:val="32"/>
        </w:rPr>
        <w:t>年景氣對策信號走勢圖</w:t>
      </w:r>
    </w:p>
    <w:p w14:paraId="35F89149" w14:textId="455FC5CC" w:rsidR="007B3E1D" w:rsidRPr="007B6707" w:rsidRDefault="00D0537F" w:rsidP="00306C46">
      <w:pPr>
        <w:widowControl/>
        <w:ind w:leftChars="-472" w:left="-1132" w:hanging="1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6A795E9" wp14:editId="607B57C9">
            <wp:extent cx="6672952" cy="4107976"/>
            <wp:effectExtent l="0" t="0" r="0" b="698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759" cy="41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630" w:rsidRPr="007B6707">
        <w:rPr>
          <w:rFonts w:hint="eastAsia"/>
          <w:b/>
          <w:bCs/>
          <w:sz w:val="32"/>
          <w:szCs w:val="32"/>
        </w:rPr>
        <w:t xml:space="preserve">  </w:t>
      </w:r>
      <w:r w:rsidR="008505F3" w:rsidRPr="007B6707">
        <w:rPr>
          <w:rFonts w:hint="eastAsia"/>
          <w:b/>
          <w:bCs/>
          <w:sz w:val="32"/>
          <w:szCs w:val="32"/>
        </w:rPr>
        <w:t>圖</w:t>
      </w:r>
      <w:r w:rsidR="008505F3" w:rsidRPr="007B6707">
        <w:rPr>
          <w:rFonts w:hint="eastAsia"/>
          <w:b/>
          <w:bCs/>
          <w:sz w:val="32"/>
          <w:szCs w:val="32"/>
        </w:rPr>
        <w:t xml:space="preserve">2  </w:t>
      </w:r>
      <w:r w:rsidR="008505F3" w:rsidRPr="007B6707">
        <w:rPr>
          <w:rFonts w:hint="eastAsia"/>
          <w:b/>
          <w:bCs/>
          <w:sz w:val="32"/>
          <w:szCs w:val="32"/>
        </w:rPr>
        <w:t>一年來景氣對策信號</w:t>
      </w:r>
    </w:p>
    <w:p w14:paraId="1BEA6AEC" w14:textId="373A6A18" w:rsidR="0098387B" w:rsidRPr="007B6707" w:rsidRDefault="0098387B" w:rsidP="00F25204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1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領先指標</w:t>
      </w:r>
    </w:p>
    <w:p w14:paraId="0B14AB91" w14:textId="5097B2E0" w:rsidR="008F67C4" w:rsidRPr="007B6707" w:rsidRDefault="008F67C4" w:rsidP="005B28DF">
      <w:pPr>
        <w:spacing w:line="240" w:lineRule="exact"/>
        <w:ind w:right="-477"/>
        <w:jc w:val="right"/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524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6"/>
        <w:gridCol w:w="792"/>
        <w:gridCol w:w="792"/>
        <w:gridCol w:w="781"/>
        <w:gridCol w:w="799"/>
        <w:gridCol w:w="796"/>
        <w:gridCol w:w="813"/>
        <w:gridCol w:w="775"/>
      </w:tblGrid>
      <w:tr w:rsidR="00C05F4B" w:rsidRPr="007B6707" w14:paraId="6F4CA2B4" w14:textId="77777777" w:rsidTr="00C05F4B">
        <w:trPr>
          <w:cantSplit/>
          <w:trHeight w:val="561"/>
          <w:jc w:val="center"/>
        </w:trPr>
        <w:tc>
          <w:tcPr>
            <w:tcW w:w="39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68642" w14:textId="4BB1CBAB" w:rsidR="00C05F4B" w:rsidRPr="007B6707" w:rsidRDefault="00C05F4B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/>
                <w:sz w:val="22"/>
              </w:rPr>
              <w:t>項　　　　　目</w:t>
            </w:r>
          </w:p>
        </w:tc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DCFBA" w14:textId="6CFCEB1C" w:rsidR="00C05F4B" w:rsidRPr="007B6707" w:rsidRDefault="00C05F4B" w:rsidP="001613E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1D8E" w14:textId="62FD6459" w:rsidR="00C05F4B" w:rsidRPr="007B6707" w:rsidRDefault="00C05F4B" w:rsidP="001613E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3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C05F4B" w:rsidRPr="007B6707" w14:paraId="52CDABDA" w14:textId="77777777" w:rsidTr="00C05F4B">
        <w:trPr>
          <w:cantSplit/>
          <w:trHeight w:val="272"/>
          <w:jc w:val="center"/>
        </w:trPr>
        <w:tc>
          <w:tcPr>
            <w:tcW w:w="39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D696" w14:textId="77777777" w:rsidR="00C05F4B" w:rsidRPr="007B6707" w:rsidRDefault="00C05F4B" w:rsidP="00C05F4B">
            <w:pPr>
              <w:ind w:left="212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3ACB" w14:textId="4D233885" w:rsidR="00C05F4B" w:rsidRPr="007B6707" w:rsidRDefault="00C05F4B" w:rsidP="00C05F4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7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52B7" w14:textId="2E84D1DE" w:rsidR="00C05F4B" w:rsidRPr="007B6707" w:rsidRDefault="00C05F4B" w:rsidP="00C05F4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8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0F92" w14:textId="5711CA45" w:rsidR="00C05F4B" w:rsidRPr="007B6707" w:rsidRDefault="00C05F4B" w:rsidP="00C05F4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9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2CC2" w14:textId="1B9E7FE2" w:rsidR="00C05F4B" w:rsidRPr="007B6707" w:rsidRDefault="00C05F4B" w:rsidP="00C05F4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10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C45A" w14:textId="5AC80C6B" w:rsidR="00C05F4B" w:rsidRPr="007B6707" w:rsidRDefault="00C05F4B" w:rsidP="00C05F4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97B2C" w14:textId="295C2696" w:rsidR="00C05F4B" w:rsidRPr="007B6707" w:rsidRDefault="00C05F4B" w:rsidP="00C05F4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735F4" w14:textId="0CBE575F" w:rsidR="00C05F4B" w:rsidRPr="007B6707" w:rsidRDefault="00C05F4B" w:rsidP="00C05F4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C05F4B" w:rsidRPr="00A10EF3" w14:paraId="4B30161C" w14:textId="77777777" w:rsidTr="000E3159">
        <w:trPr>
          <w:cantSplit/>
          <w:trHeight w:val="313"/>
          <w:jc w:val="center"/>
        </w:trPr>
        <w:tc>
          <w:tcPr>
            <w:tcW w:w="39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46BEB6" w14:textId="6AD5366B" w:rsidR="00C05F4B" w:rsidRPr="00A10EF3" w:rsidRDefault="00C05F4B" w:rsidP="00C05F4B">
            <w:pPr>
              <w:rPr>
                <w:rFonts w:ascii="新細明體" w:eastAsia="新細明體" w:hAnsi="新細明體" w:cs="新細明體"/>
                <w:b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b/>
                <w:color w:val="000000" w:themeColor="text1"/>
                <w:sz w:val="22"/>
              </w:rPr>
              <w:t>不含趨勢指數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F10E7" w14:textId="7A21C46E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98.74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83E04" w14:textId="618DC26B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98.08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FFF6" w14:textId="3D2C7E9E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97.66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B5868" w14:textId="4493C344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97.54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B7807" w14:textId="49BDE5C1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97.81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8941D" w14:textId="2094B701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98.41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6E1C6" w14:textId="41623CF7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99.24</w:t>
            </w:r>
          </w:p>
        </w:tc>
      </w:tr>
      <w:tr w:rsidR="00C05F4B" w:rsidRPr="00A10EF3" w14:paraId="5FD2DB85" w14:textId="77777777" w:rsidTr="000E3159">
        <w:trPr>
          <w:cantSplit/>
          <w:trHeight w:val="360"/>
          <w:jc w:val="center"/>
        </w:trPr>
        <w:tc>
          <w:tcPr>
            <w:tcW w:w="39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CD1E52" w14:textId="03EE4A30" w:rsidR="00C05F4B" w:rsidRPr="00A10EF3" w:rsidRDefault="00C05F4B" w:rsidP="00C05F4B">
            <w:pPr>
              <w:rPr>
                <w:rFonts w:ascii="新細明體" w:eastAsia="新細明體" w:hAnsi="新細明體" w:cs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 xml:space="preserve">　較上月變動</w:t>
            </w:r>
            <w:r w:rsidRPr="00A10EF3">
              <w:rPr>
                <w:rFonts w:ascii="新細明體" w:eastAsia="新細明體" w:hAnsi="新細明體"/>
                <w:color w:val="000000" w:themeColor="text1"/>
                <w:sz w:val="22"/>
              </w:rPr>
              <w:t xml:space="preserve"> (%)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0E3B6" w14:textId="039D962A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-0.93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CB89A" w14:textId="59871DA0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-0.67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2AC9C" w14:textId="1F34EC74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-0.43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AD25" w14:textId="1657C546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-0.11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3416D" w14:textId="3A77C084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0.27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1DC66" w14:textId="5F3B7435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0.61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0FAD0" w14:textId="42DAC64C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0.85 </w:t>
            </w:r>
          </w:p>
        </w:tc>
      </w:tr>
      <w:tr w:rsidR="00C05F4B" w:rsidRPr="00A10EF3" w14:paraId="12788725" w14:textId="77777777" w:rsidTr="000E3159">
        <w:trPr>
          <w:cantSplit/>
          <w:trHeight w:val="339"/>
          <w:jc w:val="center"/>
        </w:trPr>
        <w:tc>
          <w:tcPr>
            <w:tcW w:w="39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3C74FA" w14:textId="134D61E3" w:rsidR="00C05F4B" w:rsidRPr="00A10EF3" w:rsidRDefault="00C05F4B" w:rsidP="00C05F4B">
            <w:pPr>
              <w:ind w:left="212" w:hanging="212"/>
              <w:rPr>
                <w:rFonts w:ascii="新細明體" w:eastAsia="新細明體" w:hAnsi="新細明體"/>
                <w:b/>
                <w:bCs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/>
                <w:b/>
                <w:bCs/>
                <w:color w:val="000000" w:themeColor="text1"/>
                <w:sz w:val="22"/>
              </w:rPr>
              <w:t>構成項目</w:t>
            </w: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  <w:vertAlign w:val="superscript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077BC" w14:textId="70F91127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E23C5" w14:textId="6EB3560D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EE015" w14:textId="044BE596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76338" w14:textId="32D3D981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61543" w14:textId="1F91AE2E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A94D7" w14:textId="369C2705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CCC5B" w14:textId="75BEDFC9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05F4B" w:rsidRPr="00A10EF3" w14:paraId="0FAF4050" w14:textId="77777777" w:rsidTr="000E3159">
        <w:trPr>
          <w:cantSplit/>
          <w:trHeight w:val="360"/>
          <w:jc w:val="center"/>
        </w:trPr>
        <w:tc>
          <w:tcPr>
            <w:tcW w:w="39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E53FE1" w14:textId="6FD7F841" w:rsidR="00C05F4B" w:rsidRPr="00A10EF3" w:rsidRDefault="00C05F4B" w:rsidP="00C05F4B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外銷訂單動向指數</w:t>
            </w: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05F5F" w14:textId="4C98404C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98.16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7A80A" w14:textId="56659AB7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97.79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64A05" w14:textId="34A73028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97.66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2791B" w14:textId="50C6EC8E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97.87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CF21A" w14:textId="671EAA60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09B7F" w14:textId="72816202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99.56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A3EFD" w14:textId="711AE2C7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100.99 </w:t>
            </w:r>
          </w:p>
        </w:tc>
      </w:tr>
      <w:tr w:rsidR="00C05F4B" w:rsidRPr="00A10EF3" w14:paraId="7F90B385" w14:textId="77777777" w:rsidTr="000E3159">
        <w:trPr>
          <w:cantSplit/>
          <w:trHeight w:val="360"/>
          <w:jc w:val="center"/>
        </w:trPr>
        <w:tc>
          <w:tcPr>
            <w:tcW w:w="39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142ECB7" w14:textId="390C2C0E" w:rsidR="00C05F4B" w:rsidRPr="00A10EF3" w:rsidRDefault="00C05F4B" w:rsidP="00C05F4B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實質</w:t>
            </w:r>
            <w:r w:rsidRPr="00A10EF3">
              <w:rPr>
                <w:rFonts w:ascii="新細明體" w:eastAsia="新細明體" w:hAnsi="新細明體"/>
                <w:color w:val="000000" w:themeColor="text1"/>
                <w:sz w:val="22"/>
              </w:rPr>
              <w:t>貨幣總計數M1B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01667" w14:textId="1765919E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832CD" w14:textId="67ECB67C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99.51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1C3F4" w14:textId="4745F9B2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4D8B" w14:textId="3A596A3A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6A888" w14:textId="0EF7CCAE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98.86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5DD8" w14:textId="21A3B667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98.59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0BA7" w14:textId="347D8A4B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98.31 </w:t>
            </w:r>
          </w:p>
        </w:tc>
      </w:tr>
      <w:tr w:rsidR="00C05F4B" w:rsidRPr="00A10EF3" w14:paraId="37CD392A" w14:textId="77777777" w:rsidTr="000E3159">
        <w:trPr>
          <w:cantSplit/>
          <w:trHeight w:val="360"/>
          <w:jc w:val="center"/>
        </w:trPr>
        <w:tc>
          <w:tcPr>
            <w:tcW w:w="39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43FBCF" w14:textId="29E881E4" w:rsidR="00C05F4B" w:rsidRPr="00A10EF3" w:rsidRDefault="00C05F4B" w:rsidP="00C05F4B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股價指數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03633" w14:textId="5F40EE99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99.46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2210" w14:textId="1370DD3C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89FE" w14:textId="26AB8295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98.93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1A85F" w14:textId="27397E90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98.77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508D8" w14:textId="51A85E22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98.69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1397C" w14:textId="2A1F3ED1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98.67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71CEB" w14:textId="694AF2E5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98.67 </w:t>
            </w:r>
          </w:p>
        </w:tc>
      </w:tr>
      <w:tr w:rsidR="00C05F4B" w:rsidRPr="00A10EF3" w14:paraId="4922265F" w14:textId="77777777" w:rsidTr="000E3159">
        <w:trPr>
          <w:cantSplit/>
          <w:trHeight w:val="360"/>
          <w:jc w:val="center"/>
        </w:trPr>
        <w:tc>
          <w:tcPr>
            <w:tcW w:w="39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16D946" w14:textId="78D14F50" w:rsidR="00C05F4B" w:rsidRPr="00A10EF3" w:rsidRDefault="00C05F4B" w:rsidP="00C05F4B">
            <w:pPr>
              <w:ind w:leftChars="86" w:left="206" w:firstLineChars="2" w:firstLine="4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工業及服務業受僱員工淨進入率</w:t>
            </w: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242E" w14:textId="1002614C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99.87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AB2B5" w14:textId="3A480F8F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99.89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693DC" w14:textId="3384EC6B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99.90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2B0C" w14:textId="66898C46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99.91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75A2E" w14:textId="6BF36E71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99.95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B62FD" w14:textId="7249460C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100.00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15A4D" w14:textId="2F6AFEC9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100.04 </w:t>
            </w:r>
          </w:p>
        </w:tc>
      </w:tr>
      <w:tr w:rsidR="00C05F4B" w:rsidRPr="00A10EF3" w14:paraId="006D1A95" w14:textId="77777777" w:rsidTr="000E3159">
        <w:trPr>
          <w:cantSplit/>
          <w:trHeight w:val="360"/>
          <w:jc w:val="center"/>
        </w:trPr>
        <w:tc>
          <w:tcPr>
            <w:tcW w:w="39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E26E1A7" w14:textId="3AE94E00" w:rsidR="00C05F4B" w:rsidRPr="00A10EF3" w:rsidRDefault="00C05F4B" w:rsidP="00C05F4B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建築物開工樓地板</w:t>
            </w:r>
            <w:r w:rsidRPr="00A10EF3">
              <w:rPr>
                <w:rFonts w:ascii="新細明體" w:eastAsia="新細明體" w:hAnsi="新細明體"/>
                <w:color w:val="000000" w:themeColor="text1"/>
                <w:sz w:val="22"/>
              </w:rPr>
              <w:t>面積</w:t>
            </w: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  <w:vertAlign w:val="superscript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BA705" w14:textId="13BA0D66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100.12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36579" w14:textId="2A1B74A7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99.95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BA22" w14:textId="76AB2887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99.81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988D6" w14:textId="41F8461F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35574" w14:textId="5B97E7F8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99.63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22991" w14:textId="52E4C9C1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99.61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18522" w14:textId="20275563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99.63 </w:t>
            </w:r>
          </w:p>
        </w:tc>
      </w:tr>
      <w:tr w:rsidR="00C05F4B" w:rsidRPr="00A10EF3" w14:paraId="56D3ECC6" w14:textId="77777777" w:rsidTr="000E3159">
        <w:trPr>
          <w:cantSplit/>
          <w:trHeight w:val="360"/>
          <w:jc w:val="center"/>
        </w:trPr>
        <w:tc>
          <w:tcPr>
            <w:tcW w:w="39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A18690" w14:textId="50E9839F" w:rsidR="00C05F4B" w:rsidRPr="00A10EF3" w:rsidRDefault="00C05F4B" w:rsidP="00C05F4B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實質半導體設備進口值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4A9B" w14:textId="3F0E779A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99.90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F1145" w14:textId="442C893F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100.03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672BB" w14:textId="5ED8F592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100.14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C7B01" w14:textId="10D4DF11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100.23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8DA2" w14:textId="736E16BC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100.30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6981" w14:textId="65395A0A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100.35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31AF" w14:textId="0D65D4AF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100.36 </w:t>
            </w:r>
          </w:p>
        </w:tc>
      </w:tr>
      <w:tr w:rsidR="00C05F4B" w:rsidRPr="00A10EF3" w14:paraId="681776CE" w14:textId="77777777" w:rsidTr="000E3159">
        <w:trPr>
          <w:cantSplit/>
          <w:trHeight w:val="360"/>
          <w:jc w:val="center"/>
        </w:trPr>
        <w:tc>
          <w:tcPr>
            <w:tcW w:w="39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5ED8" w14:textId="0444134E" w:rsidR="00C05F4B" w:rsidRPr="00A10EF3" w:rsidRDefault="00C05F4B" w:rsidP="00C05F4B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製造業營業氣候測驗點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64210" w14:textId="20E90E17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11F21" w14:textId="31A8A036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3FB1F" w14:textId="6690037F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5AEB3" w14:textId="4A6A5E7B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BEC15" w14:textId="2F93CDD0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>98.42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CC090" w14:textId="6C51A8B6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98.60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43378" w14:textId="1FCAB6F8" w:rsidR="00C05F4B" w:rsidRPr="003F0146" w:rsidRDefault="00C05F4B" w:rsidP="00C05F4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2A04">
              <w:rPr>
                <w:rFonts w:asciiTheme="minorEastAsia" w:hAnsiTheme="minorEastAsia"/>
                <w:sz w:val="20"/>
                <w:szCs w:val="20"/>
              </w:rPr>
              <w:t xml:space="preserve">98.81 </w:t>
            </w:r>
          </w:p>
        </w:tc>
      </w:tr>
    </w:tbl>
    <w:p w14:paraId="6735B279" w14:textId="6627C08D" w:rsidR="008F67C4" w:rsidRPr="00A10EF3" w:rsidRDefault="008F67C4" w:rsidP="009D42B7">
      <w:pPr>
        <w:pStyle w:val="ad"/>
        <w:spacing w:beforeLines="10" w:before="36" w:line="220" w:lineRule="exact"/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</w:pPr>
      <w:proofErr w:type="gramStart"/>
      <w:r w:rsidRPr="00A10EF3">
        <w:rPr>
          <w:rFonts w:ascii="Times New Roman" w:hAnsi="Times New Roman" w:cs="Times New Roman" w:hint="eastAsia"/>
          <w:color w:val="000000" w:themeColor="text1"/>
          <w:w w:val="95"/>
          <w:sz w:val="20"/>
          <w:szCs w:val="20"/>
        </w:rPr>
        <w:t>註</w:t>
      </w:r>
      <w:proofErr w:type="gramEnd"/>
      <w:r w:rsidRPr="00A10EF3">
        <w:rPr>
          <w:rFonts w:ascii="Times New Roman" w:hAnsi="Times New Roman" w:cs="Times New Roman" w:hint="eastAsia"/>
          <w:color w:val="000000" w:themeColor="text1"/>
          <w:w w:val="95"/>
          <w:sz w:val="20"/>
          <w:szCs w:val="20"/>
        </w:rPr>
        <w:t>：</w:t>
      </w:r>
      <w:r w:rsidRPr="00A10EF3">
        <w:rPr>
          <w:rFonts w:ascii="Times New Roman" w:hAnsi="Times New Roman" w:cs="Times New Roman" w:hint="eastAsia"/>
          <w:color w:val="000000" w:themeColor="text1"/>
          <w:w w:val="95"/>
          <w:sz w:val="20"/>
          <w:szCs w:val="20"/>
        </w:rPr>
        <w:t>1.</w:t>
      </w:r>
      <w:r w:rsidRPr="00A10EF3">
        <w:rPr>
          <w:rFonts w:ascii="Times New Roman" w:hAnsi="Times New Roman" w:cs="Times New Roman" w:hint="eastAsia"/>
          <w:color w:val="000000" w:themeColor="text1"/>
          <w:w w:val="95"/>
          <w:sz w:val="20"/>
          <w:szCs w:val="20"/>
        </w:rPr>
        <w:t>本表構成項目指數為經季節調整、剔除長期趨勢，並平滑化與標準化後之數值。以下表同。</w:t>
      </w:r>
    </w:p>
    <w:p w14:paraId="120CAC8B" w14:textId="2EC3333C" w:rsidR="00EB402A" w:rsidRPr="007B6707" w:rsidRDefault="00EB402A" w:rsidP="009D42B7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2.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外銷訂單動向指數採用以家數計算之動向指數。</w:t>
      </w:r>
    </w:p>
    <w:p w14:paraId="0B440925" w14:textId="51E4CDAD" w:rsidR="008F67C4" w:rsidRPr="007B6707" w:rsidRDefault="00EB402A" w:rsidP="009D42B7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3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14:paraId="4C1F9034" w14:textId="7A698A44" w:rsidR="001E2FA4" w:rsidRPr="007B6707" w:rsidRDefault="00FF2A06" w:rsidP="009D42B7">
      <w:pPr>
        <w:pStyle w:val="ad"/>
        <w:spacing w:beforeLines="10" w:before="36" w:line="220" w:lineRule="exact"/>
        <w:ind w:rightChars="-139" w:right="-334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</w:t>
      </w:r>
      <w:r w:rsidR="00EB402A" w:rsidRPr="007B6707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AA7592" w:rsidRPr="007B6707">
        <w:rPr>
          <w:rFonts w:ascii="Times New Roman" w:hAnsi="Times New Roman" w:cs="Times New Roman" w:hint="eastAsia"/>
          <w:w w:val="95"/>
          <w:sz w:val="20"/>
          <w:szCs w:val="20"/>
        </w:rPr>
        <w:t>建築物</w:t>
      </w:r>
      <w:r w:rsidR="00686DD9" w:rsidRPr="007B6707">
        <w:rPr>
          <w:rFonts w:ascii="Times New Roman" w:hAnsi="Times New Roman" w:cs="Times New Roman" w:hint="eastAsia"/>
          <w:w w:val="95"/>
          <w:sz w:val="20"/>
          <w:szCs w:val="20"/>
        </w:rPr>
        <w:t>開工樓地板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面積僅包含住宿類（住宅）、商業類、辦公服務類、工業倉儲類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項統計資料。</w:t>
      </w:r>
    </w:p>
    <w:p w14:paraId="71EC0AD5" w14:textId="3DEA5767" w:rsidR="00F87FB3" w:rsidRPr="007B6707" w:rsidRDefault="00C406A4" w:rsidP="009D42B7">
      <w:pPr>
        <w:widowControl/>
        <w:spacing w:beforeLines="50" w:before="18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53DBFAB7" wp14:editId="09244C81">
            <wp:simplePos x="0" y="0"/>
            <wp:positionH relativeFrom="column">
              <wp:posOffset>-415127</wp:posOffset>
            </wp:positionH>
            <wp:positionV relativeFrom="paragraph">
              <wp:posOffset>187960</wp:posOffset>
            </wp:positionV>
            <wp:extent cx="6119495" cy="3725545"/>
            <wp:effectExtent l="0" t="0" r="0" b="8255"/>
            <wp:wrapNone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72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87575" w14:textId="629A8CCD" w:rsidR="00F87FB3" w:rsidRPr="007B6707" w:rsidRDefault="00F87FB3" w:rsidP="009D42B7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14:paraId="4D6EC885" w14:textId="6B289BA3" w:rsidR="00F87FB3" w:rsidRPr="007B6707" w:rsidRDefault="00B60C7D" w:rsidP="009D42B7">
      <w:pPr>
        <w:widowControl/>
        <w:tabs>
          <w:tab w:val="left" w:pos="5988"/>
        </w:tabs>
        <w:spacing w:beforeLines="50" w:before="180"/>
        <w:rPr>
          <w:b/>
          <w:bCs/>
          <w:sz w:val="32"/>
          <w:szCs w:val="32"/>
        </w:rPr>
      </w:pPr>
      <w:r w:rsidRPr="007B6707">
        <w:rPr>
          <w:b/>
          <w:bCs/>
          <w:sz w:val="32"/>
          <w:szCs w:val="32"/>
        </w:rPr>
        <w:tab/>
      </w:r>
    </w:p>
    <w:p w14:paraId="2E0F66F1" w14:textId="76C36231" w:rsidR="00F87FB3" w:rsidRPr="007B6707" w:rsidRDefault="00F87FB3" w:rsidP="009D42B7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14:paraId="1FECF01D" w14:textId="40727EAA" w:rsidR="00F87FB3" w:rsidRPr="007B6707" w:rsidRDefault="00B32F88" w:rsidP="009D42B7">
      <w:pPr>
        <w:widowControl/>
        <w:tabs>
          <w:tab w:val="left" w:pos="3628"/>
        </w:tabs>
        <w:spacing w:beforeLines="50" w:before="180"/>
        <w:rPr>
          <w:b/>
          <w:bCs/>
          <w:sz w:val="32"/>
          <w:szCs w:val="32"/>
        </w:rPr>
      </w:pPr>
      <w:r w:rsidRPr="007B6707">
        <w:rPr>
          <w:b/>
          <w:bCs/>
          <w:sz w:val="32"/>
          <w:szCs w:val="32"/>
        </w:rPr>
        <w:tab/>
      </w:r>
    </w:p>
    <w:p w14:paraId="5FC443BA" w14:textId="77777777" w:rsidR="00F87FB3" w:rsidRPr="007B6707" w:rsidRDefault="00F87FB3" w:rsidP="009D42B7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14:paraId="07672372" w14:textId="10E63228" w:rsidR="006765C7" w:rsidRDefault="00F64DF9" w:rsidP="00F64DF9">
      <w:pPr>
        <w:widowControl/>
        <w:tabs>
          <w:tab w:val="left" w:pos="7404"/>
        </w:tabs>
        <w:spacing w:beforeLines="50" w:before="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1AC77CF8" w14:textId="77777777" w:rsidR="004842B2" w:rsidRPr="007B6707" w:rsidRDefault="00C36BE8" w:rsidP="006317B6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t>圖</w:t>
      </w:r>
      <w:r w:rsidR="00F87FB3" w:rsidRPr="007B6707">
        <w:rPr>
          <w:rFonts w:hint="eastAsia"/>
          <w:b/>
          <w:bCs/>
          <w:sz w:val="32"/>
          <w:szCs w:val="32"/>
        </w:rPr>
        <w:t>3</w:t>
      </w:r>
      <w:r w:rsidRPr="007B6707">
        <w:rPr>
          <w:rFonts w:hint="eastAsia"/>
          <w:b/>
          <w:bCs/>
          <w:sz w:val="32"/>
          <w:szCs w:val="32"/>
        </w:rPr>
        <w:t xml:space="preserve">  </w:t>
      </w:r>
      <w:r w:rsidRPr="007B6707">
        <w:rPr>
          <w:rFonts w:hint="eastAsia"/>
          <w:b/>
          <w:bCs/>
          <w:sz w:val="32"/>
          <w:szCs w:val="32"/>
        </w:rPr>
        <w:t>領先指標不含趨勢指數走勢圖</w:t>
      </w:r>
    </w:p>
    <w:p w14:paraId="7212048A" w14:textId="77777777" w:rsidR="00454BA7" w:rsidRPr="007B6707" w:rsidRDefault="00454BA7" w:rsidP="00F87FB3">
      <w:pPr>
        <w:pStyle w:val="ad"/>
        <w:spacing w:line="200" w:lineRule="exact"/>
        <w:ind w:rightChars="-121" w:right="-290"/>
        <w:rPr>
          <w:bCs/>
          <w:sz w:val="18"/>
          <w:szCs w:val="18"/>
        </w:rPr>
      </w:pPr>
    </w:p>
    <w:p w14:paraId="38452928" w14:textId="77777777" w:rsidR="006E0697" w:rsidRPr="007B6707" w:rsidRDefault="006F1F80" w:rsidP="0017581B">
      <w:pPr>
        <w:pStyle w:val="ad"/>
        <w:spacing w:line="200" w:lineRule="exact"/>
        <w:ind w:leftChars="60" w:left="565" w:rightChars="-121" w:right="-290" w:hangingChars="234" w:hanging="421"/>
        <w:rPr>
          <w:b/>
          <w:bCs/>
          <w:sz w:val="28"/>
          <w:szCs w:val="28"/>
        </w:rPr>
      </w:pPr>
      <w:proofErr w:type="gramStart"/>
      <w:r w:rsidRPr="007B6707">
        <w:rPr>
          <w:rFonts w:hint="eastAsia"/>
          <w:bCs/>
          <w:sz w:val="18"/>
          <w:szCs w:val="18"/>
        </w:rPr>
        <w:t>註</w:t>
      </w:r>
      <w:proofErr w:type="gramEnd"/>
      <w:r w:rsidRPr="007B6707">
        <w:rPr>
          <w:rFonts w:hint="eastAsia"/>
          <w:bCs/>
          <w:sz w:val="18"/>
          <w:szCs w:val="18"/>
        </w:rPr>
        <w:t>：</w:t>
      </w:r>
      <w:proofErr w:type="gramStart"/>
      <w:r w:rsidRPr="007B6707">
        <w:rPr>
          <w:rFonts w:hint="eastAsia"/>
          <w:bCs/>
          <w:sz w:val="18"/>
          <w:szCs w:val="18"/>
        </w:rPr>
        <w:t>陰影區表景氣循環</w:t>
      </w:r>
      <w:proofErr w:type="gramEnd"/>
      <w:r w:rsidRPr="007B6707">
        <w:rPr>
          <w:rFonts w:hint="eastAsia"/>
          <w:bCs/>
          <w:sz w:val="18"/>
          <w:szCs w:val="18"/>
        </w:rPr>
        <w:t>收縮期，</w:t>
      </w:r>
      <w:proofErr w:type="gramStart"/>
      <w:r w:rsidRPr="007B6707">
        <w:rPr>
          <w:rFonts w:hint="eastAsia"/>
          <w:bCs/>
          <w:sz w:val="18"/>
          <w:szCs w:val="18"/>
        </w:rPr>
        <w:t>以下圖同</w:t>
      </w:r>
      <w:proofErr w:type="gramEnd"/>
      <w:r w:rsidRPr="007B6707">
        <w:rPr>
          <w:rFonts w:hint="eastAsia"/>
          <w:bCs/>
          <w:sz w:val="18"/>
          <w:szCs w:val="18"/>
        </w:rPr>
        <w:t>。</w:t>
      </w:r>
    </w:p>
    <w:p w14:paraId="5048A34B" w14:textId="77777777" w:rsidR="00290A84" w:rsidRPr="007B6707" w:rsidRDefault="00290A84" w:rsidP="00290A84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2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同時指標</w:t>
      </w:r>
    </w:p>
    <w:p w14:paraId="0DAD6431" w14:textId="4EDCCDD5" w:rsidR="00290A84" w:rsidRPr="007B6707" w:rsidRDefault="00290A84" w:rsidP="00290A84">
      <w:pPr>
        <w:spacing w:line="240" w:lineRule="exact"/>
        <w:ind w:right="-477"/>
        <w:jc w:val="right"/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506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2"/>
        <w:gridCol w:w="896"/>
        <w:gridCol w:w="888"/>
        <w:gridCol w:w="903"/>
        <w:gridCol w:w="901"/>
        <w:gridCol w:w="888"/>
        <w:gridCol w:w="917"/>
        <w:gridCol w:w="891"/>
      </w:tblGrid>
      <w:tr w:rsidR="00A10F98" w:rsidRPr="007B6707" w14:paraId="06541684" w14:textId="12306B49" w:rsidTr="00291DA6">
        <w:trPr>
          <w:cantSplit/>
          <w:trHeight w:val="525"/>
          <w:jc w:val="center"/>
        </w:trPr>
        <w:tc>
          <w:tcPr>
            <w:tcW w:w="3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6D83" w14:textId="77777777" w:rsidR="00A10F98" w:rsidRPr="007B6707" w:rsidRDefault="00A10F98" w:rsidP="00D644A3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7B6707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35DD9" w14:textId="0290780F" w:rsidR="00A10F98" w:rsidRPr="007B6707" w:rsidRDefault="00A10F98" w:rsidP="00337662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08504" w14:textId="195887C6" w:rsidR="00A10F98" w:rsidRPr="007B6707" w:rsidRDefault="00A10F98" w:rsidP="00A10F98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3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A10F98" w:rsidRPr="007B6707" w14:paraId="6A89EACA" w14:textId="77777777" w:rsidTr="00291DA6">
        <w:trPr>
          <w:cantSplit/>
          <w:trHeight w:val="272"/>
          <w:jc w:val="center"/>
        </w:trPr>
        <w:tc>
          <w:tcPr>
            <w:tcW w:w="3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80C5" w14:textId="77777777" w:rsidR="00A10F98" w:rsidRPr="007B6707" w:rsidRDefault="00A10F98" w:rsidP="00A10F98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8F5F6" w14:textId="0FF9B260" w:rsidR="00A10F98" w:rsidRPr="007B6707" w:rsidRDefault="00A10F98" w:rsidP="00A10F9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7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0A388" w14:textId="2B80C4CC" w:rsidR="00A10F98" w:rsidRPr="007B6707" w:rsidRDefault="00A10F98" w:rsidP="00A10F9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8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E3E9F" w14:textId="60E07C5C" w:rsidR="00A10F98" w:rsidRPr="007B6707" w:rsidRDefault="00A10F98" w:rsidP="00A10F9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9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525A9" w14:textId="3C977767" w:rsidR="00A10F98" w:rsidRPr="007B6707" w:rsidRDefault="00A10F98" w:rsidP="00A10F9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10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2C4AC" w14:textId="54CFB719" w:rsidR="00A10F98" w:rsidRPr="007B6707" w:rsidRDefault="00A10F98" w:rsidP="00A10F9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FD321" w14:textId="61E4CBCD" w:rsidR="00A10F98" w:rsidRPr="007B6707" w:rsidRDefault="00A10F98" w:rsidP="00A10F9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347E5" w14:textId="216B5835" w:rsidR="00A10F98" w:rsidRPr="007B6707" w:rsidRDefault="00A10F98" w:rsidP="00A10F9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291DA6" w:rsidRPr="007B6707" w14:paraId="128BC475" w14:textId="77777777" w:rsidTr="00291DA6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0135FA" w14:textId="77777777" w:rsidR="00291DA6" w:rsidRPr="007B6707" w:rsidRDefault="00291DA6" w:rsidP="00291DA6">
            <w:pPr>
              <w:rPr>
                <w:rFonts w:asciiTheme="minorEastAsia" w:hAnsiTheme="minorEastAsia" w:cs="新細明體"/>
                <w:b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sz w:val="22"/>
              </w:rPr>
              <w:t>不含趨勢指數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958E" w14:textId="77C8A262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101.60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4B57" w14:textId="1647C459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100.17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53208" w14:textId="07C49736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98.49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D2643" w14:textId="6C62263A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96.60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1AB83" w14:textId="1062B487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94.46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8BE4" w14:textId="60C33604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92.19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C98B9" w14:textId="50109D57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89.82 </w:t>
            </w:r>
          </w:p>
        </w:tc>
      </w:tr>
      <w:tr w:rsidR="00291DA6" w:rsidRPr="007B6707" w14:paraId="17E54FB4" w14:textId="77777777" w:rsidTr="00291DA6">
        <w:trPr>
          <w:cantSplit/>
          <w:trHeight w:val="294"/>
          <w:jc w:val="center"/>
        </w:trPr>
        <w:tc>
          <w:tcPr>
            <w:tcW w:w="3222" w:type="dxa"/>
            <w:tcBorders>
              <w:top w:val="nil"/>
              <w:bottom w:val="nil"/>
            </w:tcBorders>
            <w:shd w:val="clear" w:color="auto" w:fill="auto"/>
          </w:tcPr>
          <w:p w14:paraId="16FC686A" w14:textId="77777777" w:rsidR="00291DA6" w:rsidRPr="007B6707" w:rsidRDefault="00291DA6" w:rsidP="00291DA6">
            <w:pPr>
              <w:rPr>
                <w:rFonts w:asciiTheme="minorEastAsia" w:hAnsiTheme="minorEastAsia" w:cs="新細明體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7B6707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E6EEA" w14:textId="1025B7D6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-1.13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200FE" w14:textId="32002B78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-1.41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CDF06" w14:textId="7DC74F67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-1.67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4BF59" w14:textId="017E8512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-1.92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D8ED3" w14:textId="09BDF5B5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-2.22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D1829" w14:textId="0EE04463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-2.41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498C3" w14:textId="089B1442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-2.57 </w:t>
            </w:r>
          </w:p>
        </w:tc>
      </w:tr>
      <w:tr w:rsidR="00291DA6" w:rsidRPr="007B6707" w14:paraId="4A758D8E" w14:textId="77777777" w:rsidTr="00291DA6">
        <w:trPr>
          <w:cantSplit/>
          <w:trHeight w:val="339"/>
          <w:jc w:val="center"/>
        </w:trPr>
        <w:tc>
          <w:tcPr>
            <w:tcW w:w="3222" w:type="dxa"/>
            <w:tcBorders>
              <w:top w:val="nil"/>
              <w:bottom w:val="nil"/>
            </w:tcBorders>
            <w:shd w:val="clear" w:color="auto" w:fill="auto"/>
          </w:tcPr>
          <w:p w14:paraId="532F5E38" w14:textId="77777777" w:rsidR="00291DA6" w:rsidRPr="007B6707" w:rsidRDefault="00291DA6" w:rsidP="00291DA6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5C2A" w14:textId="7EE49134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9E97" w14:textId="213B66D4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AA67A" w14:textId="5507A46A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62D3" w14:textId="6019B37D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91496" w14:textId="3BCDC55F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7B9D2" w14:textId="37E3DE23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0ACE5" w14:textId="1C0CF370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91DA6" w:rsidRPr="007B6707" w14:paraId="002A11F2" w14:textId="77777777" w:rsidTr="00291DA6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C45B8D" w14:textId="77777777" w:rsidR="00291DA6" w:rsidRPr="007B6707" w:rsidRDefault="00291DA6" w:rsidP="00291DA6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工業生產指數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F754" w14:textId="4364BB1C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539D0" w14:textId="464BE6D4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99.66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DAC6" w14:textId="6FA6CEEF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99.09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09B39" w14:textId="39B8AD80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98.49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A383" w14:textId="751587B8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97.84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0AF35" w14:textId="0B947413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97.16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E5D32" w14:textId="7ADEF4DD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96.44 </w:t>
            </w:r>
          </w:p>
        </w:tc>
      </w:tr>
      <w:tr w:rsidR="00291DA6" w:rsidRPr="007B6707" w14:paraId="54C9D869" w14:textId="77777777" w:rsidTr="00291DA6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</w:tcBorders>
            <w:shd w:val="clear" w:color="auto" w:fill="auto"/>
          </w:tcPr>
          <w:p w14:paraId="68FF2F07" w14:textId="77777777" w:rsidR="00291DA6" w:rsidRPr="007B6707" w:rsidRDefault="00291DA6" w:rsidP="00291DA6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電力(企業)總用電量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C0FA4" w14:textId="740455E1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101.30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BE3F" w14:textId="1DC35B29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100.92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F7584" w14:textId="3F1B6511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C21BF" w14:textId="581F3A2B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99.29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7593B" w14:textId="56453F40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97.98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6F2CC" w14:textId="2312B136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96.39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D2A3A" w14:textId="70A399A6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94.58 </w:t>
            </w:r>
          </w:p>
        </w:tc>
      </w:tr>
      <w:tr w:rsidR="00291DA6" w:rsidRPr="007B6707" w14:paraId="108E4853" w14:textId="77777777" w:rsidTr="00291DA6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801480" w14:textId="77777777" w:rsidR="00291DA6" w:rsidRPr="007B6707" w:rsidRDefault="00291DA6" w:rsidP="00291DA6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製造業銷售量指數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F62F7" w14:textId="776823F0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49038" w14:textId="7E8936E6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99.42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DA32A" w14:textId="774409E0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98.74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94E88" w14:textId="7ADD3AEC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98.00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6B429" w14:textId="3B34BA96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97.24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734B" w14:textId="6619314C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96.46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DB62" w14:textId="61A344C5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95.68 </w:t>
            </w:r>
          </w:p>
        </w:tc>
      </w:tr>
      <w:tr w:rsidR="00291DA6" w:rsidRPr="007B6707" w14:paraId="2761CE25" w14:textId="77777777" w:rsidTr="00291DA6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</w:tcBorders>
            <w:shd w:val="clear" w:color="auto" w:fill="auto"/>
          </w:tcPr>
          <w:p w14:paraId="3D79463C" w14:textId="77777777" w:rsidR="00291DA6" w:rsidRPr="007B6707" w:rsidRDefault="00291DA6" w:rsidP="00291DA6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批發、零售及餐飲業營業額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83A78" w14:textId="3518AAC3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100.78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80328" w14:textId="702F5498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DEF38" w14:textId="74C86E89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99.77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2172" w14:textId="2C15B5C1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99.20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2CDAF" w14:textId="5B95ACD2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98.54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9800D" w14:textId="4B58F3D7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97.87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24584" w14:textId="4D37235E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97.18 </w:t>
            </w:r>
          </w:p>
        </w:tc>
      </w:tr>
      <w:tr w:rsidR="00291DA6" w:rsidRPr="007B6707" w14:paraId="43E6768A" w14:textId="77777777" w:rsidTr="00291DA6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2E1836" w14:textId="77777777" w:rsidR="00291DA6" w:rsidRPr="007B6707" w:rsidRDefault="00291DA6" w:rsidP="00291DA6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非農業部門就業人數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C759" w14:textId="6879C858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99.51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3ABBB" w14:textId="7B6DAAA6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99.58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FC4ED" w14:textId="4CFB842F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99.72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A771" w14:textId="01A68C67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99.91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E70BD" w14:textId="54E15C64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100.17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808EF" w14:textId="42C25B69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B7F7C" w14:textId="7E953390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100.80 </w:t>
            </w:r>
          </w:p>
        </w:tc>
      </w:tr>
      <w:tr w:rsidR="00291DA6" w:rsidRPr="007B6707" w14:paraId="24F7E945" w14:textId="77777777" w:rsidTr="00291DA6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nil"/>
            </w:tcBorders>
            <w:shd w:val="clear" w:color="auto" w:fill="auto"/>
          </w:tcPr>
          <w:p w14:paraId="7B5E5256" w14:textId="77777777" w:rsidR="00291DA6" w:rsidRPr="007B6707" w:rsidRDefault="00291DA6" w:rsidP="00291DA6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實質海關出口值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B503" w14:textId="2D0D4461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21305" w14:textId="667C43AD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99.67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0AC6A" w14:textId="6D522777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99.03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33341" w14:textId="1EBEAE20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98.36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208CC" w14:textId="46C2C8FC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97.67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85F30" w14:textId="16CDBCD6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97.04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8F8D" w14:textId="2E4D4A21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96.46 </w:t>
            </w:r>
          </w:p>
        </w:tc>
      </w:tr>
      <w:tr w:rsidR="00291DA6" w:rsidRPr="007B6707" w14:paraId="3E8A5DF4" w14:textId="77777777" w:rsidTr="00291DA6">
        <w:trPr>
          <w:cantSplit/>
          <w:trHeight w:val="360"/>
          <w:jc w:val="center"/>
        </w:trPr>
        <w:tc>
          <w:tcPr>
            <w:tcW w:w="32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B5C3" w14:textId="77777777" w:rsidR="00291DA6" w:rsidRPr="007B6707" w:rsidRDefault="00291DA6" w:rsidP="00291DA6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實質機械及電機設備進口值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5CE6F" w14:textId="3480F66A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100.35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D54EF" w14:textId="2EDEF633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99.92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04225" w14:textId="6B83FB22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99.44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65FCD" w14:textId="3E28BBDF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98.93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63DEC" w14:textId="3C82F65C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98.38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269B7" w14:textId="2669C1DD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97.81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E694B" w14:textId="07B8AE35" w:rsidR="00291DA6" w:rsidRPr="00196C4E" w:rsidRDefault="00291DA6" w:rsidP="00291D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91DA6">
              <w:rPr>
                <w:rFonts w:asciiTheme="minorEastAsia" w:hAnsiTheme="minorEastAsia" w:hint="eastAsia"/>
                <w:sz w:val="20"/>
                <w:szCs w:val="20"/>
              </w:rPr>
              <w:t xml:space="preserve">97.24 </w:t>
            </w:r>
          </w:p>
        </w:tc>
      </w:tr>
    </w:tbl>
    <w:p w14:paraId="5D432F48" w14:textId="17882FA1" w:rsidR="00290A84" w:rsidRPr="007B6707" w:rsidRDefault="00290A84" w:rsidP="00290A84">
      <w:pPr>
        <w:jc w:val="center"/>
        <w:rPr>
          <w:b/>
          <w:bCs/>
          <w:sz w:val="20"/>
          <w:szCs w:val="20"/>
        </w:rPr>
      </w:pPr>
    </w:p>
    <w:p w14:paraId="7579CE98" w14:textId="1F246D84" w:rsidR="003F6F6D" w:rsidRPr="009D42B7" w:rsidRDefault="00C04C1A" w:rsidP="009D42B7">
      <w:pPr>
        <w:spacing w:beforeLines="50" w:before="180"/>
        <w:ind w:leftChars="-177" w:left="-425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710464" behindDoc="0" locked="0" layoutInCell="1" allowOverlap="1" wp14:anchorId="1A0F41A6" wp14:editId="24EECA58">
            <wp:simplePos x="0" y="0"/>
            <wp:positionH relativeFrom="margin">
              <wp:align>center</wp:align>
            </wp:positionH>
            <wp:positionV relativeFrom="paragraph">
              <wp:posOffset>195544</wp:posOffset>
            </wp:positionV>
            <wp:extent cx="6120000" cy="3723197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723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A84" w:rsidRPr="007B6707">
        <w:rPr>
          <w:rFonts w:hint="eastAsia"/>
          <w:b/>
          <w:bCs/>
          <w:sz w:val="32"/>
          <w:szCs w:val="28"/>
        </w:rPr>
        <w:t>圖</w:t>
      </w:r>
      <w:r w:rsidR="00290A84" w:rsidRPr="007B6707">
        <w:rPr>
          <w:rFonts w:hint="eastAsia"/>
          <w:b/>
          <w:bCs/>
          <w:sz w:val="32"/>
          <w:szCs w:val="28"/>
        </w:rPr>
        <w:t xml:space="preserve">4  </w:t>
      </w:r>
      <w:r w:rsidR="00290A84" w:rsidRPr="007B6707">
        <w:rPr>
          <w:rFonts w:hint="eastAsia"/>
          <w:b/>
          <w:bCs/>
          <w:sz w:val="32"/>
          <w:szCs w:val="28"/>
        </w:rPr>
        <w:t>同時指標不含趨勢指數走勢圖</w:t>
      </w:r>
    </w:p>
    <w:p w14:paraId="5CF79D92" w14:textId="77777777" w:rsidR="00CF1D7E" w:rsidRDefault="00CF1D7E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264C9BA" w14:textId="77777777" w:rsidR="004531DD" w:rsidRPr="007B6707" w:rsidRDefault="004531DD" w:rsidP="009D42B7">
      <w:pPr>
        <w:spacing w:beforeLines="100" w:before="360" w:line="380" w:lineRule="exact"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3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落後指標</w:t>
      </w:r>
    </w:p>
    <w:p w14:paraId="0F9B9653" w14:textId="77777777" w:rsidR="004531DD" w:rsidRPr="007B6707" w:rsidRDefault="004531DD" w:rsidP="005B28DF">
      <w:pPr>
        <w:spacing w:line="240" w:lineRule="exact"/>
        <w:ind w:right="-477"/>
        <w:jc w:val="right"/>
        <w:rPr>
          <w:sz w:val="18"/>
          <w:szCs w:val="18"/>
        </w:rPr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463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7"/>
        <w:gridCol w:w="908"/>
        <w:gridCol w:w="924"/>
        <w:gridCol w:w="849"/>
        <w:gridCol w:w="898"/>
        <w:gridCol w:w="952"/>
        <w:gridCol w:w="888"/>
        <w:gridCol w:w="907"/>
      </w:tblGrid>
      <w:tr w:rsidR="001E4E99" w:rsidRPr="007B6707" w14:paraId="0794EB03" w14:textId="55AC1340" w:rsidTr="005C1032">
        <w:trPr>
          <w:cantSplit/>
          <w:trHeight w:val="563"/>
          <w:jc w:val="center"/>
        </w:trPr>
        <w:tc>
          <w:tcPr>
            <w:tcW w:w="3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B901" w14:textId="77777777" w:rsidR="001E4E99" w:rsidRPr="007B6707" w:rsidRDefault="001E4E99" w:rsidP="00A9689A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7B6707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95F2C" w14:textId="66A6FF3B" w:rsidR="001E4E99" w:rsidRPr="007B6707" w:rsidRDefault="001E4E99" w:rsidP="00777D3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B6A26" w14:textId="13986196" w:rsidR="001E4E99" w:rsidRPr="007B6707" w:rsidRDefault="001E4E99" w:rsidP="001E4E9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3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1E4E99" w:rsidRPr="007B6707" w14:paraId="0E3805BD" w14:textId="77777777" w:rsidTr="005C1032">
        <w:trPr>
          <w:cantSplit/>
          <w:trHeight w:val="272"/>
          <w:jc w:val="center"/>
        </w:trPr>
        <w:tc>
          <w:tcPr>
            <w:tcW w:w="3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8543" w14:textId="77777777" w:rsidR="001E4E99" w:rsidRPr="007B6707" w:rsidRDefault="001E4E99" w:rsidP="001E4E99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D5DDE" w14:textId="59EEDF72" w:rsidR="001E4E99" w:rsidRPr="007B6707" w:rsidRDefault="001E4E99" w:rsidP="001E4E9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7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6D14F" w14:textId="4326E52B" w:rsidR="001E4E99" w:rsidRPr="007B6707" w:rsidRDefault="001E4E99" w:rsidP="001E4E9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8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89E5D" w14:textId="18200096" w:rsidR="001E4E99" w:rsidRPr="007B6707" w:rsidRDefault="001E4E99" w:rsidP="001E4E9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9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02763" w14:textId="44734A7A" w:rsidR="001E4E99" w:rsidRPr="007B6707" w:rsidRDefault="001E4E99" w:rsidP="001E4E9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10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E3AD06" w14:textId="25C953C0" w:rsidR="001E4E99" w:rsidRPr="007B6707" w:rsidRDefault="001E4E99" w:rsidP="001E4E9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19187" w14:textId="5EFF1A01" w:rsidR="001E4E99" w:rsidRPr="007B6707" w:rsidRDefault="001E4E99" w:rsidP="001E4E9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8B36C" w14:textId="7B9577F8" w:rsidR="001E4E99" w:rsidRPr="007B6707" w:rsidRDefault="001E4E99" w:rsidP="001E4E9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5C1032" w:rsidRPr="0091402D" w14:paraId="7CE4A662" w14:textId="77777777" w:rsidTr="005C1032">
        <w:trPr>
          <w:cantSplit/>
          <w:trHeight w:val="360"/>
          <w:jc w:val="center"/>
        </w:trPr>
        <w:tc>
          <w:tcPr>
            <w:tcW w:w="31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40CC6D" w14:textId="77777777" w:rsidR="005C1032" w:rsidRPr="007B6707" w:rsidRDefault="005C1032" w:rsidP="005C1032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不含趨勢指數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1DE1" w14:textId="32C2F633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102.95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A27FD" w14:textId="4F3A079B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103.04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FA4B" w14:textId="1952EA49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102.98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B981" w14:textId="271E61EA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102.87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74C9" w14:textId="1A10B54B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102.77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24A6" w14:textId="5AA99BD0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102.65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6E824" w14:textId="12573838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102.48 </w:t>
            </w:r>
          </w:p>
        </w:tc>
      </w:tr>
      <w:tr w:rsidR="005C1032" w:rsidRPr="0091402D" w14:paraId="5C4587F8" w14:textId="77777777" w:rsidTr="005C1032">
        <w:trPr>
          <w:cantSplit/>
          <w:trHeight w:val="294"/>
          <w:jc w:val="center"/>
        </w:trPr>
        <w:tc>
          <w:tcPr>
            <w:tcW w:w="3137" w:type="dxa"/>
            <w:tcBorders>
              <w:top w:val="nil"/>
              <w:bottom w:val="nil"/>
            </w:tcBorders>
            <w:shd w:val="clear" w:color="auto" w:fill="auto"/>
          </w:tcPr>
          <w:p w14:paraId="6AD000CC" w14:textId="77777777" w:rsidR="005C1032" w:rsidRPr="007B6707" w:rsidRDefault="005C1032" w:rsidP="005C1032">
            <w:pPr>
              <w:rPr>
                <w:rFonts w:asciiTheme="minorEastAsia" w:hAnsiTheme="minorEastAsia" w:cs="新細明體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7B6707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B9469" w14:textId="246C0FF9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0.28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95530" w14:textId="7E336CE4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0.09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F27F" w14:textId="1D69472D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-0.06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C6BA" w14:textId="1E1EDBF0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-0.11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8D08C" w14:textId="0BD01434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-0.09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551D1" w14:textId="4ED45144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-0.12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994A" w14:textId="72DB9163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-0.17 </w:t>
            </w:r>
          </w:p>
        </w:tc>
      </w:tr>
      <w:tr w:rsidR="005C1032" w:rsidRPr="0091402D" w14:paraId="6D003CCF" w14:textId="77777777" w:rsidTr="005C1032">
        <w:trPr>
          <w:cantSplit/>
          <w:trHeight w:val="339"/>
          <w:jc w:val="center"/>
        </w:trPr>
        <w:tc>
          <w:tcPr>
            <w:tcW w:w="3137" w:type="dxa"/>
            <w:tcBorders>
              <w:top w:val="nil"/>
              <w:bottom w:val="nil"/>
            </w:tcBorders>
            <w:shd w:val="clear" w:color="auto" w:fill="auto"/>
          </w:tcPr>
          <w:p w14:paraId="727E17FF" w14:textId="77777777" w:rsidR="005C1032" w:rsidRPr="007B6707" w:rsidRDefault="005C1032" w:rsidP="005C1032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88D8" w14:textId="7E834B64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C65F" w14:textId="46EC9E57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06AD" w14:textId="69679C86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CDE5C" w14:textId="29F2F9D8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B3C27" w14:textId="70BD51AB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F57A5" w14:textId="7CCD72E2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2269E" w14:textId="5D540EED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1032" w:rsidRPr="0091402D" w14:paraId="1C5CC87B" w14:textId="77777777" w:rsidTr="005C1032">
        <w:trPr>
          <w:cantSplit/>
          <w:trHeight w:val="360"/>
          <w:jc w:val="center"/>
        </w:trPr>
        <w:tc>
          <w:tcPr>
            <w:tcW w:w="31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29C0FE" w14:textId="77777777" w:rsidR="005C1032" w:rsidRPr="007B6707" w:rsidRDefault="005C1032" w:rsidP="005C103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失業率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DAA6B" w14:textId="1FE01BAD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6BB1" w14:textId="587FBE60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32E35" w14:textId="10EE0576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100.43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076FA" w14:textId="369050A9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100.45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38DA" w14:textId="32FB8FC0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C97B" w14:textId="140FE947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100.49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435B2" w14:textId="40E4AA64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100.50 </w:t>
            </w:r>
          </w:p>
        </w:tc>
      </w:tr>
      <w:tr w:rsidR="005C1032" w:rsidRPr="0091402D" w14:paraId="5C54B8D8" w14:textId="77777777" w:rsidTr="005C1032">
        <w:trPr>
          <w:cantSplit/>
          <w:trHeight w:val="360"/>
          <w:jc w:val="center"/>
        </w:trPr>
        <w:tc>
          <w:tcPr>
            <w:tcW w:w="31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83CFDB" w14:textId="77777777" w:rsidR="005C1032" w:rsidRPr="007B6707" w:rsidRDefault="005C1032" w:rsidP="005C103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製造業單位產出勞動成本指數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9CEBE" w14:textId="3344212C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101.02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FBC2" w14:textId="7BC71565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101.40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305D0" w14:textId="76C833FC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101.70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C937" w14:textId="24B3CA4B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101.97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E15DB" w14:textId="463338F2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102.25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921FE" w14:textId="7BA20D02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102.49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9BFED" w14:textId="5002DA24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102.70 </w:t>
            </w:r>
          </w:p>
        </w:tc>
      </w:tr>
      <w:tr w:rsidR="005C1032" w:rsidRPr="0091402D" w14:paraId="63A4C684" w14:textId="77777777" w:rsidTr="005C1032">
        <w:trPr>
          <w:cantSplit/>
          <w:trHeight w:val="360"/>
          <w:jc w:val="center"/>
        </w:trPr>
        <w:tc>
          <w:tcPr>
            <w:tcW w:w="31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4416D4" w14:textId="77777777" w:rsidR="005C1032" w:rsidRPr="007B6707" w:rsidRDefault="005C1032" w:rsidP="005C103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金融業隔夜拆款利率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C8D20" w14:textId="38B25EDD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EAA64" w14:textId="2200EF11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B86C8" w14:textId="6B9C4FC5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E994D" w14:textId="1E539025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BCF01" w14:textId="1B320E08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11D66" w14:textId="41845B0A" w:rsidR="005C1032" w:rsidRPr="00624031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1A932" w14:textId="1CBCE61B" w:rsidR="005C1032" w:rsidRPr="00624031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100.61 </w:t>
            </w:r>
          </w:p>
        </w:tc>
      </w:tr>
      <w:tr w:rsidR="005C1032" w:rsidRPr="0091402D" w14:paraId="57A3C0D1" w14:textId="77777777" w:rsidTr="005C1032">
        <w:trPr>
          <w:cantSplit/>
          <w:trHeight w:val="360"/>
          <w:jc w:val="center"/>
        </w:trPr>
        <w:tc>
          <w:tcPr>
            <w:tcW w:w="3137" w:type="dxa"/>
            <w:tcBorders>
              <w:top w:val="nil"/>
              <w:bottom w:val="nil"/>
            </w:tcBorders>
            <w:shd w:val="clear" w:color="auto" w:fill="auto"/>
          </w:tcPr>
          <w:p w14:paraId="4360B09C" w14:textId="77777777" w:rsidR="005C1032" w:rsidRPr="007B6707" w:rsidRDefault="005C1032" w:rsidP="005C103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全體金融機構放款與投資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437C5" w14:textId="109C6D8B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99.58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7E5E" w14:textId="4B195D9A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99.24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DB74" w14:textId="61495F8F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98.95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BBFF" w14:textId="7E517D3F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98.73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3EAB9" w14:textId="60A35D23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98.59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80D1" w14:textId="04593AE7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98.50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AA1F4" w14:textId="0F614051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98.44 </w:t>
            </w:r>
          </w:p>
        </w:tc>
      </w:tr>
      <w:tr w:rsidR="005C1032" w:rsidRPr="0091402D" w14:paraId="6EA1F90F" w14:textId="77777777" w:rsidTr="005C1032">
        <w:trPr>
          <w:cantSplit/>
          <w:trHeight w:val="360"/>
          <w:jc w:val="center"/>
        </w:trPr>
        <w:tc>
          <w:tcPr>
            <w:tcW w:w="313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EE17" w14:textId="77777777" w:rsidR="005C1032" w:rsidRPr="007B6707" w:rsidRDefault="005C1032" w:rsidP="005C103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製造業存貨價值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2ABDD" w14:textId="44D353BA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101.98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83061" w14:textId="7CB6CEA9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101.94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4ACB6" w14:textId="3D921239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101.77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2BA29" w14:textId="3C79D9DE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101.50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C5AA3" w14:textId="2A0141EC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101.15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DEB58" w14:textId="07D01F59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100.75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A62ED" w14:textId="3DE034BD" w:rsidR="005C1032" w:rsidRPr="006A335F" w:rsidRDefault="005C1032" w:rsidP="005C103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1032">
              <w:rPr>
                <w:rFonts w:asciiTheme="minorEastAsia" w:hAnsiTheme="minorEastAsia" w:hint="eastAsia"/>
                <w:sz w:val="20"/>
                <w:szCs w:val="20"/>
              </w:rPr>
              <w:t xml:space="preserve">100.32 </w:t>
            </w:r>
          </w:p>
        </w:tc>
      </w:tr>
    </w:tbl>
    <w:p w14:paraId="56DCA1EB" w14:textId="77777777" w:rsidR="00686DD9" w:rsidRPr="007B6707" w:rsidRDefault="00686DD9" w:rsidP="009D42B7">
      <w:pPr>
        <w:pStyle w:val="ad"/>
        <w:spacing w:beforeLines="10" w:before="36" w:line="220" w:lineRule="exact"/>
        <w:ind w:leftChars="-118" w:hangingChars="149" w:hanging="283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失業率取倒數</w:t>
      </w:r>
      <w:r w:rsidR="00AA7592" w:rsidRPr="007B6707">
        <w:rPr>
          <w:rFonts w:ascii="Times New Roman" w:hAnsi="Times New Roman" w:cs="Times New Roman" w:hint="eastAsia"/>
          <w:w w:val="95"/>
          <w:sz w:val="20"/>
          <w:szCs w:val="20"/>
        </w:rPr>
        <w:t>計算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。</w:t>
      </w:r>
    </w:p>
    <w:p w14:paraId="693C9CBE" w14:textId="77777777" w:rsidR="0085562E" w:rsidRPr="007B6707" w:rsidRDefault="0085562E" w:rsidP="009D42B7">
      <w:pPr>
        <w:pStyle w:val="ad"/>
        <w:spacing w:beforeLines="10" w:before="36" w:line="220" w:lineRule="exact"/>
        <w:ind w:leftChars="-118" w:hangingChars="149" w:hanging="283"/>
        <w:rPr>
          <w:rFonts w:ascii="Times New Roman" w:hAnsi="Times New Roman" w:cs="Times New Roman"/>
          <w:w w:val="95"/>
          <w:sz w:val="20"/>
          <w:szCs w:val="20"/>
        </w:rPr>
      </w:pPr>
    </w:p>
    <w:p w14:paraId="55562633" w14:textId="28A9B2EE" w:rsidR="003B43F9" w:rsidRPr="007B6707" w:rsidRDefault="00983340" w:rsidP="0042746F">
      <w:pPr>
        <w:spacing w:beforeLines="50" w:before="180"/>
        <w:ind w:leftChars="-295" w:left="-708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713536" behindDoc="0" locked="0" layoutInCell="1" allowOverlap="1" wp14:anchorId="7841D1A4" wp14:editId="382334EE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6120000" cy="3723197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723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E8" w:rsidRPr="007B6707">
        <w:rPr>
          <w:rFonts w:hint="eastAsia"/>
          <w:b/>
          <w:bCs/>
          <w:sz w:val="32"/>
          <w:szCs w:val="28"/>
        </w:rPr>
        <w:t>圖</w:t>
      </w:r>
      <w:r w:rsidR="00F87FB3" w:rsidRPr="007B6707">
        <w:rPr>
          <w:rFonts w:hint="eastAsia"/>
          <w:b/>
          <w:bCs/>
          <w:sz w:val="32"/>
          <w:szCs w:val="28"/>
        </w:rPr>
        <w:t>5</w:t>
      </w:r>
      <w:r w:rsidR="00C36BE8" w:rsidRPr="007B6707">
        <w:rPr>
          <w:rFonts w:hint="eastAsia"/>
          <w:b/>
          <w:bCs/>
          <w:sz w:val="32"/>
          <w:szCs w:val="28"/>
        </w:rPr>
        <w:t xml:space="preserve">  </w:t>
      </w:r>
      <w:r w:rsidR="00C36BE8" w:rsidRPr="007B6707">
        <w:rPr>
          <w:rFonts w:hint="eastAsia"/>
          <w:b/>
          <w:bCs/>
          <w:sz w:val="32"/>
          <w:szCs w:val="28"/>
        </w:rPr>
        <w:t>落後指標不含趨勢指數走勢圖</w:t>
      </w:r>
    </w:p>
    <w:sectPr w:rsidR="003B43F9" w:rsidRPr="007B6707" w:rsidSect="004009C3">
      <w:footerReference w:type="default" r:id="rId14"/>
      <w:pgSz w:w="11906" w:h="16838"/>
      <w:pgMar w:top="1304" w:right="1797" w:bottom="1440" w:left="1797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6505" w14:textId="77777777" w:rsidR="005E23AA" w:rsidRDefault="005E23AA" w:rsidP="00C369E1">
      <w:r>
        <w:separator/>
      </w:r>
    </w:p>
  </w:endnote>
  <w:endnote w:type="continuationSeparator" w:id="0">
    <w:p w14:paraId="6A67B63A" w14:textId="77777777" w:rsidR="005E23AA" w:rsidRDefault="005E23AA" w:rsidP="00C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770207"/>
      <w:docPartObj>
        <w:docPartGallery w:val="Page Numbers (Bottom of Page)"/>
        <w:docPartUnique/>
      </w:docPartObj>
    </w:sdtPr>
    <w:sdtEndPr/>
    <w:sdtContent>
      <w:p w14:paraId="49C6A072" w14:textId="77777777" w:rsidR="00AB44CC" w:rsidRDefault="0042746F" w:rsidP="00EF7E41">
        <w:pPr>
          <w:pStyle w:val="ab"/>
          <w:jc w:val="center"/>
        </w:pPr>
        <w:r>
          <w:fldChar w:fldCharType="begin"/>
        </w:r>
        <w:r w:rsidR="00AB44CC">
          <w:instrText>PAGE   \* MERGEFORMAT</w:instrText>
        </w:r>
        <w:r>
          <w:fldChar w:fldCharType="separate"/>
        </w:r>
        <w:r w:rsidR="000D0065" w:rsidRPr="000D0065">
          <w:rPr>
            <w:noProof/>
            <w:lang w:val="zh-TW"/>
          </w:rPr>
          <w:t>3</w:t>
        </w:r>
        <w:r>
          <w:fldChar w:fldCharType="end"/>
        </w:r>
      </w:p>
      <w:p w14:paraId="64061B64" w14:textId="77777777" w:rsidR="00AB44CC" w:rsidRDefault="00983340" w:rsidP="004009C3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0F02" w14:textId="77777777" w:rsidR="005E23AA" w:rsidRDefault="005E23AA" w:rsidP="00C369E1">
      <w:r>
        <w:separator/>
      </w:r>
    </w:p>
  </w:footnote>
  <w:footnote w:type="continuationSeparator" w:id="0">
    <w:p w14:paraId="45B5AE7D" w14:textId="77777777" w:rsidR="005E23AA" w:rsidRDefault="005E23AA" w:rsidP="00C3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4F"/>
    <w:multiLevelType w:val="hybridMultilevel"/>
    <w:tmpl w:val="0436F518"/>
    <w:lvl w:ilvl="0" w:tplc="AA04E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29498A"/>
    <w:multiLevelType w:val="hybridMultilevel"/>
    <w:tmpl w:val="CABC019E"/>
    <w:lvl w:ilvl="0" w:tplc="C6BEF32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5DE5E76"/>
    <w:multiLevelType w:val="hybridMultilevel"/>
    <w:tmpl w:val="2B42D0B0"/>
    <w:lvl w:ilvl="0" w:tplc="143EFFE2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597A5835"/>
    <w:multiLevelType w:val="hybridMultilevel"/>
    <w:tmpl w:val="F31E4A2E"/>
    <w:lvl w:ilvl="0" w:tplc="535AF47C">
      <w:numFmt w:val="bullet"/>
      <w:lvlText w:val="●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E5"/>
    <w:rsid w:val="000003B5"/>
    <w:rsid w:val="000005B8"/>
    <w:rsid w:val="00000BB9"/>
    <w:rsid w:val="00000EA8"/>
    <w:rsid w:val="00002198"/>
    <w:rsid w:val="000048F3"/>
    <w:rsid w:val="000059DF"/>
    <w:rsid w:val="0000628D"/>
    <w:rsid w:val="00006755"/>
    <w:rsid w:val="00006C63"/>
    <w:rsid w:val="000103F4"/>
    <w:rsid w:val="00011482"/>
    <w:rsid w:val="00011AC4"/>
    <w:rsid w:val="00011C76"/>
    <w:rsid w:val="000129F8"/>
    <w:rsid w:val="000132F5"/>
    <w:rsid w:val="0001336E"/>
    <w:rsid w:val="000139DC"/>
    <w:rsid w:val="00013A16"/>
    <w:rsid w:val="00013A56"/>
    <w:rsid w:val="000147DF"/>
    <w:rsid w:val="00014912"/>
    <w:rsid w:val="00014A42"/>
    <w:rsid w:val="00015E28"/>
    <w:rsid w:val="0001623B"/>
    <w:rsid w:val="00016682"/>
    <w:rsid w:val="00016B81"/>
    <w:rsid w:val="0001735F"/>
    <w:rsid w:val="00020AB2"/>
    <w:rsid w:val="00020FC7"/>
    <w:rsid w:val="0002143E"/>
    <w:rsid w:val="00023094"/>
    <w:rsid w:val="00023375"/>
    <w:rsid w:val="00023E36"/>
    <w:rsid w:val="00024FA1"/>
    <w:rsid w:val="00025BCD"/>
    <w:rsid w:val="00027AC6"/>
    <w:rsid w:val="00027C3A"/>
    <w:rsid w:val="0003013A"/>
    <w:rsid w:val="000301AB"/>
    <w:rsid w:val="000302E3"/>
    <w:rsid w:val="00032C5C"/>
    <w:rsid w:val="00033145"/>
    <w:rsid w:val="000334FF"/>
    <w:rsid w:val="0003531A"/>
    <w:rsid w:val="00035591"/>
    <w:rsid w:val="00035DE7"/>
    <w:rsid w:val="0003673A"/>
    <w:rsid w:val="00037B52"/>
    <w:rsid w:val="00037B8B"/>
    <w:rsid w:val="00037C79"/>
    <w:rsid w:val="00037F16"/>
    <w:rsid w:val="0004078B"/>
    <w:rsid w:val="000416BE"/>
    <w:rsid w:val="000417B6"/>
    <w:rsid w:val="000419F5"/>
    <w:rsid w:val="00042641"/>
    <w:rsid w:val="00043987"/>
    <w:rsid w:val="00045CC7"/>
    <w:rsid w:val="00046C20"/>
    <w:rsid w:val="000513BE"/>
    <w:rsid w:val="00051DE4"/>
    <w:rsid w:val="00053603"/>
    <w:rsid w:val="00053AB1"/>
    <w:rsid w:val="00054278"/>
    <w:rsid w:val="00054709"/>
    <w:rsid w:val="00054C5D"/>
    <w:rsid w:val="00054C87"/>
    <w:rsid w:val="00055C7C"/>
    <w:rsid w:val="00056C35"/>
    <w:rsid w:val="0005752C"/>
    <w:rsid w:val="000576E7"/>
    <w:rsid w:val="00057A17"/>
    <w:rsid w:val="0006027B"/>
    <w:rsid w:val="00060ABB"/>
    <w:rsid w:val="00061DAE"/>
    <w:rsid w:val="0006354A"/>
    <w:rsid w:val="000638DC"/>
    <w:rsid w:val="00064594"/>
    <w:rsid w:val="00064E37"/>
    <w:rsid w:val="00067095"/>
    <w:rsid w:val="00070CD0"/>
    <w:rsid w:val="0007281E"/>
    <w:rsid w:val="00073460"/>
    <w:rsid w:val="00073766"/>
    <w:rsid w:val="00074A46"/>
    <w:rsid w:val="0007544A"/>
    <w:rsid w:val="0007558A"/>
    <w:rsid w:val="00076AD3"/>
    <w:rsid w:val="00076C03"/>
    <w:rsid w:val="00076FDE"/>
    <w:rsid w:val="000775C4"/>
    <w:rsid w:val="0007789A"/>
    <w:rsid w:val="0008001E"/>
    <w:rsid w:val="000801A6"/>
    <w:rsid w:val="00081E91"/>
    <w:rsid w:val="000832AD"/>
    <w:rsid w:val="000839E1"/>
    <w:rsid w:val="00083E6C"/>
    <w:rsid w:val="00084077"/>
    <w:rsid w:val="00084BD0"/>
    <w:rsid w:val="00085BC4"/>
    <w:rsid w:val="000868E4"/>
    <w:rsid w:val="00086934"/>
    <w:rsid w:val="00087390"/>
    <w:rsid w:val="000877C4"/>
    <w:rsid w:val="00090BB2"/>
    <w:rsid w:val="000931B7"/>
    <w:rsid w:val="00095967"/>
    <w:rsid w:val="00095D77"/>
    <w:rsid w:val="00095D92"/>
    <w:rsid w:val="000964C2"/>
    <w:rsid w:val="00097176"/>
    <w:rsid w:val="00097295"/>
    <w:rsid w:val="000A0D4B"/>
    <w:rsid w:val="000A187F"/>
    <w:rsid w:val="000A1DD5"/>
    <w:rsid w:val="000A51BF"/>
    <w:rsid w:val="000A5460"/>
    <w:rsid w:val="000A5FEE"/>
    <w:rsid w:val="000A659E"/>
    <w:rsid w:val="000A7353"/>
    <w:rsid w:val="000B0838"/>
    <w:rsid w:val="000B1A74"/>
    <w:rsid w:val="000B277C"/>
    <w:rsid w:val="000B38BC"/>
    <w:rsid w:val="000B4916"/>
    <w:rsid w:val="000B4E24"/>
    <w:rsid w:val="000B5D2B"/>
    <w:rsid w:val="000B67C8"/>
    <w:rsid w:val="000B7846"/>
    <w:rsid w:val="000C05D4"/>
    <w:rsid w:val="000C0692"/>
    <w:rsid w:val="000C39E5"/>
    <w:rsid w:val="000C47A3"/>
    <w:rsid w:val="000C6A15"/>
    <w:rsid w:val="000C73B6"/>
    <w:rsid w:val="000D0065"/>
    <w:rsid w:val="000D18E5"/>
    <w:rsid w:val="000D1A2A"/>
    <w:rsid w:val="000D2A04"/>
    <w:rsid w:val="000D2A64"/>
    <w:rsid w:val="000D5D44"/>
    <w:rsid w:val="000D71D2"/>
    <w:rsid w:val="000D723B"/>
    <w:rsid w:val="000D78C2"/>
    <w:rsid w:val="000D7B09"/>
    <w:rsid w:val="000E0981"/>
    <w:rsid w:val="000E0AF2"/>
    <w:rsid w:val="000E130C"/>
    <w:rsid w:val="000E1AA5"/>
    <w:rsid w:val="000E1B27"/>
    <w:rsid w:val="000E2996"/>
    <w:rsid w:val="000E2E70"/>
    <w:rsid w:val="000E37EA"/>
    <w:rsid w:val="000E3E1F"/>
    <w:rsid w:val="000E3F14"/>
    <w:rsid w:val="000E56C6"/>
    <w:rsid w:val="000E5AF3"/>
    <w:rsid w:val="000E5B04"/>
    <w:rsid w:val="000E5C59"/>
    <w:rsid w:val="000E5FE8"/>
    <w:rsid w:val="000E7CDF"/>
    <w:rsid w:val="000F186E"/>
    <w:rsid w:val="000F4793"/>
    <w:rsid w:val="000F4BD1"/>
    <w:rsid w:val="000F6C1C"/>
    <w:rsid w:val="000F7A47"/>
    <w:rsid w:val="000F7BFE"/>
    <w:rsid w:val="000F7FA4"/>
    <w:rsid w:val="001007B9"/>
    <w:rsid w:val="00101C58"/>
    <w:rsid w:val="0010362F"/>
    <w:rsid w:val="00104C9C"/>
    <w:rsid w:val="0010660E"/>
    <w:rsid w:val="00106981"/>
    <w:rsid w:val="001070ED"/>
    <w:rsid w:val="00107426"/>
    <w:rsid w:val="00110B4C"/>
    <w:rsid w:val="00110F75"/>
    <w:rsid w:val="001133AF"/>
    <w:rsid w:val="0011455B"/>
    <w:rsid w:val="00114656"/>
    <w:rsid w:val="001146C7"/>
    <w:rsid w:val="00117464"/>
    <w:rsid w:val="00120518"/>
    <w:rsid w:val="00120715"/>
    <w:rsid w:val="00120E6F"/>
    <w:rsid w:val="00121C81"/>
    <w:rsid w:val="001227F0"/>
    <w:rsid w:val="00123583"/>
    <w:rsid w:val="00123DFF"/>
    <w:rsid w:val="00123E11"/>
    <w:rsid w:val="00124201"/>
    <w:rsid w:val="001246FC"/>
    <w:rsid w:val="0012531A"/>
    <w:rsid w:val="001265C1"/>
    <w:rsid w:val="00126FFE"/>
    <w:rsid w:val="001271D1"/>
    <w:rsid w:val="00134F9C"/>
    <w:rsid w:val="00136506"/>
    <w:rsid w:val="001367A3"/>
    <w:rsid w:val="0013703A"/>
    <w:rsid w:val="0014029E"/>
    <w:rsid w:val="0014113B"/>
    <w:rsid w:val="00141A31"/>
    <w:rsid w:val="00142DE7"/>
    <w:rsid w:val="00143490"/>
    <w:rsid w:val="0014439B"/>
    <w:rsid w:val="001446D3"/>
    <w:rsid w:val="001479A6"/>
    <w:rsid w:val="00147AC5"/>
    <w:rsid w:val="0015020D"/>
    <w:rsid w:val="00151A36"/>
    <w:rsid w:val="0015375A"/>
    <w:rsid w:val="00153E1A"/>
    <w:rsid w:val="001560E5"/>
    <w:rsid w:val="0015612E"/>
    <w:rsid w:val="00156CB3"/>
    <w:rsid w:val="00157275"/>
    <w:rsid w:val="0016044C"/>
    <w:rsid w:val="001613E9"/>
    <w:rsid w:val="0016581D"/>
    <w:rsid w:val="001677DD"/>
    <w:rsid w:val="00171FEF"/>
    <w:rsid w:val="00174548"/>
    <w:rsid w:val="0017465F"/>
    <w:rsid w:val="001755D4"/>
    <w:rsid w:val="0017581B"/>
    <w:rsid w:val="00175AC6"/>
    <w:rsid w:val="0017608E"/>
    <w:rsid w:val="00176285"/>
    <w:rsid w:val="001775FF"/>
    <w:rsid w:val="00177D90"/>
    <w:rsid w:val="0018069E"/>
    <w:rsid w:val="0018136C"/>
    <w:rsid w:val="00181CB2"/>
    <w:rsid w:val="0018324E"/>
    <w:rsid w:val="0018458D"/>
    <w:rsid w:val="001851B0"/>
    <w:rsid w:val="0018613B"/>
    <w:rsid w:val="001877DE"/>
    <w:rsid w:val="00190B69"/>
    <w:rsid w:val="00192A8E"/>
    <w:rsid w:val="00192B34"/>
    <w:rsid w:val="00193421"/>
    <w:rsid w:val="001941DA"/>
    <w:rsid w:val="0019496D"/>
    <w:rsid w:val="00194B31"/>
    <w:rsid w:val="00194E9F"/>
    <w:rsid w:val="00194F7F"/>
    <w:rsid w:val="00195851"/>
    <w:rsid w:val="00196C4E"/>
    <w:rsid w:val="00196E6C"/>
    <w:rsid w:val="001A32B2"/>
    <w:rsid w:val="001A3AD9"/>
    <w:rsid w:val="001A3E2F"/>
    <w:rsid w:val="001A4A77"/>
    <w:rsid w:val="001A5A24"/>
    <w:rsid w:val="001A5A5A"/>
    <w:rsid w:val="001A644A"/>
    <w:rsid w:val="001A7ACE"/>
    <w:rsid w:val="001B05C7"/>
    <w:rsid w:val="001B08E0"/>
    <w:rsid w:val="001B16E9"/>
    <w:rsid w:val="001B3367"/>
    <w:rsid w:val="001B3DBF"/>
    <w:rsid w:val="001B69EA"/>
    <w:rsid w:val="001B7BE1"/>
    <w:rsid w:val="001B7E6F"/>
    <w:rsid w:val="001C116F"/>
    <w:rsid w:val="001C18F2"/>
    <w:rsid w:val="001C27A5"/>
    <w:rsid w:val="001C3259"/>
    <w:rsid w:val="001C3E98"/>
    <w:rsid w:val="001C40B6"/>
    <w:rsid w:val="001C4866"/>
    <w:rsid w:val="001C5255"/>
    <w:rsid w:val="001C56D0"/>
    <w:rsid w:val="001C659F"/>
    <w:rsid w:val="001C6688"/>
    <w:rsid w:val="001C7554"/>
    <w:rsid w:val="001C77DA"/>
    <w:rsid w:val="001D0F7B"/>
    <w:rsid w:val="001D3597"/>
    <w:rsid w:val="001D428C"/>
    <w:rsid w:val="001D5AD4"/>
    <w:rsid w:val="001D61F2"/>
    <w:rsid w:val="001D6551"/>
    <w:rsid w:val="001D6663"/>
    <w:rsid w:val="001D6BF6"/>
    <w:rsid w:val="001D78D7"/>
    <w:rsid w:val="001E030E"/>
    <w:rsid w:val="001E1913"/>
    <w:rsid w:val="001E2FA4"/>
    <w:rsid w:val="001E3D28"/>
    <w:rsid w:val="001E3EA6"/>
    <w:rsid w:val="001E4E99"/>
    <w:rsid w:val="001E5889"/>
    <w:rsid w:val="001E5938"/>
    <w:rsid w:val="001E5A0E"/>
    <w:rsid w:val="001F044D"/>
    <w:rsid w:val="001F10EA"/>
    <w:rsid w:val="001F2815"/>
    <w:rsid w:val="001F337F"/>
    <w:rsid w:val="001F52CC"/>
    <w:rsid w:val="001F5D21"/>
    <w:rsid w:val="001F5F33"/>
    <w:rsid w:val="00200D05"/>
    <w:rsid w:val="00206659"/>
    <w:rsid w:val="00206DB6"/>
    <w:rsid w:val="00207440"/>
    <w:rsid w:val="00210172"/>
    <w:rsid w:val="00210350"/>
    <w:rsid w:val="002110E3"/>
    <w:rsid w:val="00211A64"/>
    <w:rsid w:val="002128F2"/>
    <w:rsid w:val="0021319F"/>
    <w:rsid w:val="0021393F"/>
    <w:rsid w:val="00214176"/>
    <w:rsid w:val="00214613"/>
    <w:rsid w:val="00214758"/>
    <w:rsid w:val="002150A5"/>
    <w:rsid w:val="00215B77"/>
    <w:rsid w:val="00216477"/>
    <w:rsid w:val="00217ECF"/>
    <w:rsid w:val="00220AC9"/>
    <w:rsid w:val="00220E6D"/>
    <w:rsid w:val="002215EC"/>
    <w:rsid w:val="0022221D"/>
    <w:rsid w:val="002235F3"/>
    <w:rsid w:val="00223E41"/>
    <w:rsid w:val="00224355"/>
    <w:rsid w:val="002247E5"/>
    <w:rsid w:val="00224E57"/>
    <w:rsid w:val="002261D3"/>
    <w:rsid w:val="00226B16"/>
    <w:rsid w:val="00231F28"/>
    <w:rsid w:val="002321F9"/>
    <w:rsid w:val="00232DF1"/>
    <w:rsid w:val="00232F07"/>
    <w:rsid w:val="002334AE"/>
    <w:rsid w:val="002336FE"/>
    <w:rsid w:val="00235B49"/>
    <w:rsid w:val="0023796F"/>
    <w:rsid w:val="0023799B"/>
    <w:rsid w:val="00237EFF"/>
    <w:rsid w:val="0024124D"/>
    <w:rsid w:val="00242F15"/>
    <w:rsid w:val="00243A1B"/>
    <w:rsid w:val="002445F4"/>
    <w:rsid w:val="00245D9C"/>
    <w:rsid w:val="00245FA1"/>
    <w:rsid w:val="00246E12"/>
    <w:rsid w:val="00247A92"/>
    <w:rsid w:val="00247C50"/>
    <w:rsid w:val="00247CA7"/>
    <w:rsid w:val="00247FF5"/>
    <w:rsid w:val="00251229"/>
    <w:rsid w:val="002515F4"/>
    <w:rsid w:val="00252874"/>
    <w:rsid w:val="00253AA7"/>
    <w:rsid w:val="00254314"/>
    <w:rsid w:val="002554F9"/>
    <w:rsid w:val="00255FC7"/>
    <w:rsid w:val="00256539"/>
    <w:rsid w:val="0025678A"/>
    <w:rsid w:val="00257757"/>
    <w:rsid w:val="00260640"/>
    <w:rsid w:val="00260A5A"/>
    <w:rsid w:val="0026129F"/>
    <w:rsid w:val="00262802"/>
    <w:rsid w:val="00264106"/>
    <w:rsid w:val="00265149"/>
    <w:rsid w:val="00265F80"/>
    <w:rsid w:val="00266B6A"/>
    <w:rsid w:val="00267682"/>
    <w:rsid w:val="00270E81"/>
    <w:rsid w:val="00270F06"/>
    <w:rsid w:val="00271394"/>
    <w:rsid w:val="0027175B"/>
    <w:rsid w:val="002717B3"/>
    <w:rsid w:val="00271C29"/>
    <w:rsid w:val="00271E81"/>
    <w:rsid w:val="00273446"/>
    <w:rsid w:val="00273523"/>
    <w:rsid w:val="00273D9E"/>
    <w:rsid w:val="002747E5"/>
    <w:rsid w:val="0027526E"/>
    <w:rsid w:val="0027584F"/>
    <w:rsid w:val="002762F7"/>
    <w:rsid w:val="00276D09"/>
    <w:rsid w:val="00277A4A"/>
    <w:rsid w:val="0028062D"/>
    <w:rsid w:val="00281042"/>
    <w:rsid w:val="002810CD"/>
    <w:rsid w:val="00281D42"/>
    <w:rsid w:val="00282467"/>
    <w:rsid w:val="00282543"/>
    <w:rsid w:val="00282833"/>
    <w:rsid w:val="00282CE3"/>
    <w:rsid w:val="00283A2F"/>
    <w:rsid w:val="00284524"/>
    <w:rsid w:val="002866F6"/>
    <w:rsid w:val="00287625"/>
    <w:rsid w:val="00290A84"/>
    <w:rsid w:val="002919F4"/>
    <w:rsid w:val="00291DA6"/>
    <w:rsid w:val="00292A8E"/>
    <w:rsid w:val="00293577"/>
    <w:rsid w:val="002947A1"/>
    <w:rsid w:val="00295467"/>
    <w:rsid w:val="0029658A"/>
    <w:rsid w:val="002A05AD"/>
    <w:rsid w:val="002A1B15"/>
    <w:rsid w:val="002A21D6"/>
    <w:rsid w:val="002A30FE"/>
    <w:rsid w:val="002A34D5"/>
    <w:rsid w:val="002A3D7F"/>
    <w:rsid w:val="002A5C3D"/>
    <w:rsid w:val="002A635C"/>
    <w:rsid w:val="002A64F0"/>
    <w:rsid w:val="002A6CA8"/>
    <w:rsid w:val="002B036C"/>
    <w:rsid w:val="002B0B87"/>
    <w:rsid w:val="002B0C85"/>
    <w:rsid w:val="002B0CCD"/>
    <w:rsid w:val="002B18D4"/>
    <w:rsid w:val="002B1F84"/>
    <w:rsid w:val="002B205B"/>
    <w:rsid w:val="002B26DD"/>
    <w:rsid w:val="002B2FBF"/>
    <w:rsid w:val="002B4A37"/>
    <w:rsid w:val="002B4E40"/>
    <w:rsid w:val="002B5341"/>
    <w:rsid w:val="002B54A3"/>
    <w:rsid w:val="002B5F31"/>
    <w:rsid w:val="002C0C9D"/>
    <w:rsid w:val="002C2133"/>
    <w:rsid w:val="002C2CE9"/>
    <w:rsid w:val="002C3526"/>
    <w:rsid w:val="002C3840"/>
    <w:rsid w:val="002C59B4"/>
    <w:rsid w:val="002C69E2"/>
    <w:rsid w:val="002C6CA4"/>
    <w:rsid w:val="002C7D21"/>
    <w:rsid w:val="002D050E"/>
    <w:rsid w:val="002D0606"/>
    <w:rsid w:val="002D0894"/>
    <w:rsid w:val="002D0DB8"/>
    <w:rsid w:val="002D27D4"/>
    <w:rsid w:val="002D4F8C"/>
    <w:rsid w:val="002D546B"/>
    <w:rsid w:val="002D6274"/>
    <w:rsid w:val="002D7BA1"/>
    <w:rsid w:val="002D7D39"/>
    <w:rsid w:val="002E09A9"/>
    <w:rsid w:val="002E0B04"/>
    <w:rsid w:val="002E152B"/>
    <w:rsid w:val="002E1B7B"/>
    <w:rsid w:val="002E1FA3"/>
    <w:rsid w:val="002E2075"/>
    <w:rsid w:val="002E2B34"/>
    <w:rsid w:val="002E3506"/>
    <w:rsid w:val="002E4685"/>
    <w:rsid w:val="002E4B54"/>
    <w:rsid w:val="002E4D55"/>
    <w:rsid w:val="002E5199"/>
    <w:rsid w:val="002E56E5"/>
    <w:rsid w:val="002E608F"/>
    <w:rsid w:val="002E639A"/>
    <w:rsid w:val="002E63EE"/>
    <w:rsid w:val="002E6C33"/>
    <w:rsid w:val="002E6CD4"/>
    <w:rsid w:val="002E76C1"/>
    <w:rsid w:val="002F0678"/>
    <w:rsid w:val="002F0FE5"/>
    <w:rsid w:val="002F154B"/>
    <w:rsid w:val="002F2240"/>
    <w:rsid w:val="002F24BB"/>
    <w:rsid w:val="002F273D"/>
    <w:rsid w:val="002F28EE"/>
    <w:rsid w:val="002F2FB2"/>
    <w:rsid w:val="002F3CB6"/>
    <w:rsid w:val="002F4D20"/>
    <w:rsid w:val="002F573A"/>
    <w:rsid w:val="002F6159"/>
    <w:rsid w:val="002F714A"/>
    <w:rsid w:val="002F71DB"/>
    <w:rsid w:val="002F7DA0"/>
    <w:rsid w:val="003006D6"/>
    <w:rsid w:val="003010B5"/>
    <w:rsid w:val="0030134C"/>
    <w:rsid w:val="00301953"/>
    <w:rsid w:val="00301A1C"/>
    <w:rsid w:val="00301E66"/>
    <w:rsid w:val="00303A6F"/>
    <w:rsid w:val="003051BF"/>
    <w:rsid w:val="003057F9"/>
    <w:rsid w:val="00306C46"/>
    <w:rsid w:val="00306F21"/>
    <w:rsid w:val="00307ABF"/>
    <w:rsid w:val="00310CFD"/>
    <w:rsid w:val="00310F85"/>
    <w:rsid w:val="0031122F"/>
    <w:rsid w:val="003124EA"/>
    <w:rsid w:val="00312736"/>
    <w:rsid w:val="003167D1"/>
    <w:rsid w:val="00317CAC"/>
    <w:rsid w:val="003205A6"/>
    <w:rsid w:val="00320CF6"/>
    <w:rsid w:val="00320F79"/>
    <w:rsid w:val="00321562"/>
    <w:rsid w:val="003223D1"/>
    <w:rsid w:val="00324ACE"/>
    <w:rsid w:val="00324B02"/>
    <w:rsid w:val="00324BA4"/>
    <w:rsid w:val="003250B3"/>
    <w:rsid w:val="00325593"/>
    <w:rsid w:val="00325602"/>
    <w:rsid w:val="0032610C"/>
    <w:rsid w:val="00326154"/>
    <w:rsid w:val="00326E4D"/>
    <w:rsid w:val="003272AE"/>
    <w:rsid w:val="00327C9C"/>
    <w:rsid w:val="00330849"/>
    <w:rsid w:val="0033144B"/>
    <w:rsid w:val="00332528"/>
    <w:rsid w:val="00332832"/>
    <w:rsid w:val="00332BE1"/>
    <w:rsid w:val="00333611"/>
    <w:rsid w:val="003336DC"/>
    <w:rsid w:val="00333E08"/>
    <w:rsid w:val="00334F5B"/>
    <w:rsid w:val="00335F64"/>
    <w:rsid w:val="003362B2"/>
    <w:rsid w:val="00336E96"/>
    <w:rsid w:val="003374F2"/>
    <w:rsid w:val="00337662"/>
    <w:rsid w:val="003379D1"/>
    <w:rsid w:val="00340EED"/>
    <w:rsid w:val="0034170A"/>
    <w:rsid w:val="0034260A"/>
    <w:rsid w:val="00343E6C"/>
    <w:rsid w:val="00344D24"/>
    <w:rsid w:val="003451B8"/>
    <w:rsid w:val="00345B5B"/>
    <w:rsid w:val="00345C0B"/>
    <w:rsid w:val="00346863"/>
    <w:rsid w:val="00350C6D"/>
    <w:rsid w:val="0035122B"/>
    <w:rsid w:val="00351AA4"/>
    <w:rsid w:val="00351ECA"/>
    <w:rsid w:val="00352463"/>
    <w:rsid w:val="00352F86"/>
    <w:rsid w:val="00354254"/>
    <w:rsid w:val="00354770"/>
    <w:rsid w:val="00354C09"/>
    <w:rsid w:val="00355018"/>
    <w:rsid w:val="003568B4"/>
    <w:rsid w:val="003570EE"/>
    <w:rsid w:val="0036054F"/>
    <w:rsid w:val="00360668"/>
    <w:rsid w:val="00361A6C"/>
    <w:rsid w:val="0036232F"/>
    <w:rsid w:val="003623D5"/>
    <w:rsid w:val="00362948"/>
    <w:rsid w:val="00363F5A"/>
    <w:rsid w:val="003646ED"/>
    <w:rsid w:val="00366A4C"/>
    <w:rsid w:val="00367B09"/>
    <w:rsid w:val="003706DD"/>
    <w:rsid w:val="00370CFE"/>
    <w:rsid w:val="00370E07"/>
    <w:rsid w:val="003721C2"/>
    <w:rsid w:val="00372860"/>
    <w:rsid w:val="00374006"/>
    <w:rsid w:val="003747C5"/>
    <w:rsid w:val="00374994"/>
    <w:rsid w:val="00374DC5"/>
    <w:rsid w:val="0037507A"/>
    <w:rsid w:val="00375112"/>
    <w:rsid w:val="00375258"/>
    <w:rsid w:val="0037571A"/>
    <w:rsid w:val="00377270"/>
    <w:rsid w:val="0037784D"/>
    <w:rsid w:val="00377942"/>
    <w:rsid w:val="00380416"/>
    <w:rsid w:val="00380948"/>
    <w:rsid w:val="00380F9D"/>
    <w:rsid w:val="003819EB"/>
    <w:rsid w:val="0038229C"/>
    <w:rsid w:val="003834ED"/>
    <w:rsid w:val="00383613"/>
    <w:rsid w:val="003842CC"/>
    <w:rsid w:val="0038494A"/>
    <w:rsid w:val="00384A7D"/>
    <w:rsid w:val="003861B6"/>
    <w:rsid w:val="0038667D"/>
    <w:rsid w:val="00387101"/>
    <w:rsid w:val="00390161"/>
    <w:rsid w:val="00391248"/>
    <w:rsid w:val="00391C37"/>
    <w:rsid w:val="0039252F"/>
    <w:rsid w:val="0039317E"/>
    <w:rsid w:val="003942B5"/>
    <w:rsid w:val="003949CA"/>
    <w:rsid w:val="00394A13"/>
    <w:rsid w:val="00394BDA"/>
    <w:rsid w:val="0039620B"/>
    <w:rsid w:val="003963B4"/>
    <w:rsid w:val="00397585"/>
    <w:rsid w:val="00397C00"/>
    <w:rsid w:val="003A00EF"/>
    <w:rsid w:val="003A0627"/>
    <w:rsid w:val="003A0916"/>
    <w:rsid w:val="003A135D"/>
    <w:rsid w:val="003A15BA"/>
    <w:rsid w:val="003A1BD2"/>
    <w:rsid w:val="003A2230"/>
    <w:rsid w:val="003A3752"/>
    <w:rsid w:val="003A54CF"/>
    <w:rsid w:val="003A5C49"/>
    <w:rsid w:val="003A7BAE"/>
    <w:rsid w:val="003B0E26"/>
    <w:rsid w:val="003B0F73"/>
    <w:rsid w:val="003B1014"/>
    <w:rsid w:val="003B1251"/>
    <w:rsid w:val="003B3E2F"/>
    <w:rsid w:val="003B43F9"/>
    <w:rsid w:val="003B4415"/>
    <w:rsid w:val="003B5F5A"/>
    <w:rsid w:val="003B6630"/>
    <w:rsid w:val="003B79A9"/>
    <w:rsid w:val="003C02E8"/>
    <w:rsid w:val="003C0BD4"/>
    <w:rsid w:val="003C12BC"/>
    <w:rsid w:val="003C1459"/>
    <w:rsid w:val="003C20A0"/>
    <w:rsid w:val="003C34B0"/>
    <w:rsid w:val="003C4D5A"/>
    <w:rsid w:val="003C4D64"/>
    <w:rsid w:val="003C4EFE"/>
    <w:rsid w:val="003C5648"/>
    <w:rsid w:val="003D0CCA"/>
    <w:rsid w:val="003D1062"/>
    <w:rsid w:val="003D36DE"/>
    <w:rsid w:val="003D40D8"/>
    <w:rsid w:val="003D6F74"/>
    <w:rsid w:val="003D7636"/>
    <w:rsid w:val="003D7A03"/>
    <w:rsid w:val="003E1F4E"/>
    <w:rsid w:val="003E21ED"/>
    <w:rsid w:val="003E2A76"/>
    <w:rsid w:val="003E3FA2"/>
    <w:rsid w:val="003E5904"/>
    <w:rsid w:val="003E7003"/>
    <w:rsid w:val="003E7C7F"/>
    <w:rsid w:val="003F0146"/>
    <w:rsid w:val="003F1D1A"/>
    <w:rsid w:val="003F2139"/>
    <w:rsid w:val="003F4B26"/>
    <w:rsid w:val="003F52B0"/>
    <w:rsid w:val="003F555D"/>
    <w:rsid w:val="003F6379"/>
    <w:rsid w:val="003F6BC2"/>
    <w:rsid w:val="003F6F6D"/>
    <w:rsid w:val="003F7D07"/>
    <w:rsid w:val="004009C3"/>
    <w:rsid w:val="00400C36"/>
    <w:rsid w:val="00400DD9"/>
    <w:rsid w:val="004014C7"/>
    <w:rsid w:val="00401662"/>
    <w:rsid w:val="00402E92"/>
    <w:rsid w:val="00402EE2"/>
    <w:rsid w:val="00403941"/>
    <w:rsid w:val="00403E72"/>
    <w:rsid w:val="004058E2"/>
    <w:rsid w:val="00407C60"/>
    <w:rsid w:val="0041041F"/>
    <w:rsid w:val="004105E0"/>
    <w:rsid w:val="004106B8"/>
    <w:rsid w:val="00411420"/>
    <w:rsid w:val="00412603"/>
    <w:rsid w:val="00412B89"/>
    <w:rsid w:val="0041362E"/>
    <w:rsid w:val="00414747"/>
    <w:rsid w:val="00414B49"/>
    <w:rsid w:val="004154B0"/>
    <w:rsid w:val="004155B0"/>
    <w:rsid w:val="0041632B"/>
    <w:rsid w:val="00417631"/>
    <w:rsid w:val="00417F51"/>
    <w:rsid w:val="004209DF"/>
    <w:rsid w:val="0042178C"/>
    <w:rsid w:val="004218E9"/>
    <w:rsid w:val="0042195C"/>
    <w:rsid w:val="00422B0E"/>
    <w:rsid w:val="0042556E"/>
    <w:rsid w:val="00425E20"/>
    <w:rsid w:val="00425F31"/>
    <w:rsid w:val="00426423"/>
    <w:rsid w:val="00427305"/>
    <w:rsid w:val="0042746F"/>
    <w:rsid w:val="004274AC"/>
    <w:rsid w:val="00427A2C"/>
    <w:rsid w:val="004302F3"/>
    <w:rsid w:val="004324BD"/>
    <w:rsid w:val="0043289A"/>
    <w:rsid w:val="00433799"/>
    <w:rsid w:val="00433B70"/>
    <w:rsid w:val="004351EE"/>
    <w:rsid w:val="0043536B"/>
    <w:rsid w:val="00436B60"/>
    <w:rsid w:val="00437324"/>
    <w:rsid w:val="00437384"/>
    <w:rsid w:val="00437906"/>
    <w:rsid w:val="00437A24"/>
    <w:rsid w:val="00440408"/>
    <w:rsid w:val="0044065E"/>
    <w:rsid w:val="0044066A"/>
    <w:rsid w:val="00440F93"/>
    <w:rsid w:val="0044121B"/>
    <w:rsid w:val="00441472"/>
    <w:rsid w:val="00441995"/>
    <w:rsid w:val="00441D78"/>
    <w:rsid w:val="00441EAA"/>
    <w:rsid w:val="004421F7"/>
    <w:rsid w:val="00442C35"/>
    <w:rsid w:val="00444036"/>
    <w:rsid w:val="004441F3"/>
    <w:rsid w:val="004443DC"/>
    <w:rsid w:val="00444B83"/>
    <w:rsid w:val="00445130"/>
    <w:rsid w:val="00445439"/>
    <w:rsid w:val="00445B2F"/>
    <w:rsid w:val="00445FAF"/>
    <w:rsid w:val="0044759E"/>
    <w:rsid w:val="00450388"/>
    <w:rsid w:val="004507D8"/>
    <w:rsid w:val="00450F2F"/>
    <w:rsid w:val="00451F91"/>
    <w:rsid w:val="004531DD"/>
    <w:rsid w:val="00454BA7"/>
    <w:rsid w:val="0045514B"/>
    <w:rsid w:val="004565EF"/>
    <w:rsid w:val="0045731B"/>
    <w:rsid w:val="00461F21"/>
    <w:rsid w:val="00462F54"/>
    <w:rsid w:val="00463585"/>
    <w:rsid w:val="0046548B"/>
    <w:rsid w:val="004660C8"/>
    <w:rsid w:val="00466FF5"/>
    <w:rsid w:val="004674A1"/>
    <w:rsid w:val="00467843"/>
    <w:rsid w:val="0047107D"/>
    <w:rsid w:val="004712A4"/>
    <w:rsid w:val="0047227C"/>
    <w:rsid w:val="00472833"/>
    <w:rsid w:val="0047391F"/>
    <w:rsid w:val="004763C3"/>
    <w:rsid w:val="004774CB"/>
    <w:rsid w:val="004774D2"/>
    <w:rsid w:val="004806BE"/>
    <w:rsid w:val="00480A94"/>
    <w:rsid w:val="004813C5"/>
    <w:rsid w:val="004820AE"/>
    <w:rsid w:val="004820EE"/>
    <w:rsid w:val="00482D0F"/>
    <w:rsid w:val="004831AF"/>
    <w:rsid w:val="004831BC"/>
    <w:rsid w:val="004836ED"/>
    <w:rsid w:val="004836FD"/>
    <w:rsid w:val="004842B2"/>
    <w:rsid w:val="00484D35"/>
    <w:rsid w:val="00484DAA"/>
    <w:rsid w:val="00486222"/>
    <w:rsid w:val="00487D08"/>
    <w:rsid w:val="0049124D"/>
    <w:rsid w:val="004912DD"/>
    <w:rsid w:val="004917A7"/>
    <w:rsid w:val="00492647"/>
    <w:rsid w:val="004927A9"/>
    <w:rsid w:val="00493075"/>
    <w:rsid w:val="00493AC1"/>
    <w:rsid w:val="004952BC"/>
    <w:rsid w:val="00495CD8"/>
    <w:rsid w:val="00496656"/>
    <w:rsid w:val="00497A84"/>
    <w:rsid w:val="004A1C29"/>
    <w:rsid w:val="004A20A5"/>
    <w:rsid w:val="004A27C8"/>
    <w:rsid w:val="004A338D"/>
    <w:rsid w:val="004A3555"/>
    <w:rsid w:val="004A3DE3"/>
    <w:rsid w:val="004A3EA8"/>
    <w:rsid w:val="004A40EC"/>
    <w:rsid w:val="004A4A30"/>
    <w:rsid w:val="004A5103"/>
    <w:rsid w:val="004A5EA9"/>
    <w:rsid w:val="004A6EB7"/>
    <w:rsid w:val="004A711E"/>
    <w:rsid w:val="004B0051"/>
    <w:rsid w:val="004B080B"/>
    <w:rsid w:val="004B2885"/>
    <w:rsid w:val="004B2A29"/>
    <w:rsid w:val="004B440A"/>
    <w:rsid w:val="004B6DCE"/>
    <w:rsid w:val="004B798A"/>
    <w:rsid w:val="004C046A"/>
    <w:rsid w:val="004C2421"/>
    <w:rsid w:val="004C2EBD"/>
    <w:rsid w:val="004C3140"/>
    <w:rsid w:val="004C3565"/>
    <w:rsid w:val="004C52CF"/>
    <w:rsid w:val="004C5A56"/>
    <w:rsid w:val="004C6100"/>
    <w:rsid w:val="004C6142"/>
    <w:rsid w:val="004C6494"/>
    <w:rsid w:val="004C6756"/>
    <w:rsid w:val="004C6C9E"/>
    <w:rsid w:val="004C7884"/>
    <w:rsid w:val="004C78C0"/>
    <w:rsid w:val="004D0153"/>
    <w:rsid w:val="004D0730"/>
    <w:rsid w:val="004D28BC"/>
    <w:rsid w:val="004D29AD"/>
    <w:rsid w:val="004D57B8"/>
    <w:rsid w:val="004D5B05"/>
    <w:rsid w:val="004D65AC"/>
    <w:rsid w:val="004D6613"/>
    <w:rsid w:val="004D786B"/>
    <w:rsid w:val="004D7A54"/>
    <w:rsid w:val="004E25FD"/>
    <w:rsid w:val="004E2A90"/>
    <w:rsid w:val="004E345D"/>
    <w:rsid w:val="004E357D"/>
    <w:rsid w:val="004E3A57"/>
    <w:rsid w:val="004E42AE"/>
    <w:rsid w:val="004E4EC1"/>
    <w:rsid w:val="004F070A"/>
    <w:rsid w:val="004F1E1A"/>
    <w:rsid w:val="004F2DE8"/>
    <w:rsid w:val="004F3B4C"/>
    <w:rsid w:val="004F4EC4"/>
    <w:rsid w:val="004F5D6B"/>
    <w:rsid w:val="004F6191"/>
    <w:rsid w:val="004F6D95"/>
    <w:rsid w:val="004F72C2"/>
    <w:rsid w:val="004F7E58"/>
    <w:rsid w:val="0050032D"/>
    <w:rsid w:val="005004F7"/>
    <w:rsid w:val="005007BA"/>
    <w:rsid w:val="00500D16"/>
    <w:rsid w:val="0050263C"/>
    <w:rsid w:val="00504199"/>
    <w:rsid w:val="005052AC"/>
    <w:rsid w:val="00505A2E"/>
    <w:rsid w:val="005061B8"/>
    <w:rsid w:val="00506D15"/>
    <w:rsid w:val="00506D2F"/>
    <w:rsid w:val="00506EC5"/>
    <w:rsid w:val="005078CD"/>
    <w:rsid w:val="00507D28"/>
    <w:rsid w:val="00510C40"/>
    <w:rsid w:val="0051124F"/>
    <w:rsid w:val="005112D5"/>
    <w:rsid w:val="00511520"/>
    <w:rsid w:val="00511648"/>
    <w:rsid w:val="00511B89"/>
    <w:rsid w:val="005128D4"/>
    <w:rsid w:val="00514191"/>
    <w:rsid w:val="00514459"/>
    <w:rsid w:val="0051460D"/>
    <w:rsid w:val="0051476F"/>
    <w:rsid w:val="00515278"/>
    <w:rsid w:val="00515D59"/>
    <w:rsid w:val="00516B44"/>
    <w:rsid w:val="00517A8F"/>
    <w:rsid w:val="00520DF0"/>
    <w:rsid w:val="00520F32"/>
    <w:rsid w:val="005213B3"/>
    <w:rsid w:val="00521E97"/>
    <w:rsid w:val="0052377B"/>
    <w:rsid w:val="0052540D"/>
    <w:rsid w:val="005270AA"/>
    <w:rsid w:val="005277CF"/>
    <w:rsid w:val="00527A8C"/>
    <w:rsid w:val="005301A6"/>
    <w:rsid w:val="00530C55"/>
    <w:rsid w:val="00530F1B"/>
    <w:rsid w:val="00531CA6"/>
    <w:rsid w:val="005320F8"/>
    <w:rsid w:val="005324E0"/>
    <w:rsid w:val="005351CA"/>
    <w:rsid w:val="00537277"/>
    <w:rsid w:val="00537331"/>
    <w:rsid w:val="005377E0"/>
    <w:rsid w:val="00537EAF"/>
    <w:rsid w:val="00540787"/>
    <w:rsid w:val="0054427B"/>
    <w:rsid w:val="00544B1F"/>
    <w:rsid w:val="00545089"/>
    <w:rsid w:val="005460DB"/>
    <w:rsid w:val="00550167"/>
    <w:rsid w:val="005509B7"/>
    <w:rsid w:val="005509E0"/>
    <w:rsid w:val="00551210"/>
    <w:rsid w:val="0055139F"/>
    <w:rsid w:val="0055335D"/>
    <w:rsid w:val="00554B33"/>
    <w:rsid w:val="00556952"/>
    <w:rsid w:val="005616A7"/>
    <w:rsid w:val="00561D0B"/>
    <w:rsid w:val="00561D22"/>
    <w:rsid w:val="00562B41"/>
    <w:rsid w:val="00563088"/>
    <w:rsid w:val="0056354E"/>
    <w:rsid w:val="00563760"/>
    <w:rsid w:val="00564641"/>
    <w:rsid w:val="0057139F"/>
    <w:rsid w:val="005720A7"/>
    <w:rsid w:val="00575686"/>
    <w:rsid w:val="00575C1F"/>
    <w:rsid w:val="005762A0"/>
    <w:rsid w:val="0057750D"/>
    <w:rsid w:val="00577799"/>
    <w:rsid w:val="00577920"/>
    <w:rsid w:val="00577C67"/>
    <w:rsid w:val="005818A9"/>
    <w:rsid w:val="00582C2D"/>
    <w:rsid w:val="00582F36"/>
    <w:rsid w:val="005836BA"/>
    <w:rsid w:val="00583941"/>
    <w:rsid w:val="00584C3E"/>
    <w:rsid w:val="0058621E"/>
    <w:rsid w:val="00586FA1"/>
    <w:rsid w:val="00587EDA"/>
    <w:rsid w:val="005901CE"/>
    <w:rsid w:val="005908BA"/>
    <w:rsid w:val="00590C30"/>
    <w:rsid w:val="00591BB6"/>
    <w:rsid w:val="00592030"/>
    <w:rsid w:val="005941CE"/>
    <w:rsid w:val="00594551"/>
    <w:rsid w:val="005958C2"/>
    <w:rsid w:val="005970C3"/>
    <w:rsid w:val="00597C6D"/>
    <w:rsid w:val="005A0037"/>
    <w:rsid w:val="005A123A"/>
    <w:rsid w:val="005A1AE4"/>
    <w:rsid w:val="005A22FB"/>
    <w:rsid w:val="005A334E"/>
    <w:rsid w:val="005A44F2"/>
    <w:rsid w:val="005A4CB6"/>
    <w:rsid w:val="005A676A"/>
    <w:rsid w:val="005B0500"/>
    <w:rsid w:val="005B17E9"/>
    <w:rsid w:val="005B28DF"/>
    <w:rsid w:val="005B2B3D"/>
    <w:rsid w:val="005B4503"/>
    <w:rsid w:val="005B48AD"/>
    <w:rsid w:val="005B552C"/>
    <w:rsid w:val="005B55A1"/>
    <w:rsid w:val="005B589C"/>
    <w:rsid w:val="005B5BA5"/>
    <w:rsid w:val="005B61E8"/>
    <w:rsid w:val="005B658F"/>
    <w:rsid w:val="005B6D42"/>
    <w:rsid w:val="005C0890"/>
    <w:rsid w:val="005C1032"/>
    <w:rsid w:val="005C1201"/>
    <w:rsid w:val="005C1E02"/>
    <w:rsid w:val="005C4BCA"/>
    <w:rsid w:val="005C57F8"/>
    <w:rsid w:val="005C61BC"/>
    <w:rsid w:val="005C676E"/>
    <w:rsid w:val="005C7BB0"/>
    <w:rsid w:val="005D026A"/>
    <w:rsid w:val="005D0763"/>
    <w:rsid w:val="005D1289"/>
    <w:rsid w:val="005D132B"/>
    <w:rsid w:val="005D13B1"/>
    <w:rsid w:val="005D22F7"/>
    <w:rsid w:val="005D42DC"/>
    <w:rsid w:val="005D5293"/>
    <w:rsid w:val="005D58C2"/>
    <w:rsid w:val="005D59FD"/>
    <w:rsid w:val="005D5B10"/>
    <w:rsid w:val="005D70A5"/>
    <w:rsid w:val="005E018F"/>
    <w:rsid w:val="005E23AA"/>
    <w:rsid w:val="005E261A"/>
    <w:rsid w:val="005E4D4E"/>
    <w:rsid w:val="005E4D86"/>
    <w:rsid w:val="005E51F7"/>
    <w:rsid w:val="005E555A"/>
    <w:rsid w:val="005E6175"/>
    <w:rsid w:val="005E6A27"/>
    <w:rsid w:val="005E77B2"/>
    <w:rsid w:val="005F084D"/>
    <w:rsid w:val="005F36E0"/>
    <w:rsid w:val="005F3B80"/>
    <w:rsid w:val="005F4406"/>
    <w:rsid w:val="005F493A"/>
    <w:rsid w:val="005F589E"/>
    <w:rsid w:val="005F5F89"/>
    <w:rsid w:val="005F5FDD"/>
    <w:rsid w:val="005F6985"/>
    <w:rsid w:val="005F7261"/>
    <w:rsid w:val="00600266"/>
    <w:rsid w:val="00601775"/>
    <w:rsid w:val="00602B88"/>
    <w:rsid w:val="00602C7D"/>
    <w:rsid w:val="00603AF7"/>
    <w:rsid w:val="00603EE7"/>
    <w:rsid w:val="0060537E"/>
    <w:rsid w:val="00605723"/>
    <w:rsid w:val="00605E74"/>
    <w:rsid w:val="00606335"/>
    <w:rsid w:val="00606E92"/>
    <w:rsid w:val="006102E6"/>
    <w:rsid w:val="00611728"/>
    <w:rsid w:val="00612643"/>
    <w:rsid w:val="00615869"/>
    <w:rsid w:val="0061727A"/>
    <w:rsid w:val="006201F9"/>
    <w:rsid w:val="00620F49"/>
    <w:rsid w:val="006211BC"/>
    <w:rsid w:val="00621DD5"/>
    <w:rsid w:val="0062249E"/>
    <w:rsid w:val="00622C1F"/>
    <w:rsid w:val="00622D69"/>
    <w:rsid w:val="00623589"/>
    <w:rsid w:val="00623D63"/>
    <w:rsid w:val="00623F8C"/>
    <w:rsid w:val="00624031"/>
    <w:rsid w:val="00624C88"/>
    <w:rsid w:val="006254F3"/>
    <w:rsid w:val="00625BB7"/>
    <w:rsid w:val="0062637A"/>
    <w:rsid w:val="00630B05"/>
    <w:rsid w:val="006317B6"/>
    <w:rsid w:val="00631FCA"/>
    <w:rsid w:val="0063248F"/>
    <w:rsid w:val="006332F3"/>
    <w:rsid w:val="006344ED"/>
    <w:rsid w:val="00634D65"/>
    <w:rsid w:val="00636922"/>
    <w:rsid w:val="00637DC8"/>
    <w:rsid w:val="0064011F"/>
    <w:rsid w:val="006409C4"/>
    <w:rsid w:val="0064151A"/>
    <w:rsid w:val="00641761"/>
    <w:rsid w:val="00643097"/>
    <w:rsid w:val="006433C5"/>
    <w:rsid w:val="00643B4C"/>
    <w:rsid w:val="006445BE"/>
    <w:rsid w:val="00645243"/>
    <w:rsid w:val="00645638"/>
    <w:rsid w:val="00645C82"/>
    <w:rsid w:val="00646314"/>
    <w:rsid w:val="00647698"/>
    <w:rsid w:val="00647C49"/>
    <w:rsid w:val="00650BC0"/>
    <w:rsid w:val="00651DCA"/>
    <w:rsid w:val="00651EEB"/>
    <w:rsid w:val="006527FC"/>
    <w:rsid w:val="00652AF5"/>
    <w:rsid w:val="00652D16"/>
    <w:rsid w:val="00654458"/>
    <w:rsid w:val="006609BE"/>
    <w:rsid w:val="00660F63"/>
    <w:rsid w:val="00661575"/>
    <w:rsid w:val="006619F6"/>
    <w:rsid w:val="00662537"/>
    <w:rsid w:val="00662F99"/>
    <w:rsid w:val="00663424"/>
    <w:rsid w:val="00663E1D"/>
    <w:rsid w:val="00664A4C"/>
    <w:rsid w:val="0066535C"/>
    <w:rsid w:val="006657CE"/>
    <w:rsid w:val="00665DB2"/>
    <w:rsid w:val="00666467"/>
    <w:rsid w:val="006664AF"/>
    <w:rsid w:val="00666B39"/>
    <w:rsid w:val="00667480"/>
    <w:rsid w:val="006726B3"/>
    <w:rsid w:val="00672F01"/>
    <w:rsid w:val="00673C9C"/>
    <w:rsid w:val="00674735"/>
    <w:rsid w:val="00675698"/>
    <w:rsid w:val="0067592E"/>
    <w:rsid w:val="00675BD6"/>
    <w:rsid w:val="00675F0A"/>
    <w:rsid w:val="006765C7"/>
    <w:rsid w:val="006770EB"/>
    <w:rsid w:val="0067753C"/>
    <w:rsid w:val="00677C96"/>
    <w:rsid w:val="00680651"/>
    <w:rsid w:val="006810C9"/>
    <w:rsid w:val="0068151B"/>
    <w:rsid w:val="0068373A"/>
    <w:rsid w:val="00683B35"/>
    <w:rsid w:val="00683B65"/>
    <w:rsid w:val="00683FD4"/>
    <w:rsid w:val="00684362"/>
    <w:rsid w:val="00686C22"/>
    <w:rsid w:val="00686DBA"/>
    <w:rsid w:val="00686DD9"/>
    <w:rsid w:val="00687A92"/>
    <w:rsid w:val="00687BD4"/>
    <w:rsid w:val="00687E5E"/>
    <w:rsid w:val="00687FD1"/>
    <w:rsid w:val="006914C2"/>
    <w:rsid w:val="00693122"/>
    <w:rsid w:val="00693707"/>
    <w:rsid w:val="00694356"/>
    <w:rsid w:val="00695612"/>
    <w:rsid w:val="0069687F"/>
    <w:rsid w:val="006971A0"/>
    <w:rsid w:val="006979A6"/>
    <w:rsid w:val="006A0071"/>
    <w:rsid w:val="006A0802"/>
    <w:rsid w:val="006A0FF1"/>
    <w:rsid w:val="006A196B"/>
    <w:rsid w:val="006A335F"/>
    <w:rsid w:val="006A5497"/>
    <w:rsid w:val="006A5D92"/>
    <w:rsid w:val="006A69BF"/>
    <w:rsid w:val="006A779F"/>
    <w:rsid w:val="006B0177"/>
    <w:rsid w:val="006B096C"/>
    <w:rsid w:val="006B0A99"/>
    <w:rsid w:val="006B1367"/>
    <w:rsid w:val="006B1D43"/>
    <w:rsid w:val="006B1F30"/>
    <w:rsid w:val="006B21F1"/>
    <w:rsid w:val="006B3879"/>
    <w:rsid w:val="006B44B0"/>
    <w:rsid w:val="006B4625"/>
    <w:rsid w:val="006B4A0C"/>
    <w:rsid w:val="006B5E57"/>
    <w:rsid w:val="006B66CF"/>
    <w:rsid w:val="006B7DF0"/>
    <w:rsid w:val="006B7E9E"/>
    <w:rsid w:val="006C0768"/>
    <w:rsid w:val="006C1E6A"/>
    <w:rsid w:val="006C22FA"/>
    <w:rsid w:val="006C2FFB"/>
    <w:rsid w:val="006C3010"/>
    <w:rsid w:val="006C34BE"/>
    <w:rsid w:val="006C37C6"/>
    <w:rsid w:val="006C5AF7"/>
    <w:rsid w:val="006C6CE5"/>
    <w:rsid w:val="006C79A2"/>
    <w:rsid w:val="006C7ACF"/>
    <w:rsid w:val="006D0770"/>
    <w:rsid w:val="006D1923"/>
    <w:rsid w:val="006D2512"/>
    <w:rsid w:val="006D38F0"/>
    <w:rsid w:val="006D42EC"/>
    <w:rsid w:val="006D6A2E"/>
    <w:rsid w:val="006D6F5D"/>
    <w:rsid w:val="006D7ECF"/>
    <w:rsid w:val="006E0436"/>
    <w:rsid w:val="006E0697"/>
    <w:rsid w:val="006E0FBB"/>
    <w:rsid w:val="006E24A2"/>
    <w:rsid w:val="006E2821"/>
    <w:rsid w:val="006E2A46"/>
    <w:rsid w:val="006E2C11"/>
    <w:rsid w:val="006E334E"/>
    <w:rsid w:val="006E3639"/>
    <w:rsid w:val="006E58D8"/>
    <w:rsid w:val="006E6079"/>
    <w:rsid w:val="006E6CA0"/>
    <w:rsid w:val="006E7108"/>
    <w:rsid w:val="006F0477"/>
    <w:rsid w:val="006F1C9F"/>
    <w:rsid w:val="006F1F80"/>
    <w:rsid w:val="006F22D1"/>
    <w:rsid w:val="006F308E"/>
    <w:rsid w:val="006F36D4"/>
    <w:rsid w:val="006F5F15"/>
    <w:rsid w:val="006F62A5"/>
    <w:rsid w:val="006F6C19"/>
    <w:rsid w:val="006F6DE2"/>
    <w:rsid w:val="006F73E0"/>
    <w:rsid w:val="006F7413"/>
    <w:rsid w:val="006F7BF0"/>
    <w:rsid w:val="006F7E60"/>
    <w:rsid w:val="00700844"/>
    <w:rsid w:val="007018EA"/>
    <w:rsid w:val="00701F9F"/>
    <w:rsid w:val="00703609"/>
    <w:rsid w:val="00703D6E"/>
    <w:rsid w:val="00704DC6"/>
    <w:rsid w:val="00705955"/>
    <w:rsid w:val="007063F5"/>
    <w:rsid w:val="00710596"/>
    <w:rsid w:val="0071078E"/>
    <w:rsid w:val="00711312"/>
    <w:rsid w:val="00712B81"/>
    <w:rsid w:val="00712E4E"/>
    <w:rsid w:val="00713714"/>
    <w:rsid w:val="00713A1A"/>
    <w:rsid w:val="00713EF7"/>
    <w:rsid w:val="007143F8"/>
    <w:rsid w:val="00714431"/>
    <w:rsid w:val="00714FD7"/>
    <w:rsid w:val="0071623A"/>
    <w:rsid w:val="00717CD8"/>
    <w:rsid w:val="0072125F"/>
    <w:rsid w:val="00722021"/>
    <w:rsid w:val="007223F1"/>
    <w:rsid w:val="00722E2D"/>
    <w:rsid w:val="0072307A"/>
    <w:rsid w:val="0072318E"/>
    <w:rsid w:val="00723593"/>
    <w:rsid w:val="0072362E"/>
    <w:rsid w:val="00725D57"/>
    <w:rsid w:val="007260E5"/>
    <w:rsid w:val="007261D5"/>
    <w:rsid w:val="0072664E"/>
    <w:rsid w:val="00726978"/>
    <w:rsid w:val="00726F72"/>
    <w:rsid w:val="007271AF"/>
    <w:rsid w:val="00727F57"/>
    <w:rsid w:val="00730EB6"/>
    <w:rsid w:val="00730EFD"/>
    <w:rsid w:val="00733555"/>
    <w:rsid w:val="00733895"/>
    <w:rsid w:val="007339C8"/>
    <w:rsid w:val="00733F33"/>
    <w:rsid w:val="00734465"/>
    <w:rsid w:val="0073698F"/>
    <w:rsid w:val="0073794E"/>
    <w:rsid w:val="007400B5"/>
    <w:rsid w:val="00740ED3"/>
    <w:rsid w:val="00741661"/>
    <w:rsid w:val="0074185A"/>
    <w:rsid w:val="007434AE"/>
    <w:rsid w:val="00743C05"/>
    <w:rsid w:val="00744D18"/>
    <w:rsid w:val="00744FAB"/>
    <w:rsid w:val="00746144"/>
    <w:rsid w:val="007468AA"/>
    <w:rsid w:val="00746EAC"/>
    <w:rsid w:val="00747071"/>
    <w:rsid w:val="007500CF"/>
    <w:rsid w:val="007508E4"/>
    <w:rsid w:val="00750B69"/>
    <w:rsid w:val="0075105C"/>
    <w:rsid w:val="00752390"/>
    <w:rsid w:val="00752EF4"/>
    <w:rsid w:val="007531B6"/>
    <w:rsid w:val="0075362E"/>
    <w:rsid w:val="00753A74"/>
    <w:rsid w:val="00754C6A"/>
    <w:rsid w:val="00755417"/>
    <w:rsid w:val="007575D7"/>
    <w:rsid w:val="007578E0"/>
    <w:rsid w:val="00757FC6"/>
    <w:rsid w:val="00761191"/>
    <w:rsid w:val="00761984"/>
    <w:rsid w:val="00763BC4"/>
    <w:rsid w:val="00764879"/>
    <w:rsid w:val="007658BF"/>
    <w:rsid w:val="00770788"/>
    <w:rsid w:val="007716C5"/>
    <w:rsid w:val="00771B90"/>
    <w:rsid w:val="0077219D"/>
    <w:rsid w:val="0077219E"/>
    <w:rsid w:val="00773A9B"/>
    <w:rsid w:val="00775893"/>
    <w:rsid w:val="007763E2"/>
    <w:rsid w:val="00777D39"/>
    <w:rsid w:val="00781030"/>
    <w:rsid w:val="00781880"/>
    <w:rsid w:val="00781FBA"/>
    <w:rsid w:val="00783C00"/>
    <w:rsid w:val="0078524B"/>
    <w:rsid w:val="00786366"/>
    <w:rsid w:val="0078772E"/>
    <w:rsid w:val="00787C6A"/>
    <w:rsid w:val="00787E5A"/>
    <w:rsid w:val="00790600"/>
    <w:rsid w:val="00790866"/>
    <w:rsid w:val="00790B02"/>
    <w:rsid w:val="00791040"/>
    <w:rsid w:val="007922A3"/>
    <w:rsid w:val="00792474"/>
    <w:rsid w:val="00792C99"/>
    <w:rsid w:val="00793E3D"/>
    <w:rsid w:val="00796077"/>
    <w:rsid w:val="0079636F"/>
    <w:rsid w:val="00796A83"/>
    <w:rsid w:val="007977F8"/>
    <w:rsid w:val="007A0615"/>
    <w:rsid w:val="007A0F2A"/>
    <w:rsid w:val="007A1068"/>
    <w:rsid w:val="007A2364"/>
    <w:rsid w:val="007A2575"/>
    <w:rsid w:val="007A28FD"/>
    <w:rsid w:val="007A35DA"/>
    <w:rsid w:val="007A3826"/>
    <w:rsid w:val="007A5105"/>
    <w:rsid w:val="007A544C"/>
    <w:rsid w:val="007A62F3"/>
    <w:rsid w:val="007A68DD"/>
    <w:rsid w:val="007B01E9"/>
    <w:rsid w:val="007B07C1"/>
    <w:rsid w:val="007B12FE"/>
    <w:rsid w:val="007B2BB3"/>
    <w:rsid w:val="007B3AD5"/>
    <w:rsid w:val="007B3E1D"/>
    <w:rsid w:val="007B542E"/>
    <w:rsid w:val="007B5D86"/>
    <w:rsid w:val="007B5EE6"/>
    <w:rsid w:val="007B622A"/>
    <w:rsid w:val="007B6506"/>
    <w:rsid w:val="007B6707"/>
    <w:rsid w:val="007B6CCB"/>
    <w:rsid w:val="007B7269"/>
    <w:rsid w:val="007B7726"/>
    <w:rsid w:val="007B7AD7"/>
    <w:rsid w:val="007B7C19"/>
    <w:rsid w:val="007C028A"/>
    <w:rsid w:val="007C27EB"/>
    <w:rsid w:val="007C2F13"/>
    <w:rsid w:val="007C2F7B"/>
    <w:rsid w:val="007C3B6F"/>
    <w:rsid w:val="007C445D"/>
    <w:rsid w:val="007C668D"/>
    <w:rsid w:val="007C71CE"/>
    <w:rsid w:val="007C7325"/>
    <w:rsid w:val="007C750D"/>
    <w:rsid w:val="007C7FB3"/>
    <w:rsid w:val="007D154B"/>
    <w:rsid w:val="007D1B01"/>
    <w:rsid w:val="007D1C7C"/>
    <w:rsid w:val="007D1DC4"/>
    <w:rsid w:val="007D2802"/>
    <w:rsid w:val="007D2C19"/>
    <w:rsid w:val="007D3146"/>
    <w:rsid w:val="007D5C2F"/>
    <w:rsid w:val="007D62C5"/>
    <w:rsid w:val="007D704F"/>
    <w:rsid w:val="007D748B"/>
    <w:rsid w:val="007E0163"/>
    <w:rsid w:val="007E056D"/>
    <w:rsid w:val="007E0899"/>
    <w:rsid w:val="007E08CD"/>
    <w:rsid w:val="007E253F"/>
    <w:rsid w:val="007E2A9A"/>
    <w:rsid w:val="007E2C44"/>
    <w:rsid w:val="007E31E3"/>
    <w:rsid w:val="007E4298"/>
    <w:rsid w:val="007E5581"/>
    <w:rsid w:val="007E625B"/>
    <w:rsid w:val="007E6A19"/>
    <w:rsid w:val="007E6EA0"/>
    <w:rsid w:val="007E7E95"/>
    <w:rsid w:val="007F0980"/>
    <w:rsid w:val="007F0E66"/>
    <w:rsid w:val="007F2C7B"/>
    <w:rsid w:val="007F3FA5"/>
    <w:rsid w:val="007F3FD9"/>
    <w:rsid w:val="007F47E8"/>
    <w:rsid w:val="007F4E19"/>
    <w:rsid w:val="007F51A6"/>
    <w:rsid w:val="007F53AD"/>
    <w:rsid w:val="007F6296"/>
    <w:rsid w:val="007F65AF"/>
    <w:rsid w:val="007F74AF"/>
    <w:rsid w:val="008000F7"/>
    <w:rsid w:val="00800F12"/>
    <w:rsid w:val="00801B8A"/>
    <w:rsid w:val="00802F16"/>
    <w:rsid w:val="0080594F"/>
    <w:rsid w:val="0080670F"/>
    <w:rsid w:val="00806BED"/>
    <w:rsid w:val="00810777"/>
    <w:rsid w:val="0081248A"/>
    <w:rsid w:val="00812721"/>
    <w:rsid w:val="00812BC4"/>
    <w:rsid w:val="00812E7E"/>
    <w:rsid w:val="00813303"/>
    <w:rsid w:val="00813CF0"/>
    <w:rsid w:val="00813D77"/>
    <w:rsid w:val="008157DF"/>
    <w:rsid w:val="008164DE"/>
    <w:rsid w:val="00816B6C"/>
    <w:rsid w:val="00817257"/>
    <w:rsid w:val="008179D6"/>
    <w:rsid w:val="00817A76"/>
    <w:rsid w:val="00817F57"/>
    <w:rsid w:val="0082232D"/>
    <w:rsid w:val="00823124"/>
    <w:rsid w:val="00823B7A"/>
    <w:rsid w:val="00825627"/>
    <w:rsid w:val="008256E0"/>
    <w:rsid w:val="008270D7"/>
    <w:rsid w:val="0082757E"/>
    <w:rsid w:val="00830183"/>
    <w:rsid w:val="00830D2F"/>
    <w:rsid w:val="00832A36"/>
    <w:rsid w:val="00834A70"/>
    <w:rsid w:val="00834D82"/>
    <w:rsid w:val="00835622"/>
    <w:rsid w:val="0083733A"/>
    <w:rsid w:val="00837E14"/>
    <w:rsid w:val="00840426"/>
    <w:rsid w:val="008413B3"/>
    <w:rsid w:val="00841EF6"/>
    <w:rsid w:val="0084241D"/>
    <w:rsid w:val="00842536"/>
    <w:rsid w:val="00842D90"/>
    <w:rsid w:val="00845C26"/>
    <w:rsid w:val="00846C7B"/>
    <w:rsid w:val="0084724A"/>
    <w:rsid w:val="0085005D"/>
    <w:rsid w:val="008505F3"/>
    <w:rsid w:val="00850630"/>
    <w:rsid w:val="00850C32"/>
    <w:rsid w:val="0085209B"/>
    <w:rsid w:val="00852F1A"/>
    <w:rsid w:val="00853EC5"/>
    <w:rsid w:val="0085537E"/>
    <w:rsid w:val="0085562E"/>
    <w:rsid w:val="0085583D"/>
    <w:rsid w:val="00855EDF"/>
    <w:rsid w:val="00856793"/>
    <w:rsid w:val="00856A21"/>
    <w:rsid w:val="00856F46"/>
    <w:rsid w:val="008575DD"/>
    <w:rsid w:val="008575F1"/>
    <w:rsid w:val="00857B9A"/>
    <w:rsid w:val="00857E0C"/>
    <w:rsid w:val="00860991"/>
    <w:rsid w:val="00860E84"/>
    <w:rsid w:val="00861002"/>
    <w:rsid w:val="0086155A"/>
    <w:rsid w:val="008623FA"/>
    <w:rsid w:val="008629F6"/>
    <w:rsid w:val="0086492C"/>
    <w:rsid w:val="00864D7A"/>
    <w:rsid w:val="00865E6C"/>
    <w:rsid w:val="00866D44"/>
    <w:rsid w:val="00867ED1"/>
    <w:rsid w:val="008711CE"/>
    <w:rsid w:val="0087437A"/>
    <w:rsid w:val="0087686A"/>
    <w:rsid w:val="00877151"/>
    <w:rsid w:val="00877820"/>
    <w:rsid w:val="0088033E"/>
    <w:rsid w:val="008823DB"/>
    <w:rsid w:val="00883D12"/>
    <w:rsid w:val="00884789"/>
    <w:rsid w:val="00885C1D"/>
    <w:rsid w:val="00885D1E"/>
    <w:rsid w:val="0088621A"/>
    <w:rsid w:val="0088621C"/>
    <w:rsid w:val="00886BFE"/>
    <w:rsid w:val="0088783C"/>
    <w:rsid w:val="00887911"/>
    <w:rsid w:val="00887B8A"/>
    <w:rsid w:val="00887DF7"/>
    <w:rsid w:val="00890118"/>
    <w:rsid w:val="00892AE3"/>
    <w:rsid w:val="00892CCA"/>
    <w:rsid w:val="00894167"/>
    <w:rsid w:val="008946B8"/>
    <w:rsid w:val="008956D0"/>
    <w:rsid w:val="00896447"/>
    <w:rsid w:val="008A0CDD"/>
    <w:rsid w:val="008A12B7"/>
    <w:rsid w:val="008A2DA1"/>
    <w:rsid w:val="008A3145"/>
    <w:rsid w:val="008A3424"/>
    <w:rsid w:val="008A35B2"/>
    <w:rsid w:val="008A39CF"/>
    <w:rsid w:val="008A4DDB"/>
    <w:rsid w:val="008A5345"/>
    <w:rsid w:val="008A5C19"/>
    <w:rsid w:val="008B07D0"/>
    <w:rsid w:val="008B0979"/>
    <w:rsid w:val="008B2773"/>
    <w:rsid w:val="008B328C"/>
    <w:rsid w:val="008B335B"/>
    <w:rsid w:val="008B3CA9"/>
    <w:rsid w:val="008C04BD"/>
    <w:rsid w:val="008C11EB"/>
    <w:rsid w:val="008C17F5"/>
    <w:rsid w:val="008C4D2E"/>
    <w:rsid w:val="008C5E9E"/>
    <w:rsid w:val="008C6EBB"/>
    <w:rsid w:val="008D04C4"/>
    <w:rsid w:val="008D0935"/>
    <w:rsid w:val="008D1363"/>
    <w:rsid w:val="008D2D2B"/>
    <w:rsid w:val="008D3284"/>
    <w:rsid w:val="008D42D2"/>
    <w:rsid w:val="008D440E"/>
    <w:rsid w:val="008D6352"/>
    <w:rsid w:val="008D65EA"/>
    <w:rsid w:val="008D6A0D"/>
    <w:rsid w:val="008D6A97"/>
    <w:rsid w:val="008D6EC1"/>
    <w:rsid w:val="008E03CD"/>
    <w:rsid w:val="008E0980"/>
    <w:rsid w:val="008E0F2E"/>
    <w:rsid w:val="008E1CA6"/>
    <w:rsid w:val="008E23BC"/>
    <w:rsid w:val="008E2A97"/>
    <w:rsid w:val="008E2D6B"/>
    <w:rsid w:val="008E2FB9"/>
    <w:rsid w:val="008E40A7"/>
    <w:rsid w:val="008E420C"/>
    <w:rsid w:val="008E46B9"/>
    <w:rsid w:val="008E56AB"/>
    <w:rsid w:val="008E60A8"/>
    <w:rsid w:val="008E63D7"/>
    <w:rsid w:val="008E6931"/>
    <w:rsid w:val="008E771C"/>
    <w:rsid w:val="008E7B19"/>
    <w:rsid w:val="008F0A8F"/>
    <w:rsid w:val="008F0EE5"/>
    <w:rsid w:val="008F0F56"/>
    <w:rsid w:val="008F1A39"/>
    <w:rsid w:val="008F38F0"/>
    <w:rsid w:val="008F44AF"/>
    <w:rsid w:val="008F67C4"/>
    <w:rsid w:val="008F6FF5"/>
    <w:rsid w:val="008F7028"/>
    <w:rsid w:val="008F7BD3"/>
    <w:rsid w:val="008F7C1D"/>
    <w:rsid w:val="00900046"/>
    <w:rsid w:val="009009D1"/>
    <w:rsid w:val="009010AC"/>
    <w:rsid w:val="00902BBD"/>
    <w:rsid w:val="009035B1"/>
    <w:rsid w:val="0090545B"/>
    <w:rsid w:val="00906E87"/>
    <w:rsid w:val="0091110D"/>
    <w:rsid w:val="00911EA1"/>
    <w:rsid w:val="0091402D"/>
    <w:rsid w:val="009140A9"/>
    <w:rsid w:val="00914DCE"/>
    <w:rsid w:val="009150A9"/>
    <w:rsid w:val="0091613A"/>
    <w:rsid w:val="00916653"/>
    <w:rsid w:val="00916B13"/>
    <w:rsid w:val="00917103"/>
    <w:rsid w:val="00917966"/>
    <w:rsid w:val="00920BE2"/>
    <w:rsid w:val="00922012"/>
    <w:rsid w:val="00923F77"/>
    <w:rsid w:val="009263C7"/>
    <w:rsid w:val="0092678B"/>
    <w:rsid w:val="009306CB"/>
    <w:rsid w:val="00930D9B"/>
    <w:rsid w:val="00930E7F"/>
    <w:rsid w:val="00931428"/>
    <w:rsid w:val="0093171E"/>
    <w:rsid w:val="00931787"/>
    <w:rsid w:val="00932336"/>
    <w:rsid w:val="009325A6"/>
    <w:rsid w:val="00932F4E"/>
    <w:rsid w:val="00933D4B"/>
    <w:rsid w:val="00935388"/>
    <w:rsid w:val="00935842"/>
    <w:rsid w:val="00935DCB"/>
    <w:rsid w:val="00936A6E"/>
    <w:rsid w:val="00936F20"/>
    <w:rsid w:val="009379F7"/>
    <w:rsid w:val="00937A6B"/>
    <w:rsid w:val="00937C6A"/>
    <w:rsid w:val="00937CE9"/>
    <w:rsid w:val="00940095"/>
    <w:rsid w:val="0094024F"/>
    <w:rsid w:val="0094239B"/>
    <w:rsid w:val="00942D60"/>
    <w:rsid w:val="00944373"/>
    <w:rsid w:val="00944AFE"/>
    <w:rsid w:val="00946588"/>
    <w:rsid w:val="00946AD2"/>
    <w:rsid w:val="00947917"/>
    <w:rsid w:val="00947E0A"/>
    <w:rsid w:val="00947E33"/>
    <w:rsid w:val="00950617"/>
    <w:rsid w:val="00951EE2"/>
    <w:rsid w:val="009522A8"/>
    <w:rsid w:val="0095233C"/>
    <w:rsid w:val="009563F1"/>
    <w:rsid w:val="0095695A"/>
    <w:rsid w:val="009570D5"/>
    <w:rsid w:val="00957393"/>
    <w:rsid w:val="009578E1"/>
    <w:rsid w:val="009609B5"/>
    <w:rsid w:val="00960BF6"/>
    <w:rsid w:val="00961039"/>
    <w:rsid w:val="00961246"/>
    <w:rsid w:val="00961F66"/>
    <w:rsid w:val="00964392"/>
    <w:rsid w:val="00964BFB"/>
    <w:rsid w:val="00964FDD"/>
    <w:rsid w:val="00965826"/>
    <w:rsid w:val="009658B2"/>
    <w:rsid w:val="009728AD"/>
    <w:rsid w:val="00972B1C"/>
    <w:rsid w:val="00972D16"/>
    <w:rsid w:val="00972FB4"/>
    <w:rsid w:val="00974B8A"/>
    <w:rsid w:val="00975E66"/>
    <w:rsid w:val="009762A0"/>
    <w:rsid w:val="009762DF"/>
    <w:rsid w:val="009769B9"/>
    <w:rsid w:val="00976B68"/>
    <w:rsid w:val="00977011"/>
    <w:rsid w:val="00977F69"/>
    <w:rsid w:val="00982058"/>
    <w:rsid w:val="00983281"/>
    <w:rsid w:val="00983340"/>
    <w:rsid w:val="0098387B"/>
    <w:rsid w:val="00983F42"/>
    <w:rsid w:val="0098429B"/>
    <w:rsid w:val="0098460A"/>
    <w:rsid w:val="00984E96"/>
    <w:rsid w:val="00984F8E"/>
    <w:rsid w:val="00984FC0"/>
    <w:rsid w:val="009872F3"/>
    <w:rsid w:val="00987688"/>
    <w:rsid w:val="009907A4"/>
    <w:rsid w:val="00990A69"/>
    <w:rsid w:val="00990DD3"/>
    <w:rsid w:val="0099235E"/>
    <w:rsid w:val="00992C58"/>
    <w:rsid w:val="009933FB"/>
    <w:rsid w:val="00993C81"/>
    <w:rsid w:val="00994443"/>
    <w:rsid w:val="00994DCA"/>
    <w:rsid w:val="0099567D"/>
    <w:rsid w:val="00995CCB"/>
    <w:rsid w:val="00996629"/>
    <w:rsid w:val="0099675C"/>
    <w:rsid w:val="00997047"/>
    <w:rsid w:val="009978AE"/>
    <w:rsid w:val="009A1836"/>
    <w:rsid w:val="009A1F6E"/>
    <w:rsid w:val="009A415A"/>
    <w:rsid w:val="009A6697"/>
    <w:rsid w:val="009A6735"/>
    <w:rsid w:val="009A738F"/>
    <w:rsid w:val="009B14F0"/>
    <w:rsid w:val="009B2699"/>
    <w:rsid w:val="009B32C2"/>
    <w:rsid w:val="009B5039"/>
    <w:rsid w:val="009B59D1"/>
    <w:rsid w:val="009B6BDF"/>
    <w:rsid w:val="009B7696"/>
    <w:rsid w:val="009C034A"/>
    <w:rsid w:val="009C1485"/>
    <w:rsid w:val="009C2387"/>
    <w:rsid w:val="009C359E"/>
    <w:rsid w:val="009C4C73"/>
    <w:rsid w:val="009C512C"/>
    <w:rsid w:val="009C5550"/>
    <w:rsid w:val="009C605E"/>
    <w:rsid w:val="009D1699"/>
    <w:rsid w:val="009D1E1D"/>
    <w:rsid w:val="009D42B7"/>
    <w:rsid w:val="009D5546"/>
    <w:rsid w:val="009D617A"/>
    <w:rsid w:val="009D633A"/>
    <w:rsid w:val="009D67E9"/>
    <w:rsid w:val="009D7153"/>
    <w:rsid w:val="009E3598"/>
    <w:rsid w:val="009E4A01"/>
    <w:rsid w:val="009E4FFB"/>
    <w:rsid w:val="009E508F"/>
    <w:rsid w:val="009E5668"/>
    <w:rsid w:val="009E76CB"/>
    <w:rsid w:val="009E7DA7"/>
    <w:rsid w:val="009F086B"/>
    <w:rsid w:val="009F0F2A"/>
    <w:rsid w:val="009F395A"/>
    <w:rsid w:val="009F409F"/>
    <w:rsid w:val="009F52DE"/>
    <w:rsid w:val="009F736F"/>
    <w:rsid w:val="009F773E"/>
    <w:rsid w:val="009F7757"/>
    <w:rsid w:val="009F78FA"/>
    <w:rsid w:val="00A0030F"/>
    <w:rsid w:val="00A0035A"/>
    <w:rsid w:val="00A00918"/>
    <w:rsid w:val="00A00F59"/>
    <w:rsid w:val="00A02092"/>
    <w:rsid w:val="00A02C41"/>
    <w:rsid w:val="00A03DCD"/>
    <w:rsid w:val="00A044A1"/>
    <w:rsid w:val="00A04C46"/>
    <w:rsid w:val="00A06F29"/>
    <w:rsid w:val="00A078E7"/>
    <w:rsid w:val="00A10562"/>
    <w:rsid w:val="00A10A08"/>
    <w:rsid w:val="00A10EF3"/>
    <w:rsid w:val="00A10F98"/>
    <w:rsid w:val="00A1141C"/>
    <w:rsid w:val="00A11632"/>
    <w:rsid w:val="00A11A15"/>
    <w:rsid w:val="00A11AE3"/>
    <w:rsid w:val="00A11FE5"/>
    <w:rsid w:val="00A12856"/>
    <w:rsid w:val="00A13C2A"/>
    <w:rsid w:val="00A201EA"/>
    <w:rsid w:val="00A232CC"/>
    <w:rsid w:val="00A24510"/>
    <w:rsid w:val="00A24A1E"/>
    <w:rsid w:val="00A25D44"/>
    <w:rsid w:val="00A27DF4"/>
    <w:rsid w:val="00A300DA"/>
    <w:rsid w:val="00A3076B"/>
    <w:rsid w:val="00A308D7"/>
    <w:rsid w:val="00A32DBB"/>
    <w:rsid w:val="00A33ACF"/>
    <w:rsid w:val="00A36C62"/>
    <w:rsid w:val="00A4003E"/>
    <w:rsid w:val="00A400A7"/>
    <w:rsid w:val="00A4021C"/>
    <w:rsid w:val="00A414D5"/>
    <w:rsid w:val="00A4184C"/>
    <w:rsid w:val="00A42750"/>
    <w:rsid w:val="00A431A5"/>
    <w:rsid w:val="00A443C9"/>
    <w:rsid w:val="00A45074"/>
    <w:rsid w:val="00A466F4"/>
    <w:rsid w:val="00A479F5"/>
    <w:rsid w:val="00A47D98"/>
    <w:rsid w:val="00A524DA"/>
    <w:rsid w:val="00A53FF7"/>
    <w:rsid w:val="00A54065"/>
    <w:rsid w:val="00A57D02"/>
    <w:rsid w:val="00A614FF"/>
    <w:rsid w:val="00A61C54"/>
    <w:rsid w:val="00A62456"/>
    <w:rsid w:val="00A64DFA"/>
    <w:rsid w:val="00A6537E"/>
    <w:rsid w:val="00A656B9"/>
    <w:rsid w:val="00A65BBC"/>
    <w:rsid w:val="00A65CBE"/>
    <w:rsid w:val="00A65FB7"/>
    <w:rsid w:val="00A664F6"/>
    <w:rsid w:val="00A66696"/>
    <w:rsid w:val="00A66BCE"/>
    <w:rsid w:val="00A67BF0"/>
    <w:rsid w:val="00A70D0F"/>
    <w:rsid w:val="00A71A41"/>
    <w:rsid w:val="00A75DD1"/>
    <w:rsid w:val="00A75F26"/>
    <w:rsid w:val="00A82185"/>
    <w:rsid w:val="00A84E25"/>
    <w:rsid w:val="00A85043"/>
    <w:rsid w:val="00A85F88"/>
    <w:rsid w:val="00A86563"/>
    <w:rsid w:val="00A876D5"/>
    <w:rsid w:val="00A87FCD"/>
    <w:rsid w:val="00A90161"/>
    <w:rsid w:val="00A9035C"/>
    <w:rsid w:val="00A90D4B"/>
    <w:rsid w:val="00A91B2A"/>
    <w:rsid w:val="00A92951"/>
    <w:rsid w:val="00A93DA2"/>
    <w:rsid w:val="00A94140"/>
    <w:rsid w:val="00A948FB"/>
    <w:rsid w:val="00A95A14"/>
    <w:rsid w:val="00A962B7"/>
    <w:rsid w:val="00A9689A"/>
    <w:rsid w:val="00A97705"/>
    <w:rsid w:val="00AA0AC4"/>
    <w:rsid w:val="00AA50F3"/>
    <w:rsid w:val="00AA69D6"/>
    <w:rsid w:val="00AA703F"/>
    <w:rsid w:val="00AA7592"/>
    <w:rsid w:val="00AA7779"/>
    <w:rsid w:val="00AA7A00"/>
    <w:rsid w:val="00AA7DB9"/>
    <w:rsid w:val="00AB0288"/>
    <w:rsid w:val="00AB0799"/>
    <w:rsid w:val="00AB0B3C"/>
    <w:rsid w:val="00AB1237"/>
    <w:rsid w:val="00AB130F"/>
    <w:rsid w:val="00AB1453"/>
    <w:rsid w:val="00AB18AE"/>
    <w:rsid w:val="00AB1ABB"/>
    <w:rsid w:val="00AB2268"/>
    <w:rsid w:val="00AB2380"/>
    <w:rsid w:val="00AB2899"/>
    <w:rsid w:val="00AB29B3"/>
    <w:rsid w:val="00AB44CC"/>
    <w:rsid w:val="00AB7A16"/>
    <w:rsid w:val="00AC1582"/>
    <w:rsid w:val="00AC1753"/>
    <w:rsid w:val="00AC195F"/>
    <w:rsid w:val="00AC1A30"/>
    <w:rsid w:val="00AC1AC9"/>
    <w:rsid w:val="00AC1B25"/>
    <w:rsid w:val="00AC1F70"/>
    <w:rsid w:val="00AC2684"/>
    <w:rsid w:val="00AC2ACB"/>
    <w:rsid w:val="00AC3170"/>
    <w:rsid w:val="00AC36A2"/>
    <w:rsid w:val="00AC5ABD"/>
    <w:rsid w:val="00AC5D96"/>
    <w:rsid w:val="00AC7FDB"/>
    <w:rsid w:val="00AD0ED3"/>
    <w:rsid w:val="00AD117B"/>
    <w:rsid w:val="00AD1CEE"/>
    <w:rsid w:val="00AD36BA"/>
    <w:rsid w:val="00AD4BC1"/>
    <w:rsid w:val="00AD4D02"/>
    <w:rsid w:val="00AD53C1"/>
    <w:rsid w:val="00AD5645"/>
    <w:rsid w:val="00AD6C3C"/>
    <w:rsid w:val="00AD6D9D"/>
    <w:rsid w:val="00AD79C8"/>
    <w:rsid w:val="00AE0620"/>
    <w:rsid w:val="00AE0EEF"/>
    <w:rsid w:val="00AE26F2"/>
    <w:rsid w:val="00AE2840"/>
    <w:rsid w:val="00AE2E9D"/>
    <w:rsid w:val="00AE3C79"/>
    <w:rsid w:val="00AE3F41"/>
    <w:rsid w:val="00AF1A99"/>
    <w:rsid w:val="00AF1E0C"/>
    <w:rsid w:val="00AF33C8"/>
    <w:rsid w:val="00AF3C3A"/>
    <w:rsid w:val="00AF3D89"/>
    <w:rsid w:val="00AF5968"/>
    <w:rsid w:val="00AF7896"/>
    <w:rsid w:val="00AF7D08"/>
    <w:rsid w:val="00B005D8"/>
    <w:rsid w:val="00B007DD"/>
    <w:rsid w:val="00B00DC3"/>
    <w:rsid w:val="00B0253B"/>
    <w:rsid w:val="00B0297D"/>
    <w:rsid w:val="00B03186"/>
    <w:rsid w:val="00B03EBB"/>
    <w:rsid w:val="00B044AF"/>
    <w:rsid w:val="00B044E6"/>
    <w:rsid w:val="00B0451E"/>
    <w:rsid w:val="00B06321"/>
    <w:rsid w:val="00B07993"/>
    <w:rsid w:val="00B11E4F"/>
    <w:rsid w:val="00B13433"/>
    <w:rsid w:val="00B135C1"/>
    <w:rsid w:val="00B13612"/>
    <w:rsid w:val="00B156FE"/>
    <w:rsid w:val="00B17481"/>
    <w:rsid w:val="00B17602"/>
    <w:rsid w:val="00B20147"/>
    <w:rsid w:val="00B23A2B"/>
    <w:rsid w:val="00B25056"/>
    <w:rsid w:val="00B25964"/>
    <w:rsid w:val="00B25E51"/>
    <w:rsid w:val="00B268DD"/>
    <w:rsid w:val="00B26B07"/>
    <w:rsid w:val="00B30948"/>
    <w:rsid w:val="00B30A44"/>
    <w:rsid w:val="00B3255C"/>
    <w:rsid w:val="00B32F88"/>
    <w:rsid w:val="00B32FB5"/>
    <w:rsid w:val="00B33397"/>
    <w:rsid w:val="00B33425"/>
    <w:rsid w:val="00B33613"/>
    <w:rsid w:val="00B3433C"/>
    <w:rsid w:val="00B35D48"/>
    <w:rsid w:val="00B35D76"/>
    <w:rsid w:val="00B367C3"/>
    <w:rsid w:val="00B36BF1"/>
    <w:rsid w:val="00B40A0C"/>
    <w:rsid w:val="00B40BD9"/>
    <w:rsid w:val="00B42A52"/>
    <w:rsid w:val="00B43F49"/>
    <w:rsid w:val="00B441D3"/>
    <w:rsid w:val="00B4469A"/>
    <w:rsid w:val="00B461D5"/>
    <w:rsid w:val="00B46910"/>
    <w:rsid w:val="00B4692B"/>
    <w:rsid w:val="00B47539"/>
    <w:rsid w:val="00B47A7D"/>
    <w:rsid w:val="00B50183"/>
    <w:rsid w:val="00B5039C"/>
    <w:rsid w:val="00B50606"/>
    <w:rsid w:val="00B50BBA"/>
    <w:rsid w:val="00B52871"/>
    <w:rsid w:val="00B52E45"/>
    <w:rsid w:val="00B52F91"/>
    <w:rsid w:val="00B532A6"/>
    <w:rsid w:val="00B54935"/>
    <w:rsid w:val="00B55059"/>
    <w:rsid w:val="00B55A5E"/>
    <w:rsid w:val="00B57F97"/>
    <w:rsid w:val="00B60362"/>
    <w:rsid w:val="00B60C7D"/>
    <w:rsid w:val="00B60E15"/>
    <w:rsid w:val="00B61BE5"/>
    <w:rsid w:val="00B62279"/>
    <w:rsid w:val="00B6287D"/>
    <w:rsid w:val="00B651E7"/>
    <w:rsid w:val="00B65B37"/>
    <w:rsid w:val="00B65C79"/>
    <w:rsid w:val="00B67165"/>
    <w:rsid w:val="00B70BD7"/>
    <w:rsid w:val="00B71408"/>
    <w:rsid w:val="00B71802"/>
    <w:rsid w:val="00B720B1"/>
    <w:rsid w:val="00B73AB5"/>
    <w:rsid w:val="00B75C85"/>
    <w:rsid w:val="00B76031"/>
    <w:rsid w:val="00B767B0"/>
    <w:rsid w:val="00B77ED4"/>
    <w:rsid w:val="00B80979"/>
    <w:rsid w:val="00B81522"/>
    <w:rsid w:val="00B81678"/>
    <w:rsid w:val="00B819B2"/>
    <w:rsid w:val="00B820A6"/>
    <w:rsid w:val="00B82240"/>
    <w:rsid w:val="00B8235B"/>
    <w:rsid w:val="00B82A44"/>
    <w:rsid w:val="00B83116"/>
    <w:rsid w:val="00B832A8"/>
    <w:rsid w:val="00B83555"/>
    <w:rsid w:val="00B83917"/>
    <w:rsid w:val="00B8533B"/>
    <w:rsid w:val="00B8556B"/>
    <w:rsid w:val="00B85852"/>
    <w:rsid w:val="00B85DF3"/>
    <w:rsid w:val="00B85FDC"/>
    <w:rsid w:val="00B877F6"/>
    <w:rsid w:val="00B922BC"/>
    <w:rsid w:val="00B92704"/>
    <w:rsid w:val="00B930BD"/>
    <w:rsid w:val="00B93276"/>
    <w:rsid w:val="00B94665"/>
    <w:rsid w:val="00B94944"/>
    <w:rsid w:val="00B94CC4"/>
    <w:rsid w:val="00B94D48"/>
    <w:rsid w:val="00B956CE"/>
    <w:rsid w:val="00B95CC6"/>
    <w:rsid w:val="00B960D0"/>
    <w:rsid w:val="00B97724"/>
    <w:rsid w:val="00BA02D4"/>
    <w:rsid w:val="00BA0A92"/>
    <w:rsid w:val="00BA0FD3"/>
    <w:rsid w:val="00BA2541"/>
    <w:rsid w:val="00BA288F"/>
    <w:rsid w:val="00BA313F"/>
    <w:rsid w:val="00BA35B2"/>
    <w:rsid w:val="00BA4C35"/>
    <w:rsid w:val="00BA693F"/>
    <w:rsid w:val="00BA69B7"/>
    <w:rsid w:val="00BA6AA1"/>
    <w:rsid w:val="00BA73C6"/>
    <w:rsid w:val="00BA7E91"/>
    <w:rsid w:val="00BB0885"/>
    <w:rsid w:val="00BB0D05"/>
    <w:rsid w:val="00BB1552"/>
    <w:rsid w:val="00BB15CA"/>
    <w:rsid w:val="00BB17CB"/>
    <w:rsid w:val="00BB21A7"/>
    <w:rsid w:val="00BB2569"/>
    <w:rsid w:val="00BB516D"/>
    <w:rsid w:val="00BB51BD"/>
    <w:rsid w:val="00BB78A8"/>
    <w:rsid w:val="00BC1C44"/>
    <w:rsid w:val="00BC27EF"/>
    <w:rsid w:val="00BC3BCB"/>
    <w:rsid w:val="00BC4240"/>
    <w:rsid w:val="00BC4553"/>
    <w:rsid w:val="00BC48BF"/>
    <w:rsid w:val="00BC4CA2"/>
    <w:rsid w:val="00BC4EF4"/>
    <w:rsid w:val="00BC5078"/>
    <w:rsid w:val="00BC5CF1"/>
    <w:rsid w:val="00BC607B"/>
    <w:rsid w:val="00BC67A8"/>
    <w:rsid w:val="00BC6947"/>
    <w:rsid w:val="00BC6A85"/>
    <w:rsid w:val="00BC6B96"/>
    <w:rsid w:val="00BC7078"/>
    <w:rsid w:val="00BD25E3"/>
    <w:rsid w:val="00BD5F27"/>
    <w:rsid w:val="00BE2192"/>
    <w:rsid w:val="00BE2B23"/>
    <w:rsid w:val="00BE33A4"/>
    <w:rsid w:val="00BE5EF6"/>
    <w:rsid w:val="00BE679C"/>
    <w:rsid w:val="00BF01E3"/>
    <w:rsid w:val="00BF0B36"/>
    <w:rsid w:val="00BF1117"/>
    <w:rsid w:val="00BF2BFD"/>
    <w:rsid w:val="00BF31E8"/>
    <w:rsid w:val="00BF5443"/>
    <w:rsid w:val="00BF5C4F"/>
    <w:rsid w:val="00BF77DD"/>
    <w:rsid w:val="00C00738"/>
    <w:rsid w:val="00C00DB5"/>
    <w:rsid w:val="00C01E5E"/>
    <w:rsid w:val="00C02801"/>
    <w:rsid w:val="00C04C1A"/>
    <w:rsid w:val="00C05C44"/>
    <w:rsid w:val="00C05F4B"/>
    <w:rsid w:val="00C0795E"/>
    <w:rsid w:val="00C07AFA"/>
    <w:rsid w:val="00C12B24"/>
    <w:rsid w:val="00C1385B"/>
    <w:rsid w:val="00C1386C"/>
    <w:rsid w:val="00C15CFA"/>
    <w:rsid w:val="00C16483"/>
    <w:rsid w:val="00C16AB4"/>
    <w:rsid w:val="00C16B81"/>
    <w:rsid w:val="00C1710D"/>
    <w:rsid w:val="00C175C7"/>
    <w:rsid w:val="00C17B73"/>
    <w:rsid w:val="00C17F13"/>
    <w:rsid w:val="00C209E9"/>
    <w:rsid w:val="00C20DA3"/>
    <w:rsid w:val="00C20F13"/>
    <w:rsid w:val="00C213F5"/>
    <w:rsid w:val="00C219DE"/>
    <w:rsid w:val="00C23450"/>
    <w:rsid w:val="00C24885"/>
    <w:rsid w:val="00C25434"/>
    <w:rsid w:val="00C25C1D"/>
    <w:rsid w:val="00C26475"/>
    <w:rsid w:val="00C277E5"/>
    <w:rsid w:val="00C27E7E"/>
    <w:rsid w:val="00C30737"/>
    <w:rsid w:val="00C321E0"/>
    <w:rsid w:val="00C33061"/>
    <w:rsid w:val="00C3528B"/>
    <w:rsid w:val="00C365DF"/>
    <w:rsid w:val="00C366F0"/>
    <w:rsid w:val="00C369E1"/>
    <w:rsid w:val="00C36A3A"/>
    <w:rsid w:val="00C36BE8"/>
    <w:rsid w:val="00C406A4"/>
    <w:rsid w:val="00C41235"/>
    <w:rsid w:val="00C415B8"/>
    <w:rsid w:val="00C42B2A"/>
    <w:rsid w:val="00C44DA6"/>
    <w:rsid w:val="00C453CA"/>
    <w:rsid w:val="00C46511"/>
    <w:rsid w:val="00C46ADC"/>
    <w:rsid w:val="00C46EAB"/>
    <w:rsid w:val="00C476CE"/>
    <w:rsid w:val="00C47AE4"/>
    <w:rsid w:val="00C50D53"/>
    <w:rsid w:val="00C51480"/>
    <w:rsid w:val="00C5162E"/>
    <w:rsid w:val="00C521B6"/>
    <w:rsid w:val="00C52CD1"/>
    <w:rsid w:val="00C54374"/>
    <w:rsid w:val="00C56C7F"/>
    <w:rsid w:val="00C57245"/>
    <w:rsid w:val="00C57407"/>
    <w:rsid w:val="00C577FD"/>
    <w:rsid w:val="00C57F48"/>
    <w:rsid w:val="00C61367"/>
    <w:rsid w:val="00C615BB"/>
    <w:rsid w:val="00C630C5"/>
    <w:rsid w:val="00C66334"/>
    <w:rsid w:val="00C6650C"/>
    <w:rsid w:val="00C6659A"/>
    <w:rsid w:val="00C66FB1"/>
    <w:rsid w:val="00C67096"/>
    <w:rsid w:val="00C6725D"/>
    <w:rsid w:val="00C67711"/>
    <w:rsid w:val="00C70089"/>
    <w:rsid w:val="00C70FD1"/>
    <w:rsid w:val="00C7160E"/>
    <w:rsid w:val="00C716D0"/>
    <w:rsid w:val="00C720EA"/>
    <w:rsid w:val="00C720FD"/>
    <w:rsid w:val="00C74E8C"/>
    <w:rsid w:val="00C74FE6"/>
    <w:rsid w:val="00C76717"/>
    <w:rsid w:val="00C76967"/>
    <w:rsid w:val="00C80462"/>
    <w:rsid w:val="00C80B6D"/>
    <w:rsid w:val="00C80BBF"/>
    <w:rsid w:val="00C81960"/>
    <w:rsid w:val="00C83270"/>
    <w:rsid w:val="00C83F7F"/>
    <w:rsid w:val="00C84CCC"/>
    <w:rsid w:val="00C85465"/>
    <w:rsid w:val="00C86633"/>
    <w:rsid w:val="00C878E3"/>
    <w:rsid w:val="00C900DA"/>
    <w:rsid w:val="00C9133A"/>
    <w:rsid w:val="00C9158B"/>
    <w:rsid w:val="00C9166B"/>
    <w:rsid w:val="00C91F1D"/>
    <w:rsid w:val="00C92F3F"/>
    <w:rsid w:val="00C93823"/>
    <w:rsid w:val="00C941A1"/>
    <w:rsid w:val="00C9521F"/>
    <w:rsid w:val="00C95274"/>
    <w:rsid w:val="00C952E5"/>
    <w:rsid w:val="00C96672"/>
    <w:rsid w:val="00C96A9A"/>
    <w:rsid w:val="00CA02D4"/>
    <w:rsid w:val="00CA20F1"/>
    <w:rsid w:val="00CA2C1C"/>
    <w:rsid w:val="00CA3C53"/>
    <w:rsid w:val="00CA3DB9"/>
    <w:rsid w:val="00CA69A9"/>
    <w:rsid w:val="00CA6BFE"/>
    <w:rsid w:val="00CA7EEF"/>
    <w:rsid w:val="00CB19DE"/>
    <w:rsid w:val="00CB1E8A"/>
    <w:rsid w:val="00CB1F9E"/>
    <w:rsid w:val="00CB23FD"/>
    <w:rsid w:val="00CB2484"/>
    <w:rsid w:val="00CB2496"/>
    <w:rsid w:val="00CB2B9A"/>
    <w:rsid w:val="00CB2D02"/>
    <w:rsid w:val="00CB2ED5"/>
    <w:rsid w:val="00CB3582"/>
    <w:rsid w:val="00CB3811"/>
    <w:rsid w:val="00CB52D2"/>
    <w:rsid w:val="00CB5E5C"/>
    <w:rsid w:val="00CB601D"/>
    <w:rsid w:val="00CB6506"/>
    <w:rsid w:val="00CB69C4"/>
    <w:rsid w:val="00CC072A"/>
    <w:rsid w:val="00CC1DF8"/>
    <w:rsid w:val="00CC332A"/>
    <w:rsid w:val="00CC378A"/>
    <w:rsid w:val="00CC3F00"/>
    <w:rsid w:val="00CC47C3"/>
    <w:rsid w:val="00CC6BBE"/>
    <w:rsid w:val="00CC6DE4"/>
    <w:rsid w:val="00CC7C37"/>
    <w:rsid w:val="00CD0754"/>
    <w:rsid w:val="00CD17D1"/>
    <w:rsid w:val="00CD19E1"/>
    <w:rsid w:val="00CD1C52"/>
    <w:rsid w:val="00CD264F"/>
    <w:rsid w:val="00CD3223"/>
    <w:rsid w:val="00CD4A61"/>
    <w:rsid w:val="00CD533E"/>
    <w:rsid w:val="00CD5D30"/>
    <w:rsid w:val="00CD5FF9"/>
    <w:rsid w:val="00CD7BD9"/>
    <w:rsid w:val="00CE25E9"/>
    <w:rsid w:val="00CE5038"/>
    <w:rsid w:val="00CE61E5"/>
    <w:rsid w:val="00CE6493"/>
    <w:rsid w:val="00CE6A6E"/>
    <w:rsid w:val="00CE6AB1"/>
    <w:rsid w:val="00CE736E"/>
    <w:rsid w:val="00CE75D6"/>
    <w:rsid w:val="00CF1D7E"/>
    <w:rsid w:val="00CF2591"/>
    <w:rsid w:val="00CF2670"/>
    <w:rsid w:val="00CF293F"/>
    <w:rsid w:val="00CF3A86"/>
    <w:rsid w:val="00CF3ABD"/>
    <w:rsid w:val="00CF3F48"/>
    <w:rsid w:val="00CF4361"/>
    <w:rsid w:val="00CF44DA"/>
    <w:rsid w:val="00CF6041"/>
    <w:rsid w:val="00CF6096"/>
    <w:rsid w:val="00CF62AD"/>
    <w:rsid w:val="00CF62FE"/>
    <w:rsid w:val="00D0127C"/>
    <w:rsid w:val="00D015C2"/>
    <w:rsid w:val="00D01734"/>
    <w:rsid w:val="00D017D7"/>
    <w:rsid w:val="00D01BD1"/>
    <w:rsid w:val="00D01CB8"/>
    <w:rsid w:val="00D02529"/>
    <w:rsid w:val="00D028A3"/>
    <w:rsid w:val="00D02CA8"/>
    <w:rsid w:val="00D0307A"/>
    <w:rsid w:val="00D03D0A"/>
    <w:rsid w:val="00D03F93"/>
    <w:rsid w:val="00D03F9C"/>
    <w:rsid w:val="00D046FB"/>
    <w:rsid w:val="00D0537F"/>
    <w:rsid w:val="00D102F9"/>
    <w:rsid w:val="00D115D4"/>
    <w:rsid w:val="00D11774"/>
    <w:rsid w:val="00D12750"/>
    <w:rsid w:val="00D13D92"/>
    <w:rsid w:val="00D15B47"/>
    <w:rsid w:val="00D16A5D"/>
    <w:rsid w:val="00D17B74"/>
    <w:rsid w:val="00D217B8"/>
    <w:rsid w:val="00D21BFA"/>
    <w:rsid w:val="00D221D3"/>
    <w:rsid w:val="00D2260F"/>
    <w:rsid w:val="00D22DC7"/>
    <w:rsid w:val="00D23828"/>
    <w:rsid w:val="00D26533"/>
    <w:rsid w:val="00D26621"/>
    <w:rsid w:val="00D26637"/>
    <w:rsid w:val="00D26A1D"/>
    <w:rsid w:val="00D3095A"/>
    <w:rsid w:val="00D30F37"/>
    <w:rsid w:val="00D31180"/>
    <w:rsid w:val="00D32242"/>
    <w:rsid w:val="00D32450"/>
    <w:rsid w:val="00D3280F"/>
    <w:rsid w:val="00D32A8D"/>
    <w:rsid w:val="00D33FA7"/>
    <w:rsid w:val="00D3412D"/>
    <w:rsid w:val="00D34214"/>
    <w:rsid w:val="00D34305"/>
    <w:rsid w:val="00D3557D"/>
    <w:rsid w:val="00D35F15"/>
    <w:rsid w:val="00D37204"/>
    <w:rsid w:val="00D37C8E"/>
    <w:rsid w:val="00D37DFB"/>
    <w:rsid w:val="00D417E6"/>
    <w:rsid w:val="00D417F4"/>
    <w:rsid w:val="00D42592"/>
    <w:rsid w:val="00D43576"/>
    <w:rsid w:val="00D4450C"/>
    <w:rsid w:val="00D44F27"/>
    <w:rsid w:val="00D44F69"/>
    <w:rsid w:val="00D45CAE"/>
    <w:rsid w:val="00D460DF"/>
    <w:rsid w:val="00D4690C"/>
    <w:rsid w:val="00D47148"/>
    <w:rsid w:val="00D51E23"/>
    <w:rsid w:val="00D548EC"/>
    <w:rsid w:val="00D557AF"/>
    <w:rsid w:val="00D567DD"/>
    <w:rsid w:val="00D573A3"/>
    <w:rsid w:val="00D57899"/>
    <w:rsid w:val="00D607C0"/>
    <w:rsid w:val="00D623A9"/>
    <w:rsid w:val="00D644A3"/>
    <w:rsid w:val="00D64F4E"/>
    <w:rsid w:val="00D655AC"/>
    <w:rsid w:val="00D701D4"/>
    <w:rsid w:val="00D7220B"/>
    <w:rsid w:val="00D73068"/>
    <w:rsid w:val="00D73F6F"/>
    <w:rsid w:val="00D750E1"/>
    <w:rsid w:val="00D75F9B"/>
    <w:rsid w:val="00D76B29"/>
    <w:rsid w:val="00D76E3D"/>
    <w:rsid w:val="00D772CD"/>
    <w:rsid w:val="00D7781D"/>
    <w:rsid w:val="00D77944"/>
    <w:rsid w:val="00D77E3F"/>
    <w:rsid w:val="00D801C7"/>
    <w:rsid w:val="00D80413"/>
    <w:rsid w:val="00D81605"/>
    <w:rsid w:val="00D81C93"/>
    <w:rsid w:val="00D8366F"/>
    <w:rsid w:val="00D84BDB"/>
    <w:rsid w:val="00D84D56"/>
    <w:rsid w:val="00D86318"/>
    <w:rsid w:val="00D90282"/>
    <w:rsid w:val="00D903AC"/>
    <w:rsid w:val="00D9281A"/>
    <w:rsid w:val="00D95E4A"/>
    <w:rsid w:val="00D96E11"/>
    <w:rsid w:val="00D973BE"/>
    <w:rsid w:val="00D97C87"/>
    <w:rsid w:val="00DA0B15"/>
    <w:rsid w:val="00DA0CC0"/>
    <w:rsid w:val="00DA0DD0"/>
    <w:rsid w:val="00DA0F19"/>
    <w:rsid w:val="00DA1830"/>
    <w:rsid w:val="00DA23E2"/>
    <w:rsid w:val="00DA447B"/>
    <w:rsid w:val="00DA5206"/>
    <w:rsid w:val="00DA5C40"/>
    <w:rsid w:val="00DA6419"/>
    <w:rsid w:val="00DB1B8C"/>
    <w:rsid w:val="00DB27AA"/>
    <w:rsid w:val="00DB34E6"/>
    <w:rsid w:val="00DB3ECE"/>
    <w:rsid w:val="00DB4DD0"/>
    <w:rsid w:val="00DB5211"/>
    <w:rsid w:val="00DB58CC"/>
    <w:rsid w:val="00DB68C8"/>
    <w:rsid w:val="00DB70CD"/>
    <w:rsid w:val="00DB7C26"/>
    <w:rsid w:val="00DC1322"/>
    <w:rsid w:val="00DC178D"/>
    <w:rsid w:val="00DC21B2"/>
    <w:rsid w:val="00DC4F09"/>
    <w:rsid w:val="00DD0FFB"/>
    <w:rsid w:val="00DD142F"/>
    <w:rsid w:val="00DD2A12"/>
    <w:rsid w:val="00DD35F1"/>
    <w:rsid w:val="00DD3A51"/>
    <w:rsid w:val="00DD4BA3"/>
    <w:rsid w:val="00DD5FF2"/>
    <w:rsid w:val="00DD62C3"/>
    <w:rsid w:val="00DD665C"/>
    <w:rsid w:val="00DD7241"/>
    <w:rsid w:val="00DE0A59"/>
    <w:rsid w:val="00DE111F"/>
    <w:rsid w:val="00DE1FB5"/>
    <w:rsid w:val="00DE2A37"/>
    <w:rsid w:val="00DE2B6A"/>
    <w:rsid w:val="00DE31F0"/>
    <w:rsid w:val="00DE4520"/>
    <w:rsid w:val="00DE474D"/>
    <w:rsid w:val="00DE596A"/>
    <w:rsid w:val="00DE5DE0"/>
    <w:rsid w:val="00DE5E8E"/>
    <w:rsid w:val="00DE66E3"/>
    <w:rsid w:val="00DE69C2"/>
    <w:rsid w:val="00DE6EBA"/>
    <w:rsid w:val="00DF0215"/>
    <w:rsid w:val="00DF1B91"/>
    <w:rsid w:val="00DF22D2"/>
    <w:rsid w:val="00DF269B"/>
    <w:rsid w:val="00DF2706"/>
    <w:rsid w:val="00DF3C3E"/>
    <w:rsid w:val="00DF416E"/>
    <w:rsid w:val="00DF4810"/>
    <w:rsid w:val="00DF4C18"/>
    <w:rsid w:val="00DF5743"/>
    <w:rsid w:val="00DF6275"/>
    <w:rsid w:val="00DF6293"/>
    <w:rsid w:val="00DF6AF0"/>
    <w:rsid w:val="00DF74FF"/>
    <w:rsid w:val="00E004B9"/>
    <w:rsid w:val="00E00B3D"/>
    <w:rsid w:val="00E01222"/>
    <w:rsid w:val="00E0165F"/>
    <w:rsid w:val="00E01C8F"/>
    <w:rsid w:val="00E022D5"/>
    <w:rsid w:val="00E026B3"/>
    <w:rsid w:val="00E0325F"/>
    <w:rsid w:val="00E04437"/>
    <w:rsid w:val="00E05F46"/>
    <w:rsid w:val="00E066EC"/>
    <w:rsid w:val="00E073DD"/>
    <w:rsid w:val="00E077B1"/>
    <w:rsid w:val="00E1019D"/>
    <w:rsid w:val="00E1050B"/>
    <w:rsid w:val="00E12096"/>
    <w:rsid w:val="00E12938"/>
    <w:rsid w:val="00E12A04"/>
    <w:rsid w:val="00E12B6D"/>
    <w:rsid w:val="00E13422"/>
    <w:rsid w:val="00E1383F"/>
    <w:rsid w:val="00E14444"/>
    <w:rsid w:val="00E14600"/>
    <w:rsid w:val="00E173B2"/>
    <w:rsid w:val="00E17484"/>
    <w:rsid w:val="00E174FB"/>
    <w:rsid w:val="00E17C40"/>
    <w:rsid w:val="00E2034F"/>
    <w:rsid w:val="00E209CE"/>
    <w:rsid w:val="00E2164E"/>
    <w:rsid w:val="00E21ABC"/>
    <w:rsid w:val="00E254C4"/>
    <w:rsid w:val="00E25E56"/>
    <w:rsid w:val="00E2663F"/>
    <w:rsid w:val="00E26689"/>
    <w:rsid w:val="00E27BBC"/>
    <w:rsid w:val="00E303F5"/>
    <w:rsid w:val="00E304DC"/>
    <w:rsid w:val="00E30AB8"/>
    <w:rsid w:val="00E31466"/>
    <w:rsid w:val="00E32C81"/>
    <w:rsid w:val="00E337F0"/>
    <w:rsid w:val="00E361C5"/>
    <w:rsid w:val="00E36438"/>
    <w:rsid w:val="00E4067A"/>
    <w:rsid w:val="00E4089C"/>
    <w:rsid w:val="00E41569"/>
    <w:rsid w:val="00E4159E"/>
    <w:rsid w:val="00E41A8F"/>
    <w:rsid w:val="00E42869"/>
    <w:rsid w:val="00E43847"/>
    <w:rsid w:val="00E440CA"/>
    <w:rsid w:val="00E44593"/>
    <w:rsid w:val="00E44755"/>
    <w:rsid w:val="00E50A0A"/>
    <w:rsid w:val="00E52BE5"/>
    <w:rsid w:val="00E535CE"/>
    <w:rsid w:val="00E555BA"/>
    <w:rsid w:val="00E5618D"/>
    <w:rsid w:val="00E57932"/>
    <w:rsid w:val="00E60320"/>
    <w:rsid w:val="00E60766"/>
    <w:rsid w:val="00E614BD"/>
    <w:rsid w:val="00E61646"/>
    <w:rsid w:val="00E62E28"/>
    <w:rsid w:val="00E62E8C"/>
    <w:rsid w:val="00E62EC2"/>
    <w:rsid w:val="00E63A55"/>
    <w:rsid w:val="00E64D33"/>
    <w:rsid w:val="00E64F25"/>
    <w:rsid w:val="00E65775"/>
    <w:rsid w:val="00E74121"/>
    <w:rsid w:val="00E74FAE"/>
    <w:rsid w:val="00E7504E"/>
    <w:rsid w:val="00E75071"/>
    <w:rsid w:val="00E7535E"/>
    <w:rsid w:val="00E755E8"/>
    <w:rsid w:val="00E77D33"/>
    <w:rsid w:val="00E77D37"/>
    <w:rsid w:val="00E80117"/>
    <w:rsid w:val="00E8062A"/>
    <w:rsid w:val="00E814A3"/>
    <w:rsid w:val="00E83296"/>
    <w:rsid w:val="00E84292"/>
    <w:rsid w:val="00E8474B"/>
    <w:rsid w:val="00E870D6"/>
    <w:rsid w:val="00E87FE9"/>
    <w:rsid w:val="00E90436"/>
    <w:rsid w:val="00E908BE"/>
    <w:rsid w:val="00E9099F"/>
    <w:rsid w:val="00E90BB0"/>
    <w:rsid w:val="00E91187"/>
    <w:rsid w:val="00E915D9"/>
    <w:rsid w:val="00E9204D"/>
    <w:rsid w:val="00E95659"/>
    <w:rsid w:val="00E9570F"/>
    <w:rsid w:val="00E96EC6"/>
    <w:rsid w:val="00E96F6A"/>
    <w:rsid w:val="00E97333"/>
    <w:rsid w:val="00E974FE"/>
    <w:rsid w:val="00EA1B97"/>
    <w:rsid w:val="00EA3E68"/>
    <w:rsid w:val="00EA5AB9"/>
    <w:rsid w:val="00EA5B96"/>
    <w:rsid w:val="00EA6B86"/>
    <w:rsid w:val="00EB0103"/>
    <w:rsid w:val="00EB01D2"/>
    <w:rsid w:val="00EB07EF"/>
    <w:rsid w:val="00EB0BE2"/>
    <w:rsid w:val="00EB1057"/>
    <w:rsid w:val="00EB1614"/>
    <w:rsid w:val="00EB28EA"/>
    <w:rsid w:val="00EB402A"/>
    <w:rsid w:val="00EB70C8"/>
    <w:rsid w:val="00EB7D9D"/>
    <w:rsid w:val="00EC207E"/>
    <w:rsid w:val="00EC2B8F"/>
    <w:rsid w:val="00EC3459"/>
    <w:rsid w:val="00EC48B1"/>
    <w:rsid w:val="00EC4FCB"/>
    <w:rsid w:val="00EC54B3"/>
    <w:rsid w:val="00EC5634"/>
    <w:rsid w:val="00EC6BFA"/>
    <w:rsid w:val="00EC6D27"/>
    <w:rsid w:val="00EC7836"/>
    <w:rsid w:val="00ED04B5"/>
    <w:rsid w:val="00ED3230"/>
    <w:rsid w:val="00ED3608"/>
    <w:rsid w:val="00ED3EF9"/>
    <w:rsid w:val="00ED5C9E"/>
    <w:rsid w:val="00ED7D2D"/>
    <w:rsid w:val="00ED7FAF"/>
    <w:rsid w:val="00EE0F09"/>
    <w:rsid w:val="00EE3162"/>
    <w:rsid w:val="00EE3343"/>
    <w:rsid w:val="00EE3CF3"/>
    <w:rsid w:val="00EE430A"/>
    <w:rsid w:val="00EE4BE4"/>
    <w:rsid w:val="00EE51D4"/>
    <w:rsid w:val="00EE6609"/>
    <w:rsid w:val="00EE69AB"/>
    <w:rsid w:val="00EE6A61"/>
    <w:rsid w:val="00EE7CE7"/>
    <w:rsid w:val="00EF1DE1"/>
    <w:rsid w:val="00EF22A6"/>
    <w:rsid w:val="00EF3250"/>
    <w:rsid w:val="00EF3B1F"/>
    <w:rsid w:val="00EF4E35"/>
    <w:rsid w:val="00EF502A"/>
    <w:rsid w:val="00EF52DA"/>
    <w:rsid w:val="00EF59BF"/>
    <w:rsid w:val="00EF60AD"/>
    <w:rsid w:val="00EF7E41"/>
    <w:rsid w:val="00F00061"/>
    <w:rsid w:val="00F01967"/>
    <w:rsid w:val="00F02081"/>
    <w:rsid w:val="00F025D2"/>
    <w:rsid w:val="00F02BFA"/>
    <w:rsid w:val="00F03883"/>
    <w:rsid w:val="00F038ED"/>
    <w:rsid w:val="00F03BA3"/>
    <w:rsid w:val="00F041FD"/>
    <w:rsid w:val="00F04AEE"/>
    <w:rsid w:val="00F04E0B"/>
    <w:rsid w:val="00F06797"/>
    <w:rsid w:val="00F07752"/>
    <w:rsid w:val="00F111BD"/>
    <w:rsid w:val="00F11460"/>
    <w:rsid w:val="00F129B4"/>
    <w:rsid w:val="00F12C91"/>
    <w:rsid w:val="00F14503"/>
    <w:rsid w:val="00F1463C"/>
    <w:rsid w:val="00F1500A"/>
    <w:rsid w:val="00F163EB"/>
    <w:rsid w:val="00F17D2E"/>
    <w:rsid w:val="00F21ED5"/>
    <w:rsid w:val="00F236F9"/>
    <w:rsid w:val="00F23AA0"/>
    <w:rsid w:val="00F23BD4"/>
    <w:rsid w:val="00F24430"/>
    <w:rsid w:val="00F25204"/>
    <w:rsid w:val="00F27E03"/>
    <w:rsid w:val="00F30698"/>
    <w:rsid w:val="00F332DD"/>
    <w:rsid w:val="00F3341C"/>
    <w:rsid w:val="00F33898"/>
    <w:rsid w:val="00F3473E"/>
    <w:rsid w:val="00F34EE4"/>
    <w:rsid w:val="00F34F4A"/>
    <w:rsid w:val="00F350E2"/>
    <w:rsid w:val="00F37394"/>
    <w:rsid w:val="00F40459"/>
    <w:rsid w:val="00F410EE"/>
    <w:rsid w:val="00F421DF"/>
    <w:rsid w:val="00F43E24"/>
    <w:rsid w:val="00F43FDC"/>
    <w:rsid w:val="00F44608"/>
    <w:rsid w:val="00F44905"/>
    <w:rsid w:val="00F44F8B"/>
    <w:rsid w:val="00F46A06"/>
    <w:rsid w:val="00F4732B"/>
    <w:rsid w:val="00F4733A"/>
    <w:rsid w:val="00F501A6"/>
    <w:rsid w:val="00F50A38"/>
    <w:rsid w:val="00F5106F"/>
    <w:rsid w:val="00F52D3E"/>
    <w:rsid w:val="00F5303F"/>
    <w:rsid w:val="00F53192"/>
    <w:rsid w:val="00F533EA"/>
    <w:rsid w:val="00F554AE"/>
    <w:rsid w:val="00F55EE2"/>
    <w:rsid w:val="00F56D37"/>
    <w:rsid w:val="00F578C9"/>
    <w:rsid w:val="00F61FA6"/>
    <w:rsid w:val="00F62A97"/>
    <w:rsid w:val="00F636C5"/>
    <w:rsid w:val="00F63762"/>
    <w:rsid w:val="00F64DF9"/>
    <w:rsid w:val="00F6591D"/>
    <w:rsid w:val="00F65A02"/>
    <w:rsid w:val="00F65BA8"/>
    <w:rsid w:val="00F6692D"/>
    <w:rsid w:val="00F67A1D"/>
    <w:rsid w:val="00F706B9"/>
    <w:rsid w:val="00F706C6"/>
    <w:rsid w:val="00F71B6A"/>
    <w:rsid w:val="00F71B82"/>
    <w:rsid w:val="00F72E99"/>
    <w:rsid w:val="00F73854"/>
    <w:rsid w:val="00F74C7D"/>
    <w:rsid w:val="00F75E79"/>
    <w:rsid w:val="00F76509"/>
    <w:rsid w:val="00F765D1"/>
    <w:rsid w:val="00F7704C"/>
    <w:rsid w:val="00F81752"/>
    <w:rsid w:val="00F81A97"/>
    <w:rsid w:val="00F81B68"/>
    <w:rsid w:val="00F81D3E"/>
    <w:rsid w:val="00F83204"/>
    <w:rsid w:val="00F84BAC"/>
    <w:rsid w:val="00F85277"/>
    <w:rsid w:val="00F8571A"/>
    <w:rsid w:val="00F86155"/>
    <w:rsid w:val="00F8664E"/>
    <w:rsid w:val="00F86750"/>
    <w:rsid w:val="00F874AA"/>
    <w:rsid w:val="00F87FB3"/>
    <w:rsid w:val="00F90F48"/>
    <w:rsid w:val="00F91D43"/>
    <w:rsid w:val="00F923FD"/>
    <w:rsid w:val="00F92653"/>
    <w:rsid w:val="00F92DA9"/>
    <w:rsid w:val="00F93A2D"/>
    <w:rsid w:val="00F9416B"/>
    <w:rsid w:val="00F95F93"/>
    <w:rsid w:val="00F97640"/>
    <w:rsid w:val="00F979A2"/>
    <w:rsid w:val="00F97F18"/>
    <w:rsid w:val="00FA011A"/>
    <w:rsid w:val="00FA14C1"/>
    <w:rsid w:val="00FA37BC"/>
    <w:rsid w:val="00FA3D3B"/>
    <w:rsid w:val="00FA4F88"/>
    <w:rsid w:val="00FA56A3"/>
    <w:rsid w:val="00FA666A"/>
    <w:rsid w:val="00FA6FE4"/>
    <w:rsid w:val="00FA709A"/>
    <w:rsid w:val="00FA7CBA"/>
    <w:rsid w:val="00FB0416"/>
    <w:rsid w:val="00FB121F"/>
    <w:rsid w:val="00FB21F0"/>
    <w:rsid w:val="00FB2972"/>
    <w:rsid w:val="00FB32B5"/>
    <w:rsid w:val="00FB33AC"/>
    <w:rsid w:val="00FB33D7"/>
    <w:rsid w:val="00FB340C"/>
    <w:rsid w:val="00FB6318"/>
    <w:rsid w:val="00FB65A6"/>
    <w:rsid w:val="00FB76DC"/>
    <w:rsid w:val="00FB7738"/>
    <w:rsid w:val="00FB7A93"/>
    <w:rsid w:val="00FB7BA0"/>
    <w:rsid w:val="00FB7F8A"/>
    <w:rsid w:val="00FC0404"/>
    <w:rsid w:val="00FC0795"/>
    <w:rsid w:val="00FC079B"/>
    <w:rsid w:val="00FC0DCD"/>
    <w:rsid w:val="00FC103B"/>
    <w:rsid w:val="00FC1354"/>
    <w:rsid w:val="00FC1948"/>
    <w:rsid w:val="00FC1F22"/>
    <w:rsid w:val="00FC24FD"/>
    <w:rsid w:val="00FC2750"/>
    <w:rsid w:val="00FC4CC0"/>
    <w:rsid w:val="00FC62AF"/>
    <w:rsid w:val="00FC6478"/>
    <w:rsid w:val="00FC7318"/>
    <w:rsid w:val="00FC7930"/>
    <w:rsid w:val="00FD02C3"/>
    <w:rsid w:val="00FD02CF"/>
    <w:rsid w:val="00FD06FB"/>
    <w:rsid w:val="00FD20D0"/>
    <w:rsid w:val="00FD2F6F"/>
    <w:rsid w:val="00FD307A"/>
    <w:rsid w:val="00FD3B29"/>
    <w:rsid w:val="00FD3E58"/>
    <w:rsid w:val="00FD6861"/>
    <w:rsid w:val="00FD6BF7"/>
    <w:rsid w:val="00FE0ED6"/>
    <w:rsid w:val="00FE31C2"/>
    <w:rsid w:val="00FE35D3"/>
    <w:rsid w:val="00FE54AF"/>
    <w:rsid w:val="00FE5A05"/>
    <w:rsid w:val="00FE5DB1"/>
    <w:rsid w:val="00FE6146"/>
    <w:rsid w:val="00FE646E"/>
    <w:rsid w:val="00FE6778"/>
    <w:rsid w:val="00FE6DCD"/>
    <w:rsid w:val="00FF0D7B"/>
    <w:rsid w:val="00FF1021"/>
    <w:rsid w:val="00FF1070"/>
    <w:rsid w:val="00FF1B63"/>
    <w:rsid w:val="00FF20E9"/>
    <w:rsid w:val="00FF26A8"/>
    <w:rsid w:val="00FF2A06"/>
    <w:rsid w:val="00FF3292"/>
    <w:rsid w:val="00FF33E6"/>
    <w:rsid w:val="00FF3598"/>
    <w:rsid w:val="00FF540A"/>
    <w:rsid w:val="00FF7405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D2338C"/>
  <w15:docId w15:val="{7B8E6821-3E5D-45C9-AF64-08FD71F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  <w:style w:type="paragraph" w:customStyle="1" w:styleId="k02">
    <w:name w:val="k02"/>
    <w:basedOn w:val="a"/>
    <w:rsid w:val="005779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BA3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F03BA3"/>
  </w:style>
  <w:style w:type="character" w:styleId="af4">
    <w:name w:val="Emphasis"/>
    <w:basedOn w:val="a0"/>
    <w:uiPriority w:val="20"/>
    <w:qFormat/>
    <w:rsid w:val="00B30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7493-5D55-4B20-932F-A0FE5320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國發會</dc:creator>
  <cp:lastModifiedBy>廖銘傳</cp:lastModifiedBy>
  <cp:revision>165</cp:revision>
  <cp:lastPrinted>2021-05-25T06:08:00Z</cp:lastPrinted>
  <dcterms:created xsi:type="dcterms:W3CDTF">2022-10-25T01:55:00Z</dcterms:created>
  <dcterms:modified xsi:type="dcterms:W3CDTF">2023-02-24T08:31:00Z</dcterms:modified>
</cp:coreProperties>
</file>