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0F3F1AA6" w:rsidR="00A11FE5" w:rsidRPr="0072318E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72318E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72318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C16B81" w:rsidRPr="0072318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A11FE5" w:rsidRPr="0072318E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2445F4" w:rsidRPr="0072318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5</w:t>
      </w:r>
      <w:r w:rsidR="00A11FE5" w:rsidRPr="0072318E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72318E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72318E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72318E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0238061F" w:rsidR="00A04C46" w:rsidRPr="0072318E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72318E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72318E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684362" w:rsidRPr="0072318E">
        <w:rPr>
          <w:rFonts w:asciiTheme="minorEastAsia" w:hAnsiTheme="minorEastAsia" w:cs="Times New Roman"/>
          <w:bCs/>
          <w:sz w:val="28"/>
          <w:szCs w:val="28"/>
        </w:rPr>
        <w:t>1</w:t>
      </w:r>
      <w:r w:rsidRPr="0072318E">
        <w:rPr>
          <w:rFonts w:asciiTheme="minorEastAsia" w:hAnsiTheme="minorEastAsia" w:cs="Times New Roman"/>
          <w:bCs/>
          <w:sz w:val="28"/>
          <w:szCs w:val="28"/>
        </w:rPr>
        <w:t>年</w:t>
      </w:r>
      <w:r w:rsidR="002445F4" w:rsidRPr="0072318E">
        <w:rPr>
          <w:rFonts w:asciiTheme="minorEastAsia" w:hAnsiTheme="minorEastAsia" w:cs="Times New Roman" w:hint="eastAsia"/>
          <w:bCs/>
          <w:sz w:val="28"/>
          <w:szCs w:val="28"/>
        </w:rPr>
        <w:t>6</w:t>
      </w:r>
      <w:r w:rsidRPr="0072318E">
        <w:rPr>
          <w:rFonts w:asciiTheme="minorEastAsia" w:hAnsiTheme="minorEastAsia" w:cs="Times New Roman"/>
          <w:bCs/>
          <w:sz w:val="28"/>
          <w:szCs w:val="28"/>
        </w:rPr>
        <w:t>月</w:t>
      </w:r>
      <w:r w:rsidR="00DD7241" w:rsidRPr="0072318E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436B60" w:rsidRPr="0072318E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72318E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72318E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72318E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4FBEDD4" w14:textId="3D446CB3" w:rsidR="002E608F" w:rsidRPr="0072318E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72318E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C16B81" w:rsidRPr="0072318E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72318E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52EF4" w:rsidRPr="0072318E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054C87" w:rsidRPr="0072318E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C028A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C028A" w:rsidRPr="0072318E">
        <w:rPr>
          <w:rFonts w:asciiTheme="minorEastAsia" w:eastAsiaTheme="minorEastAsia" w:hAnsiTheme="minorEastAsia"/>
          <w:sz w:val="32"/>
          <w:szCs w:val="32"/>
        </w:rPr>
        <w:t>8</w:t>
      </w:r>
      <w:r w:rsidR="00054C87" w:rsidRPr="0072318E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="008E40A7" w:rsidRPr="0072318E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持平</w:t>
      </w:r>
      <w:r w:rsidR="008E40A7" w:rsidRPr="0072318E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7C028A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054C87" w:rsidRPr="0072318E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333E08" w:rsidRPr="0072318E">
        <w:rPr>
          <w:rFonts w:asciiTheme="minorEastAsia" w:eastAsiaTheme="minorEastAsia" w:hAnsiTheme="minorEastAsia" w:hint="eastAsia"/>
          <w:sz w:val="32"/>
          <w:szCs w:val="32"/>
        </w:rPr>
        <w:t>領先指標續呈下跌，同時指標經回溯修正後呈連續4個月下跌，顯示景氣擴張力道趨緩，須密切關注後續發展。</w:t>
      </w:r>
    </w:p>
    <w:p w14:paraId="6FDF9383" w14:textId="64A616D2" w:rsidR="0023799B" w:rsidRPr="0072318E" w:rsidRDefault="00333E08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受到中國防疫封控、俄烏戰爭、全球通膨壓力升溫等影響，壓抑全球經貿成長動能，企業信心亦受挫，5月份製造業銷售量指數年增率、製造業營業氣候測驗點均下滑，惟貿易面指標則受惠5G、高效能運算、車用電子等應用需求擴增，仍保持強勁成長；內需部分，相較去年同月升級三級警戒，今年國內漸與疫情共存，批發、零售及餐飲業營業額較去年同期擴增</w:t>
      </w:r>
      <w:r w:rsidR="001E5889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2AFCF3" w14:textId="5FCCA795" w:rsidR="00D32242" w:rsidRPr="0072318E" w:rsidRDefault="00333E08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展望未來，出口方面，由於新興科技應用及數位轉型需求續強，且各國持續鬆綁邊境管制，加以中國逐步解封，有助維持終端需求動能；投資方面，國內半導體供應鏈持續擴大投資，以及投資台灣三大方案延續，加以綠能投資持續擴增，均有助推升國內投資動能；惟俄烏戰爭僵持、全球通膨壓力持續、新冠疫情未除，且供應鏈瓶頸、主要國家貨幣政策緊縮步調等不確定因素仍存，恐增添全球經濟下行風險，仍須審慎關注後續發展，並妥為因應</w:t>
      </w:r>
      <w:r w:rsidR="005509B7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F36F9ED" w14:textId="77777777" w:rsidR="00683B35" w:rsidRPr="0072318E" w:rsidRDefault="00683B35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14:paraId="5B1ED87B" w14:textId="77777777" w:rsidR="00C369E1" w:rsidRPr="0072318E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72318E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72318E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72318E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72318E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72318E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7E945255" w:rsidR="00DF4810" w:rsidRPr="0072318E" w:rsidRDefault="00E870D6" w:rsidP="00830183">
      <w:pPr>
        <w:pStyle w:val="k02"/>
        <w:tabs>
          <w:tab w:val="clear" w:pos="960"/>
          <w:tab w:val="clear" w:pos="384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AA50F3" w:rsidRPr="0072318E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7753C" w:rsidRPr="0072318E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957393" w:rsidRPr="0072318E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7C028A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C028A" w:rsidRPr="0072318E">
        <w:rPr>
          <w:rFonts w:asciiTheme="minorEastAsia" w:eastAsiaTheme="minorEastAsia" w:hAnsiTheme="minorEastAsia"/>
          <w:sz w:val="32"/>
          <w:szCs w:val="32"/>
        </w:rPr>
        <w:t>8</w:t>
      </w:r>
      <w:r w:rsidR="005E77B2" w:rsidRPr="0072318E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="00AA50F3" w:rsidRPr="0072318E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持平</w:t>
      </w:r>
      <w:r w:rsidR="00AA50F3" w:rsidRPr="0072318E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7C028A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957393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72318E">
        <w:rPr>
          <w:rFonts w:asciiTheme="minorEastAsia" w:eastAsiaTheme="minorEastAsia" w:hAnsiTheme="minorEastAsia" w:hint="eastAsia"/>
          <w:sz w:val="32"/>
          <w:szCs w:val="32"/>
        </w:rPr>
        <w:t>9項構成項目中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F3B80" w:rsidRPr="0072318E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054709" w:rsidRPr="0072318E">
        <w:rPr>
          <w:rFonts w:asciiTheme="minorEastAsia" w:eastAsiaTheme="minorEastAsia" w:hAnsiTheme="minorEastAsia"/>
          <w:sz w:val="32"/>
          <w:szCs w:val="32"/>
        </w:rPr>
        <w:t>由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054709" w:rsidRPr="0072318E">
        <w:rPr>
          <w:rFonts w:asciiTheme="minorEastAsia" w:eastAsiaTheme="minorEastAsia" w:hAnsiTheme="minorEastAsia"/>
          <w:sz w:val="32"/>
          <w:szCs w:val="32"/>
        </w:rPr>
        <w:t>，分數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54709" w:rsidRPr="0072318E">
        <w:rPr>
          <w:rFonts w:asciiTheme="minorEastAsia" w:eastAsiaTheme="minorEastAsia" w:hAnsiTheme="minorEastAsia"/>
          <w:sz w:val="32"/>
          <w:szCs w:val="32"/>
        </w:rPr>
        <w:t>分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製造業銷售量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指數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由綠燈轉呈黃藍燈</w:t>
      </w:r>
      <w:r w:rsidR="00830183" w:rsidRPr="0072318E">
        <w:rPr>
          <w:rFonts w:ascii="微軟正黑體" w:eastAsia="微軟正黑體" w:hAnsi="微軟正黑體" w:hint="eastAsia"/>
          <w:sz w:val="32"/>
          <w:szCs w:val="32"/>
        </w:rPr>
        <w:t>、</w:t>
      </w:r>
      <w:r w:rsidR="00830183" w:rsidRPr="0072318E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5F3B80" w:rsidRPr="0072318E">
        <w:rPr>
          <w:rFonts w:asciiTheme="minorEastAsia" w:eastAsiaTheme="minorEastAsia" w:hAnsiTheme="minorEastAsia" w:hint="eastAsia"/>
          <w:sz w:val="32"/>
          <w:szCs w:val="32"/>
        </w:rPr>
        <w:t>黃藍</w:t>
      </w:r>
      <w:r w:rsidR="00054709" w:rsidRPr="0072318E">
        <w:rPr>
          <w:rFonts w:asciiTheme="minorEastAsia" w:eastAsiaTheme="minorEastAsia" w:hAnsiTheme="minorEastAsia" w:hint="eastAsia"/>
          <w:sz w:val="32"/>
          <w:szCs w:val="32"/>
        </w:rPr>
        <w:t>燈轉呈藍燈，</w:t>
      </w:r>
      <w:r w:rsidR="00054709" w:rsidRPr="0072318E">
        <w:rPr>
          <w:rFonts w:asciiTheme="minorEastAsia" w:eastAsiaTheme="minorEastAsia" w:hAnsiTheme="minorEastAsia"/>
          <w:sz w:val="32"/>
          <w:szCs w:val="32"/>
        </w:rPr>
        <w:t>分數</w:t>
      </w:r>
      <w:r w:rsidR="00830183" w:rsidRPr="0072318E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="00054709" w:rsidRPr="0072318E">
        <w:rPr>
          <w:rFonts w:asciiTheme="minorEastAsia" w:eastAsiaTheme="minorEastAsia" w:hAnsiTheme="minorEastAsia"/>
          <w:sz w:val="32"/>
          <w:szCs w:val="32"/>
        </w:rPr>
        <w:t>減少1分</w:t>
      </w:r>
      <w:r w:rsidR="00375258" w:rsidRPr="0072318E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375258" w:rsidRPr="0072318E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72318E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72318E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7BEFA364" w:rsidR="00AB44CC" w:rsidRPr="0072318E" w:rsidRDefault="00C369E1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72318E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AB44CC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9.8</w:t>
      </w:r>
      <w:r w:rsidR="00AB44CC"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AB44CC"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16B13" w:rsidRPr="0072318E">
        <w:rPr>
          <w:rFonts w:asciiTheme="minorEastAsia" w:eastAsiaTheme="minorEastAsia" w:hAnsiTheme="minorEastAsia" w:hint="eastAsia"/>
          <w:sz w:val="32"/>
          <w:szCs w:val="32"/>
        </w:rPr>
        <w:t>8.7</w:t>
      </w:r>
      <w:r w:rsidR="00AB44CC" w:rsidRPr="0072318E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DF6293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B44CC" w:rsidRPr="0072318E">
        <w:rPr>
          <w:rFonts w:asciiTheme="minorEastAsia" w:eastAsiaTheme="minorEastAsia" w:hAnsiTheme="minorEastAsia" w:hint="eastAsia"/>
          <w:sz w:val="32"/>
          <w:szCs w:val="32"/>
        </w:rPr>
        <w:t>呈黃紅燈。</w:t>
      </w:r>
    </w:p>
    <w:p w14:paraId="4272094B" w14:textId="6A5D5A6D" w:rsidR="008A35B2" w:rsidRPr="0072318E" w:rsidRDefault="00FA666A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8A35B2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B7738" w:rsidRPr="0072318E">
        <w:rPr>
          <w:rFonts w:asciiTheme="minorEastAsia" w:eastAsiaTheme="minorEastAsia" w:hAnsiTheme="minorEastAsia"/>
          <w:sz w:val="32"/>
          <w:szCs w:val="32"/>
        </w:rPr>
        <w:t>0.7</w:t>
      </w:r>
      <w:r w:rsidR="008A35B2"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14444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8A35B2"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1.9</w:t>
      </w:r>
      <w:r w:rsidR="008A35B2" w:rsidRPr="0072318E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黃藍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A35B2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BDB55F1" w14:textId="0363CF2B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CF4361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FD02CF" w:rsidRPr="0072318E">
        <w:rPr>
          <w:rFonts w:asciiTheme="minorEastAsia" w:eastAsiaTheme="minorEastAsia" w:hAnsiTheme="minorEastAsia" w:hint="eastAsia"/>
          <w:sz w:val="32"/>
          <w:szCs w:val="32"/>
        </w:rPr>
        <w:t>修</w:t>
      </w:r>
      <w:r w:rsidR="000A51BF" w:rsidRPr="0072318E">
        <w:rPr>
          <w:rFonts w:asciiTheme="minorEastAsia" w:eastAsiaTheme="minorEastAsia" w:hAnsiTheme="minorEastAsia" w:hint="eastAsia"/>
          <w:sz w:val="32"/>
          <w:szCs w:val="32"/>
        </w:rPr>
        <w:t>值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6.7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3.5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87CD446" w14:textId="1A0192E4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B7738" w:rsidRPr="0072318E">
        <w:rPr>
          <w:rFonts w:asciiTheme="minorEastAsia" w:eastAsiaTheme="minorEastAsia" w:hAnsiTheme="minorEastAsia"/>
          <w:sz w:val="32"/>
          <w:szCs w:val="32"/>
        </w:rPr>
        <w:t>0.88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72318E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AD6D9D" w:rsidRPr="0072318E">
        <w:rPr>
          <w:rFonts w:asciiTheme="minorEastAsia" w:eastAsiaTheme="minorEastAsia" w:hAnsiTheme="minorEastAsia"/>
          <w:sz w:val="32"/>
          <w:szCs w:val="32"/>
        </w:rPr>
        <w:t>0.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12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14:paraId="07E82D1E" w14:textId="0790DB80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72318E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72318E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B7738" w:rsidRPr="0072318E">
        <w:rPr>
          <w:rFonts w:asciiTheme="minorEastAsia" w:eastAsiaTheme="minorEastAsia" w:hAnsiTheme="minorEastAsia"/>
          <w:sz w:val="32"/>
          <w:szCs w:val="32"/>
        </w:rPr>
        <w:t>4.9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AD6D9D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AD6D9D" w:rsidRPr="0072318E">
        <w:rPr>
          <w:rFonts w:asciiTheme="minorEastAsia" w:eastAsiaTheme="minorEastAsia" w:hAnsiTheme="minorEastAsia"/>
          <w:sz w:val="32"/>
          <w:szCs w:val="32"/>
        </w:rPr>
        <w:t>.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14444" w:rsidRPr="0072318E">
        <w:rPr>
          <w:rFonts w:asciiTheme="minorEastAsia" w:eastAsiaTheme="minorEastAsia" w:hAnsiTheme="minorEastAsia" w:hint="eastAsia"/>
          <w:sz w:val="32"/>
          <w:szCs w:val="32"/>
        </w:rPr>
        <w:t>燈號續呈紅燈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1178766" w14:textId="6A4ECC29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B7738" w:rsidRPr="0072318E">
        <w:rPr>
          <w:rFonts w:asciiTheme="minorEastAsia" w:eastAsiaTheme="minorEastAsia" w:hAnsiTheme="minorEastAsia"/>
          <w:sz w:val="32"/>
          <w:szCs w:val="32"/>
        </w:rPr>
        <w:t>8.1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3144B" w:rsidRPr="0072318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4.5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754C6A" w:rsidRPr="0072318E">
        <w:rPr>
          <w:rFonts w:asciiTheme="minorEastAsia" w:eastAsiaTheme="minorEastAsia" w:hAnsiTheme="minorEastAsia" w:hint="eastAsia"/>
          <w:sz w:val="32"/>
          <w:szCs w:val="32"/>
        </w:rPr>
        <w:t>呈紅燈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EB25A67" w14:textId="7DEF27D9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5E77B2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C44DA6" w:rsidRPr="0072318E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3.1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57899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-1.7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6293" w:rsidRPr="0072318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6E24A2" w:rsidRPr="0072318E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DF6293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轉呈黃藍燈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0B42EF1F" w14:textId="115EB71A" w:rsidR="008A35B2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106981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FB7738" w:rsidRPr="0072318E">
        <w:rPr>
          <w:rFonts w:asciiTheme="minorEastAsia" w:eastAsiaTheme="minorEastAsia" w:hAnsiTheme="minorEastAsia"/>
          <w:sz w:val="32"/>
          <w:szCs w:val="32"/>
        </w:rPr>
        <w:t>.9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9.5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72318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D57899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5061B8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0A51BF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1DC399A" w14:textId="4B48B42C" w:rsidR="00C6659A" w:rsidRPr="0072318E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72318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830183" w:rsidRPr="0072318E">
        <w:rPr>
          <w:rFonts w:asciiTheme="minorEastAsia" w:eastAsiaTheme="minorEastAsia" w:hAnsiTheme="minorEastAsia" w:hint="eastAsia"/>
          <w:sz w:val="32"/>
          <w:szCs w:val="32"/>
        </w:rPr>
        <w:t>修值9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4.8</w:t>
      </w:r>
      <w:r w:rsidR="00D57899" w:rsidRPr="0072318E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AA50F3" w:rsidRPr="0072318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3144B" w:rsidRPr="0072318E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2.6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33144B" w:rsidRPr="0072318E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FB7738" w:rsidRPr="0072318E">
        <w:rPr>
          <w:rFonts w:asciiTheme="minorEastAsia" w:eastAsiaTheme="minorEastAsia" w:hAnsiTheme="minorEastAsia" w:hint="eastAsia"/>
          <w:sz w:val="32"/>
          <w:szCs w:val="32"/>
        </w:rPr>
        <w:t>黃藍</w:t>
      </w:r>
      <w:r w:rsidR="00106981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33144B" w:rsidRPr="0072318E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830183" w:rsidRPr="0072318E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33144B" w:rsidRPr="0072318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23589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89A8B69" w14:textId="77777777" w:rsidR="00C369E1" w:rsidRPr="0072318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72318E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77777777" w:rsidR="00C369E1" w:rsidRPr="0072318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52D46280" w:rsidR="00C369E1" w:rsidRPr="0072318E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73F6F" w:rsidRPr="0072318E">
        <w:rPr>
          <w:rFonts w:asciiTheme="minorEastAsia" w:eastAsiaTheme="minorEastAsia" w:hAnsiTheme="minorEastAsia" w:hint="eastAsia"/>
          <w:sz w:val="32"/>
          <w:szCs w:val="32"/>
        </w:rPr>
        <w:t>99</w:t>
      </w:r>
      <w:r w:rsidR="004836FD" w:rsidRPr="0072318E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D73F6F" w:rsidRPr="0072318E">
        <w:rPr>
          <w:rFonts w:asciiTheme="minorEastAsia" w:eastAsiaTheme="minorEastAsia" w:hAnsiTheme="minorEastAsia" w:hint="eastAsia"/>
          <w:sz w:val="32"/>
          <w:szCs w:val="32"/>
        </w:rPr>
        <w:t>03</w:t>
      </w:r>
      <w:r w:rsidR="004836FD" w:rsidRPr="0072318E">
        <w:rPr>
          <w:rFonts w:asciiTheme="minorEastAsia" w:eastAsiaTheme="minorEastAsia" w:hAnsiTheme="minorEastAsia"/>
          <w:sz w:val="32"/>
          <w:szCs w:val="32"/>
        </w:rPr>
        <w:t>，較上月</w:t>
      </w:r>
      <w:r w:rsidR="00916653" w:rsidRPr="0072318E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4C78C0" w:rsidRPr="0072318E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72318E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D73F6F" w:rsidRPr="0072318E">
        <w:rPr>
          <w:rFonts w:asciiTheme="minorEastAsia" w:eastAsiaTheme="minorEastAsia" w:hAnsiTheme="minorEastAsia" w:hint="eastAsia"/>
          <w:sz w:val="32"/>
          <w:szCs w:val="32"/>
        </w:rPr>
        <w:t>70</w:t>
      </w:r>
      <w:r w:rsidR="004836FD" w:rsidRPr="0072318E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（詳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lastRenderedPageBreak/>
        <w:t>表1、圖</w:t>
      </w:r>
      <w:r w:rsidR="00F87FB3" w:rsidRPr="0072318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4CFAD67B" w:rsidR="000638DC" w:rsidRPr="0072318E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7261D5" w:rsidRPr="0072318E">
        <w:rPr>
          <w:rFonts w:asciiTheme="minorEastAsia" w:eastAsiaTheme="minorEastAsia" w:hAnsiTheme="minorEastAsia" w:hint="eastAsia"/>
          <w:sz w:val="32"/>
          <w:szCs w:val="32"/>
        </w:rPr>
        <w:t>僅建築物開工樓地板面積較上月上升；其餘6項較上月下滑，分別為：</w:t>
      </w:r>
      <w:r w:rsidR="0011455B" w:rsidRPr="0072318E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D73F6F" w:rsidRPr="0072318E">
        <w:rPr>
          <w:rFonts w:asciiTheme="minorEastAsia" w:eastAsiaTheme="minorEastAsia" w:hAnsiTheme="minorEastAsia" w:hint="eastAsia"/>
          <w:sz w:val="32"/>
          <w:szCs w:val="32"/>
        </w:rPr>
        <w:t>實質貨幣總計數M1B、股價指數、</w:t>
      </w:r>
      <w:r w:rsidR="007261D5" w:rsidRPr="0072318E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D73F6F" w:rsidRPr="0072318E">
        <w:rPr>
          <w:rFonts w:asciiTheme="minorEastAsia" w:eastAsiaTheme="minorEastAsia" w:hAnsiTheme="minorEastAsia" w:hint="eastAsia"/>
          <w:sz w:val="32"/>
          <w:szCs w:val="32"/>
        </w:rPr>
        <w:t>、工業及服務業受僱員工淨進入率</w:t>
      </w:r>
      <w:r w:rsidR="007261D5" w:rsidRPr="0072318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3B6630" w:rsidRPr="0072318E">
        <w:rPr>
          <w:rFonts w:asciiTheme="minorEastAsia" w:eastAsiaTheme="minorEastAsia" w:hAnsiTheme="minorEastAsia" w:hint="eastAsia"/>
          <w:sz w:val="32"/>
          <w:szCs w:val="32"/>
        </w:rPr>
        <w:t>實質半導體設備進口值</w:t>
      </w:r>
      <w:r w:rsidRPr="0072318E">
        <w:rPr>
          <w:rFonts w:asciiTheme="minorEastAsia" w:eastAsiaTheme="minorEastAsia" w:hAnsiTheme="minorEastAsia"/>
          <w:sz w:val="32"/>
          <w:szCs w:val="32"/>
        </w:rPr>
        <w:t>。</w:t>
      </w:r>
    </w:p>
    <w:p w14:paraId="6FAE7889" w14:textId="77777777" w:rsidR="00C369E1" w:rsidRPr="0072318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6606EE16" w:rsidR="002247E5" w:rsidRPr="0072318E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4E357D" w:rsidRPr="0072318E">
        <w:rPr>
          <w:rFonts w:asciiTheme="minorEastAsia" w:eastAsiaTheme="minorEastAsia" w:hAnsiTheme="minorEastAsia"/>
          <w:sz w:val="32"/>
          <w:szCs w:val="32"/>
        </w:rPr>
        <w:t>100.64</w:t>
      </w:r>
      <w:r w:rsidRPr="0072318E">
        <w:rPr>
          <w:rFonts w:asciiTheme="minorEastAsia" w:eastAsiaTheme="minorEastAsia" w:hAnsiTheme="minorEastAsia"/>
          <w:sz w:val="32"/>
          <w:szCs w:val="32"/>
        </w:rPr>
        <w:t>，較上月</w:t>
      </w:r>
      <w:r w:rsidR="004E357D" w:rsidRPr="0072318E">
        <w:rPr>
          <w:rFonts w:asciiTheme="minorEastAsia" w:eastAsiaTheme="minorEastAsia" w:hAnsiTheme="minorEastAsia" w:hint="eastAsia"/>
          <w:sz w:val="32"/>
          <w:szCs w:val="32"/>
        </w:rPr>
        <w:t>下降0</w:t>
      </w:r>
      <w:r w:rsidR="004E357D" w:rsidRPr="0072318E">
        <w:rPr>
          <w:rFonts w:asciiTheme="minorEastAsia" w:eastAsiaTheme="minorEastAsia" w:hAnsiTheme="minorEastAsia"/>
          <w:sz w:val="32"/>
          <w:szCs w:val="32"/>
        </w:rPr>
        <w:t>.56</w:t>
      </w:r>
      <w:r w:rsidRPr="0072318E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72318E">
        <w:rPr>
          <w:rFonts w:asciiTheme="minorEastAsia" w:eastAsiaTheme="minorEastAsia" w:hAnsiTheme="minorEastAsia"/>
          <w:sz w:val="32"/>
          <w:szCs w:val="32"/>
        </w:rPr>
        <w:t>）。</w:t>
      </w:r>
    </w:p>
    <w:p w14:paraId="779F5DF5" w14:textId="13706CF8" w:rsidR="00306F21" w:rsidRPr="0072318E" w:rsidRDefault="002247E5" w:rsidP="0056721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B83116" w:rsidRPr="0072318E">
        <w:rPr>
          <w:rFonts w:asciiTheme="minorEastAsia" w:eastAsiaTheme="minorEastAsia" w:hAnsiTheme="minorEastAsia" w:hint="eastAsia"/>
          <w:sz w:val="32"/>
          <w:szCs w:val="32"/>
        </w:rPr>
        <w:t>僅實質海關出口值較上月上升；其餘</w:t>
      </w:r>
      <w:r w:rsidR="00B83116" w:rsidRPr="0072318E">
        <w:rPr>
          <w:rFonts w:asciiTheme="minorEastAsia" w:eastAsiaTheme="minorEastAsia" w:hAnsiTheme="minorEastAsia"/>
          <w:sz w:val="32"/>
          <w:szCs w:val="32"/>
        </w:rPr>
        <w:t>6</w:t>
      </w:r>
      <w:r w:rsidR="00B83116" w:rsidRPr="0072318E">
        <w:rPr>
          <w:rFonts w:asciiTheme="minorEastAsia" w:eastAsiaTheme="minorEastAsia" w:hAnsiTheme="minorEastAsia" w:hint="eastAsia"/>
          <w:sz w:val="32"/>
          <w:szCs w:val="32"/>
        </w:rPr>
        <w:t>項較上月下滑，分別為：製造業銷售量指數、批發、零售及餐飲業營業額、工業生產指數、電力（企業）總用電量、非農業部門就業人數、</w:t>
      </w:r>
      <w:r w:rsidR="000D0065" w:rsidRPr="0072318E">
        <w:rPr>
          <w:rFonts w:asciiTheme="minorEastAsia" w:eastAsiaTheme="minorEastAsia" w:hAnsiTheme="minorEastAsia" w:hint="eastAsia"/>
          <w:sz w:val="32"/>
          <w:szCs w:val="32"/>
        </w:rPr>
        <w:t>實質機械及電機設備進口值</w:t>
      </w:r>
      <w:r w:rsidR="00646314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77777777" w:rsidR="00C369E1" w:rsidRPr="0072318E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543AC75F" w:rsidR="00C369E1" w:rsidRPr="0072318E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C2CE9" w:rsidRPr="0072318E">
        <w:rPr>
          <w:rFonts w:asciiTheme="minorEastAsia" w:eastAsiaTheme="minorEastAsia" w:hAnsiTheme="minorEastAsia"/>
          <w:sz w:val="32"/>
          <w:szCs w:val="32"/>
        </w:rPr>
        <w:t>104.73</w:t>
      </w:r>
      <w:r w:rsidR="007143F8" w:rsidRPr="0072318E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72318E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76B29" w:rsidRPr="0072318E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2C2CE9" w:rsidRPr="0072318E">
        <w:rPr>
          <w:rFonts w:asciiTheme="minorEastAsia" w:eastAsiaTheme="minorEastAsia" w:hAnsiTheme="minorEastAsia"/>
          <w:sz w:val="32"/>
          <w:szCs w:val="32"/>
        </w:rPr>
        <w:t>0.60</w:t>
      </w:r>
      <w:r w:rsidRPr="0072318E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72318E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72318E">
        <w:rPr>
          <w:rFonts w:asciiTheme="minorEastAsia" w:eastAsiaTheme="minorEastAsia" w:hAnsiTheme="minorEastAsia"/>
          <w:sz w:val="32"/>
          <w:szCs w:val="32"/>
        </w:rPr>
        <w:t>）。</w:t>
      </w:r>
    </w:p>
    <w:p w14:paraId="232FC498" w14:textId="2DA2A496" w:rsidR="005D132B" w:rsidRPr="0072318E" w:rsidRDefault="009B2699" w:rsidP="005E5B9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72318E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C2CE9" w:rsidRPr="0072318E">
        <w:rPr>
          <w:rFonts w:asciiTheme="minorEastAsia" w:eastAsiaTheme="minorEastAsia" w:hAnsiTheme="minorEastAsia"/>
          <w:sz w:val="32"/>
          <w:szCs w:val="32"/>
        </w:rPr>
        <w:t>3</w:t>
      </w:r>
      <w:r w:rsidR="00251229" w:rsidRPr="0072318E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2C2CE9" w:rsidRPr="0072318E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製造業單位產出勞動成本指數、製造業存貨價值、</w:t>
      </w:r>
      <w:r w:rsidR="002C2CE9" w:rsidRPr="0072318E">
        <w:rPr>
          <w:rFonts w:asciiTheme="minorEastAsia" w:eastAsiaTheme="minorEastAsia" w:hAnsiTheme="minorEastAsia"/>
          <w:sz w:val="32"/>
          <w:szCs w:val="32"/>
        </w:rPr>
        <w:t>金融業隔夜拆款利率；</w:t>
      </w:r>
      <w:r w:rsidR="002C2CE9" w:rsidRPr="0072318E">
        <w:rPr>
          <w:rFonts w:asciiTheme="minorEastAsia" w:eastAsiaTheme="minorEastAsia" w:hAnsiTheme="minorEastAsia" w:hint="eastAsia"/>
          <w:sz w:val="32"/>
          <w:szCs w:val="32"/>
        </w:rPr>
        <w:t>其餘2項較上月下滑，分別為：全體金融機構放款與投資、</w:t>
      </w:r>
      <w:r w:rsidR="00C70089" w:rsidRPr="0072318E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5D132B" w:rsidRPr="0072318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A95B86F" w14:textId="77777777" w:rsidR="00A84E25" w:rsidRPr="0072318E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5CD16386" w14:textId="452CA910" w:rsidR="00A04C46" w:rsidRPr="0072318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72318E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72318E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72318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52EF4" w:rsidRPr="0072318E">
        <w:rPr>
          <w:rFonts w:asciiTheme="minorEastAsia" w:eastAsiaTheme="minorEastAsia" w:hAnsiTheme="minorEastAsia" w:hint="eastAsia"/>
          <w:sz w:val="32"/>
          <w:szCs w:val="32"/>
        </w:rPr>
        <w:t>廖銘傳專員</w:t>
      </w:r>
    </w:p>
    <w:p w14:paraId="67E3E66A" w14:textId="480A5C56" w:rsidR="00A04C46" w:rsidRPr="0072318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2318E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72318E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72318E">
        <w:rPr>
          <w:rFonts w:asciiTheme="minorEastAsia" w:eastAsiaTheme="minorEastAsia" w:hAnsiTheme="minorEastAsia"/>
          <w:sz w:val="32"/>
          <w:szCs w:val="32"/>
        </w:rPr>
        <w:t>2316-5</w:t>
      </w:r>
      <w:r w:rsidRPr="0072318E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72318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72318E">
        <w:rPr>
          <w:rFonts w:asciiTheme="minorEastAsia" w:eastAsiaTheme="minorEastAsia" w:hAnsiTheme="minorEastAsia" w:hint="eastAsia"/>
          <w:sz w:val="32"/>
          <w:szCs w:val="32"/>
        </w:rPr>
        <w:t>53</w:t>
      </w:r>
      <w:r w:rsidR="00752EF4" w:rsidRPr="0072318E">
        <w:rPr>
          <w:rFonts w:asciiTheme="minorEastAsia" w:eastAsiaTheme="minorEastAsia" w:hAnsiTheme="minorEastAsia" w:hint="eastAsia"/>
          <w:sz w:val="32"/>
          <w:szCs w:val="32"/>
        </w:rPr>
        <w:t>19</w:t>
      </w:r>
    </w:p>
    <w:p w14:paraId="2D0B6F70" w14:textId="77777777" w:rsidR="008505F3" w:rsidRPr="0072318E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15CB93A6" w:rsidR="00717CD8" w:rsidRPr="0072318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C67096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752EF4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="00B32F88"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7F47E8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E12A04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="00B32F88"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752EF4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三</w:t>
      </w:r>
      <w:r w:rsidR="00B32F88" w:rsidRPr="0072318E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792361A1" w14:textId="4BA4AEB1" w:rsidR="008505F3" w:rsidRPr="00D90282" w:rsidRDefault="00916B13" w:rsidP="00916B13">
      <w:pPr>
        <w:widowControl/>
        <w:ind w:leftChars="-177" w:left="-425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E43BA9" wp14:editId="472162B1">
            <wp:extent cx="5839846" cy="39578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57" cy="39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7CBF53B1" w:rsidR="008505F3" w:rsidRPr="007B6707" w:rsidRDefault="00D02CA8" w:rsidP="007C028A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377E7D3C" w:rsidR="007B3E1D" w:rsidRPr="007B6707" w:rsidRDefault="00916B13" w:rsidP="00916B13">
      <w:pPr>
        <w:widowControl/>
        <w:ind w:leftChars="-355" w:left="-851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BEA14A" wp14:editId="13257EB6">
            <wp:extent cx="6378617" cy="386231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7" cy="38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1734EADA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0969A935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0"/>
        <w:gridCol w:w="787"/>
        <w:gridCol w:w="791"/>
        <w:gridCol w:w="782"/>
        <w:gridCol w:w="800"/>
        <w:gridCol w:w="794"/>
        <w:gridCol w:w="759"/>
        <w:gridCol w:w="831"/>
      </w:tblGrid>
      <w:tr w:rsidR="00F9416B" w:rsidRPr="007B6707" w14:paraId="6F4CA2B4" w14:textId="77777777" w:rsidTr="00F9416B">
        <w:trPr>
          <w:cantSplit/>
          <w:trHeight w:val="561"/>
          <w:jc w:val="center"/>
        </w:trPr>
        <w:tc>
          <w:tcPr>
            <w:tcW w:w="3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0F01060A" w:rsidR="00F9416B" w:rsidRPr="007B6707" w:rsidRDefault="00F9416B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3783E" w14:textId="2D43C123" w:rsidR="00F9416B" w:rsidRPr="007B6707" w:rsidRDefault="00F9416B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F9416B" w:rsidRPr="007B6707" w:rsidRDefault="00F9416B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F9416B" w:rsidRPr="007B6707" w14:paraId="52CDABDA" w14:textId="77777777" w:rsidTr="00F9416B">
        <w:trPr>
          <w:cantSplit/>
          <w:trHeight w:val="272"/>
          <w:jc w:val="center"/>
        </w:trPr>
        <w:tc>
          <w:tcPr>
            <w:tcW w:w="3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F9416B" w:rsidRPr="007B6707" w:rsidRDefault="00F9416B" w:rsidP="00F9416B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63275BD3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63716452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16FD9A06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2220B7C2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28AB9F36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B2C" w14:textId="4E3EA53B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76B78CA6" w:rsidR="00F9416B" w:rsidRPr="007B6707" w:rsidRDefault="00F9416B" w:rsidP="00F9416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42641" w:rsidRPr="00A10EF3" w14:paraId="4B30161C" w14:textId="77777777" w:rsidTr="00A52E7C">
        <w:trPr>
          <w:cantSplit/>
          <w:trHeight w:val="334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042641" w:rsidRPr="00A10EF3" w:rsidRDefault="00042641" w:rsidP="00042641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41B9DF4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102.35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1DBE89DF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102.00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13463F3A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101.52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208E9ED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592BD81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3D80ECBF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2AC05B3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99.03</w:t>
            </w:r>
          </w:p>
        </w:tc>
      </w:tr>
      <w:tr w:rsidR="00042641" w:rsidRPr="00A10EF3" w14:paraId="5FD2DB85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042641" w:rsidRPr="00A10EF3" w:rsidRDefault="00042641" w:rsidP="00042641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7F52EF4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6B29808A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38BEBEED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484F85C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6025E3E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-0.58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3535269B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-0.64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2F3985A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-0.70</w:t>
            </w:r>
          </w:p>
        </w:tc>
      </w:tr>
      <w:tr w:rsidR="00042641" w:rsidRPr="00A10EF3" w14:paraId="12788725" w14:textId="77777777" w:rsidTr="00A52E7C">
        <w:trPr>
          <w:cantSplit/>
          <w:trHeight w:val="339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042641" w:rsidRPr="00A10EF3" w:rsidRDefault="00042641" w:rsidP="00042641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0D851EC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75B7214B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4AE2B143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381854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7DBA6A0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330C6639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0C123F2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42641" w:rsidRPr="00A10EF3" w14:paraId="0FAF4050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7B3E0E67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307B33AF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54C265DD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3B8A597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4186025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1DC5C76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98.93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7CC4D19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98.62 </w:t>
            </w:r>
          </w:p>
        </w:tc>
      </w:tr>
      <w:tr w:rsidR="00042641" w:rsidRPr="00A10EF3" w14:paraId="7F90B385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6F2FA71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64D95F9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6E25387A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55049CDB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4E16534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1B3C9473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99.31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6DA0BDA7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98.99 </w:t>
            </w:r>
          </w:p>
        </w:tc>
      </w:tr>
      <w:tr w:rsidR="00042641" w:rsidRPr="00A10EF3" w14:paraId="37CD392A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5F468842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2AEC789C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243C8A6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39DE596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1816D5F0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661020FD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99.44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70AD24B8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99.11 </w:t>
            </w:r>
          </w:p>
        </w:tc>
      </w:tr>
      <w:tr w:rsidR="00042641" w:rsidRPr="00A10EF3" w14:paraId="4922265F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042641" w:rsidRPr="00A10EF3" w:rsidRDefault="00042641" w:rsidP="00042641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25BEAD8F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0724E7B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483E4563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3FC3F11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57E410E5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4F533DFB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100.21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39B8B49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100.04 </w:t>
            </w:r>
          </w:p>
        </w:tc>
      </w:tr>
      <w:tr w:rsidR="00042641" w:rsidRPr="00A10EF3" w14:paraId="006D1A95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600BE0C9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2A40EB18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4C745B2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31184266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5261E412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523452D1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101.55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662A045A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102.12 </w:t>
            </w:r>
          </w:p>
        </w:tc>
      </w:tr>
      <w:tr w:rsidR="00042641" w:rsidRPr="00A10EF3" w14:paraId="56D3ECC6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156A6FCE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100.49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28F46A87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0BB6976B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649CDCB9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1523419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5E262AED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99.60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1AF66FED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99.51 </w:t>
            </w:r>
          </w:p>
        </w:tc>
      </w:tr>
      <w:tr w:rsidR="00042641" w:rsidRPr="00A10EF3" w14:paraId="681776CE" w14:textId="77777777" w:rsidTr="00A52E7C">
        <w:trPr>
          <w:cantSplit/>
          <w:trHeight w:val="360"/>
          <w:jc w:val="center"/>
        </w:trPr>
        <w:tc>
          <w:tcPr>
            <w:tcW w:w="3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042641" w:rsidRPr="00A10EF3" w:rsidRDefault="00042641" w:rsidP="00042641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14CA46D4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7A001A21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59F469C7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38019CF9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7B9577EF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>99.17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643083DC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98.62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00522AA1" w:rsidR="00042641" w:rsidRPr="003F0146" w:rsidRDefault="00042641" w:rsidP="0004264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42641">
              <w:rPr>
                <w:rFonts w:asciiTheme="minorEastAsia" w:hAnsiTheme="minorEastAsia"/>
                <w:sz w:val="20"/>
                <w:szCs w:val="20"/>
              </w:rPr>
              <w:t xml:space="preserve">98.05 </w:t>
            </w:r>
          </w:p>
        </w:tc>
      </w:tr>
    </w:tbl>
    <w:p w14:paraId="6735B279" w14:textId="73B727E2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47BFF821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57D78716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6B18993E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1DB1CA38" w:rsidR="00F87FB3" w:rsidRPr="007B6707" w:rsidRDefault="00C630C5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7D29392E" wp14:editId="3777C913">
            <wp:simplePos x="0" y="0"/>
            <wp:positionH relativeFrom="column">
              <wp:posOffset>-398617</wp:posOffset>
            </wp:positionH>
            <wp:positionV relativeFrom="paragraph">
              <wp:posOffset>298450</wp:posOffset>
            </wp:positionV>
            <wp:extent cx="6101715" cy="37147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7575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590D5B4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4D4237E1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77777777" w:rsidR="006765C7" w:rsidRDefault="006765C7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AC77CF8" w14:textId="77777777" w:rsidR="004842B2" w:rsidRPr="007B6707" w:rsidRDefault="00C36BE8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r w:rsidRPr="007B6707">
        <w:rPr>
          <w:rFonts w:hint="eastAsia"/>
          <w:bCs/>
          <w:sz w:val="18"/>
          <w:szCs w:val="18"/>
        </w:rPr>
        <w:t>註：陰影區表景氣循環收縮期，以下圖同。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897"/>
        <w:gridCol w:w="885"/>
        <w:gridCol w:w="903"/>
        <w:gridCol w:w="901"/>
        <w:gridCol w:w="888"/>
        <w:gridCol w:w="916"/>
        <w:gridCol w:w="891"/>
      </w:tblGrid>
      <w:tr w:rsidR="0008001E" w:rsidRPr="007B6707" w14:paraId="06541684" w14:textId="77777777" w:rsidTr="00240E3E">
        <w:trPr>
          <w:cantSplit/>
          <w:trHeight w:val="525"/>
          <w:jc w:val="center"/>
        </w:trPr>
        <w:tc>
          <w:tcPr>
            <w:tcW w:w="3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8001E" w:rsidRPr="007B6707" w:rsidRDefault="0008001E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B1FE5" w14:textId="77777777" w:rsidR="0008001E" w:rsidRPr="007B6707" w:rsidRDefault="0008001E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4577FA04" w:rsidR="0008001E" w:rsidRPr="007B6707" w:rsidRDefault="0008001E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8001E" w:rsidRPr="007B6707" w14:paraId="6A89EACA" w14:textId="77777777" w:rsidTr="002227B5">
        <w:trPr>
          <w:cantSplit/>
          <w:trHeight w:val="272"/>
          <w:jc w:val="center"/>
        </w:trPr>
        <w:tc>
          <w:tcPr>
            <w:tcW w:w="3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08001E" w:rsidRPr="007B6707" w:rsidRDefault="0008001E" w:rsidP="0008001E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F5F6" w14:textId="6B5B3F4E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0A388" w14:textId="42BD90C8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1EDAD57E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BF8ED50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78612FF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55406D8C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4DEFC999" w:rsidR="0008001E" w:rsidRPr="007B6707" w:rsidRDefault="0008001E" w:rsidP="0008001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E0B04" w:rsidRPr="007B6707" w14:paraId="128BC475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2E0B04" w:rsidRPr="007B6707" w:rsidRDefault="002E0B04" w:rsidP="002E0B0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514092AA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0C74588D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533D1E0A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6DD3096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1A75F5B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22F4A660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64D976DB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</w:tr>
      <w:tr w:rsidR="002E0B04" w:rsidRPr="007B6707" w14:paraId="17E54FB4" w14:textId="77777777" w:rsidTr="0008001E">
        <w:trPr>
          <w:cantSplit/>
          <w:trHeight w:val="294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2E0B04" w:rsidRPr="007B6707" w:rsidRDefault="002E0B04" w:rsidP="002E0B04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966636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7F5736F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3C6E4D1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0.17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36DCAEB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43917634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-0.29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7EAD0215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046879AA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-0.56 </w:t>
            </w:r>
          </w:p>
        </w:tc>
      </w:tr>
      <w:tr w:rsidR="002E0B04" w:rsidRPr="007B6707" w14:paraId="4A758D8E" w14:textId="77777777" w:rsidTr="0008001E">
        <w:trPr>
          <w:cantSplit/>
          <w:trHeight w:val="339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2E0B04" w:rsidRPr="007B6707" w:rsidRDefault="002E0B04" w:rsidP="002E0B0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0DA6B0F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78AC863C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12F5BEFC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E59B80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0EBB312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65126BB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28E144A0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0B04" w:rsidRPr="007B6707" w14:paraId="002A11F2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08A4468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54C3FB3B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2E9E6165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0060827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069FB1E6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2219F63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7688DC1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</w:tr>
      <w:tr w:rsidR="002E0B04" w:rsidRPr="007B6707" w14:paraId="54C9D869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25DEEC8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4D278FC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48832F9C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3261BA3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09E5E1A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90CCD3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0831F12C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</w:tr>
      <w:tr w:rsidR="002E0B04" w:rsidRPr="007B6707" w14:paraId="108E4853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6CB3698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121ABD3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32BD5DB1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5617115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24F5D771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4E3AD5F5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1E2BDB34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</w:tr>
      <w:tr w:rsidR="002E0B04" w:rsidRPr="007B6707" w14:paraId="2761CE25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748967DC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101.10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133A65B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101.36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0AE3A1C2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640D550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3C6E53A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101.43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540115A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6B0E434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</w:tr>
      <w:tr w:rsidR="002E0B04" w:rsidRPr="007B6707" w14:paraId="43E6768A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342199FF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1E107D4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641CE9EA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64B84A9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1C09734D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5A48F38A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B4061D3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</w:tr>
      <w:tr w:rsidR="002E0B04" w:rsidRPr="007B6707" w14:paraId="24F7E945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46424F6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3BA98732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D0B144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6C0A77F6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394BB45B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0F3A0157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101.57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4E406C76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</w:tr>
      <w:tr w:rsidR="002E0B04" w:rsidRPr="007B6707" w14:paraId="3E8A5DF4" w14:textId="77777777" w:rsidTr="0008001E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2E0B04" w:rsidRPr="007B6707" w:rsidRDefault="002E0B04" w:rsidP="002E0B04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11F1033B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67DFCE95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2BE06DFB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70CFA6F2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02426D24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3D706E8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0ACB8AA9" w:rsidR="002E0B04" w:rsidRPr="00196C4E" w:rsidRDefault="002E0B04" w:rsidP="002E0B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E0B0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419E4C27" w:rsidR="003F6F6D" w:rsidRPr="009D42B7" w:rsidRDefault="00BD5F27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7936" behindDoc="0" locked="0" layoutInCell="1" allowOverlap="1" wp14:anchorId="713082A0" wp14:editId="6F1D9AB9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6120000" cy="3719701"/>
            <wp:effectExtent l="0" t="0" r="0" b="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2"/>
        <w:gridCol w:w="931"/>
        <w:gridCol w:w="849"/>
        <w:gridCol w:w="898"/>
        <w:gridCol w:w="952"/>
        <w:gridCol w:w="885"/>
        <w:gridCol w:w="907"/>
      </w:tblGrid>
      <w:tr w:rsidR="00025BCD" w:rsidRPr="007B6707" w14:paraId="0794EB03" w14:textId="77777777" w:rsidTr="006D012F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025BCD" w:rsidRPr="007B6707" w:rsidRDefault="00025BCD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6D0" w14:textId="77777777" w:rsidR="00025BCD" w:rsidRPr="007B6707" w:rsidRDefault="00025BCD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7C4051AD" w:rsidR="00025BCD" w:rsidRPr="007B6707" w:rsidRDefault="00025BCD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25BCD" w:rsidRPr="007B6707" w14:paraId="0E3805BD" w14:textId="77777777" w:rsidTr="00025BCD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025BCD" w:rsidRPr="007B6707" w:rsidRDefault="00025BCD" w:rsidP="00025BCD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354DBBCD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2FA4DA4B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47A7902B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38AF522F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022BA9F1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3F52D972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2EEB6C36" w:rsidR="00025BCD" w:rsidRPr="007B6707" w:rsidRDefault="00025BCD" w:rsidP="00025BC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E3CF3" w:rsidRPr="0091402D" w14:paraId="7CE4A662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EE3CF3" w:rsidRPr="007B6707" w:rsidRDefault="00EE3CF3" w:rsidP="00EE3CF3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75FD2494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286BE3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102.36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5FA940E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65191F2C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103.00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623FCD15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103.52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01112715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104.11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605FF31B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104.73 </w:t>
            </w:r>
          </w:p>
        </w:tc>
      </w:tr>
      <w:tr w:rsidR="00EE3CF3" w:rsidRPr="0091402D" w14:paraId="5C4587F8" w14:textId="77777777" w:rsidTr="00025BCD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EE3CF3" w:rsidRPr="007B6707" w:rsidRDefault="00EE3CF3" w:rsidP="00EE3CF3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42442F98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0.55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30B7EE66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0.39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3B23C270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0.30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6D6F4206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0.33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4BC8B3B6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0.50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298A1A9D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0.57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546E424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0.60 </w:t>
            </w:r>
          </w:p>
        </w:tc>
      </w:tr>
      <w:tr w:rsidR="00EE3CF3" w:rsidRPr="0091402D" w14:paraId="6D003CCF" w14:textId="77777777" w:rsidTr="00025BCD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EE3CF3" w:rsidRPr="007B6707" w:rsidRDefault="00EE3CF3" w:rsidP="00EE3CF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4DED3318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1B6692A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4F83789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5F3D58C5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2B9A7313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3F4DED6E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A1A557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E3CF3" w:rsidRPr="0091402D" w14:paraId="1C5CC87B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EE3CF3" w:rsidRPr="007B6707" w:rsidRDefault="00EE3CF3" w:rsidP="00EE3CF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41E263B4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1E6DD752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10DF35C7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61205E2E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2C76A2AF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215B932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100.985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0DCB455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100.976 </w:t>
            </w:r>
          </w:p>
        </w:tc>
      </w:tr>
      <w:tr w:rsidR="00EE3CF3" w:rsidRPr="0091402D" w14:paraId="5C54B8D8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EE3CF3" w:rsidRPr="007B6707" w:rsidRDefault="00EE3CF3" w:rsidP="00EE3CF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31AC927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369D4AA4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39B7739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24204514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7322389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0EA11EDE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22D0510C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</w:tr>
      <w:tr w:rsidR="00EE3CF3" w:rsidRPr="0091402D" w14:paraId="63A4C684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EE3CF3" w:rsidRPr="007B6707" w:rsidRDefault="00EE3CF3" w:rsidP="00EE3CF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29707F58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254DBE1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29562FEC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461E29E4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5E0E1F11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24B956F7" w:rsidR="00EE3CF3" w:rsidRPr="00624031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343C224D" w:rsidR="00EE3CF3" w:rsidRPr="00624031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</w:tr>
      <w:tr w:rsidR="00EE3CF3" w:rsidRPr="0091402D" w14:paraId="57A3C0D1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EE3CF3" w:rsidRPr="007B6707" w:rsidRDefault="00EE3CF3" w:rsidP="00EE3CF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5866A218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70618E27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6E58A7F3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00A98D8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4C1A6FED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42149A7F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2CFDE729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EE3CF3" w:rsidRPr="0091402D" w14:paraId="6EA1F90F" w14:textId="77777777" w:rsidTr="00025BCD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EE3CF3" w:rsidRPr="007B6707" w:rsidRDefault="00EE3CF3" w:rsidP="00EE3CF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60A05A60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67C8F792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43FA30FD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101.85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6B0D172D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102.05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3FA18986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102.33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454B6AAF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102.69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6E822D3B" w:rsidR="00EE3CF3" w:rsidRPr="006A335F" w:rsidRDefault="00EE3CF3" w:rsidP="00EE3C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E3CF3">
              <w:rPr>
                <w:rFonts w:asciiTheme="minorEastAsia" w:hAnsiTheme="minorEastAsia" w:hint="eastAsia"/>
                <w:sz w:val="20"/>
                <w:szCs w:val="20"/>
              </w:rPr>
              <w:t xml:space="preserve">103.09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1B7FD753" w:rsidR="003B43F9" w:rsidRPr="007B6707" w:rsidRDefault="00282543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8960" behindDoc="0" locked="0" layoutInCell="1" allowOverlap="1" wp14:anchorId="19039E71" wp14:editId="238EE2C8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6120000" cy="3719884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D415" w14:textId="77777777" w:rsidR="009306CB" w:rsidRDefault="009306CB" w:rsidP="00C369E1">
      <w:r>
        <w:separator/>
      </w:r>
    </w:p>
  </w:endnote>
  <w:endnote w:type="continuationSeparator" w:id="0">
    <w:p w14:paraId="2590036B" w14:textId="77777777" w:rsidR="009306CB" w:rsidRDefault="009306C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2E0B04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E1E0" w14:textId="77777777" w:rsidR="009306CB" w:rsidRDefault="009306CB" w:rsidP="00C369E1">
      <w:r>
        <w:separator/>
      </w:r>
    </w:p>
  </w:footnote>
  <w:footnote w:type="continuationSeparator" w:id="0">
    <w:p w14:paraId="375485F4" w14:textId="77777777" w:rsidR="009306CB" w:rsidRDefault="009306CB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E5"/>
    <w:rsid w:val="000005B8"/>
    <w:rsid w:val="00000EA8"/>
    <w:rsid w:val="00002198"/>
    <w:rsid w:val="000048F3"/>
    <w:rsid w:val="0000628D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4524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C02E8"/>
    <w:rsid w:val="003C0BD4"/>
    <w:rsid w:val="003C12BC"/>
    <w:rsid w:val="003C1459"/>
    <w:rsid w:val="003C20A0"/>
    <w:rsid w:val="003C34B0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625B"/>
    <w:rsid w:val="007E6A19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2012"/>
    <w:rsid w:val="00923F7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6BFA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C0404"/>
    <w:rsid w:val="00FC0795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130</cp:revision>
  <cp:lastPrinted>2021-05-25T06:08:00Z</cp:lastPrinted>
  <dcterms:created xsi:type="dcterms:W3CDTF">2022-03-25T01:48:00Z</dcterms:created>
  <dcterms:modified xsi:type="dcterms:W3CDTF">2022-06-27T02:15:00Z</dcterms:modified>
</cp:coreProperties>
</file>