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2215EC" w:rsidRDefault="00A11FE5">
      <w:r w:rsidRPr="002215EC">
        <w:rPr>
          <w:rFonts w:ascii="Calibri" w:hAnsi="Calibri"/>
          <w:noProof/>
        </w:rPr>
        <w:drawing>
          <wp:inline distT="0" distB="0" distL="0" distR="0" wp14:anchorId="2B0F5912" wp14:editId="06D8C95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2215EC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215EC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2215EC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2215EC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2215EC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2215EC">
        <w:rPr>
          <w:rFonts w:ascii="Times New Roman" w:eastAsia="標楷體" w:hAnsi="Times New Roman" w:cs="Times New Roman"/>
          <w:spacing w:val="-2"/>
        </w:rPr>
        <w:t>發布日期：</w:t>
      </w:r>
      <w:r w:rsidRPr="002215EC">
        <w:rPr>
          <w:rFonts w:ascii="Times New Roman" w:eastAsia="標楷體" w:hAnsi="Times New Roman" w:cs="Times New Roman"/>
          <w:spacing w:val="-2"/>
        </w:rPr>
        <w:t>10</w:t>
      </w:r>
      <w:r w:rsidR="002C6CA4" w:rsidRPr="002215EC">
        <w:rPr>
          <w:rFonts w:ascii="Times New Roman" w:eastAsia="標楷體" w:hAnsi="Times New Roman" w:cs="Times New Roman" w:hint="eastAsia"/>
          <w:spacing w:val="-2"/>
        </w:rPr>
        <w:t>8</w:t>
      </w:r>
      <w:r w:rsidRPr="002215EC">
        <w:rPr>
          <w:rFonts w:ascii="Times New Roman" w:eastAsia="標楷體" w:hAnsi="Times New Roman" w:cs="Times New Roman"/>
          <w:spacing w:val="-2"/>
        </w:rPr>
        <w:t>年</w:t>
      </w:r>
      <w:r w:rsidR="00F97640" w:rsidRPr="002215EC">
        <w:rPr>
          <w:rFonts w:ascii="Times New Roman" w:eastAsia="標楷體" w:hAnsi="Times New Roman" w:cs="Times New Roman" w:hint="eastAsia"/>
          <w:spacing w:val="-2"/>
        </w:rPr>
        <w:t>3</w:t>
      </w:r>
      <w:r w:rsidRPr="002215EC">
        <w:rPr>
          <w:rFonts w:ascii="Times New Roman" w:eastAsia="標楷體" w:hAnsi="Times New Roman" w:cs="Times New Roman"/>
          <w:spacing w:val="-2"/>
        </w:rPr>
        <w:t>月</w:t>
      </w:r>
      <w:r w:rsidR="00F97640" w:rsidRPr="002215EC">
        <w:rPr>
          <w:rFonts w:ascii="Times New Roman" w:eastAsia="標楷體" w:hAnsi="Times New Roman" w:cs="Times New Roman" w:hint="eastAsia"/>
          <w:spacing w:val="-2"/>
        </w:rPr>
        <w:t>4</w:t>
      </w:r>
      <w:r w:rsidRPr="002215EC">
        <w:rPr>
          <w:rFonts w:ascii="Times New Roman" w:eastAsia="標楷體" w:hAnsi="Times New Roman" w:cs="Times New Roman"/>
          <w:spacing w:val="-2"/>
        </w:rPr>
        <w:t>日</w:t>
      </w:r>
    </w:p>
    <w:p w:rsidR="00A11FE5" w:rsidRPr="002215EC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2215EC">
        <w:rPr>
          <w:rFonts w:ascii="Times New Roman" w:eastAsia="標楷體" w:hAnsi="Times New Roman" w:cs="Times New Roman"/>
        </w:rPr>
        <w:t>聯</w:t>
      </w:r>
      <w:r w:rsidRPr="002215EC">
        <w:rPr>
          <w:rFonts w:ascii="Times New Roman" w:eastAsia="標楷體" w:hAnsi="Times New Roman" w:cs="Times New Roman"/>
        </w:rPr>
        <w:t xml:space="preserve"> </w:t>
      </w:r>
      <w:r w:rsidRPr="002215EC">
        <w:rPr>
          <w:rFonts w:ascii="Times New Roman" w:eastAsia="標楷體" w:hAnsi="Times New Roman" w:cs="Times New Roman"/>
        </w:rPr>
        <w:t>絡</w:t>
      </w:r>
      <w:r w:rsidRPr="002215EC">
        <w:rPr>
          <w:rFonts w:ascii="Times New Roman" w:eastAsia="標楷體" w:hAnsi="Times New Roman" w:cs="Times New Roman"/>
        </w:rPr>
        <w:t xml:space="preserve"> </w:t>
      </w:r>
      <w:r w:rsidR="00EA5AB9" w:rsidRPr="002215EC">
        <w:rPr>
          <w:rFonts w:ascii="Times New Roman" w:eastAsia="標楷體" w:hAnsi="Times New Roman" w:cs="Times New Roman"/>
        </w:rPr>
        <w:t>人：</w:t>
      </w:r>
      <w:r w:rsidR="00530F1B" w:rsidRPr="002215EC">
        <w:rPr>
          <w:rFonts w:ascii="Times New Roman" w:eastAsia="標楷體" w:hAnsi="Times New Roman" w:cs="Times New Roman" w:hint="eastAsia"/>
        </w:rPr>
        <w:t>吳明蕙</w:t>
      </w:r>
      <w:r w:rsidRPr="002215EC">
        <w:rPr>
          <w:rFonts w:ascii="Times New Roman" w:eastAsia="標楷體" w:hAnsi="Times New Roman" w:cs="Times New Roman"/>
        </w:rPr>
        <w:t>、</w:t>
      </w:r>
      <w:proofErr w:type="gramStart"/>
      <w:r w:rsidRPr="002215EC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2215EC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2215EC">
        <w:rPr>
          <w:rFonts w:ascii="Times New Roman" w:eastAsia="標楷體" w:hAnsi="Times New Roman" w:cs="Times New Roman"/>
        </w:rPr>
        <w:t>聯絡電話：</w:t>
      </w:r>
      <w:r w:rsidR="00EA5AB9" w:rsidRPr="002215EC">
        <w:rPr>
          <w:rFonts w:ascii="Times New Roman" w:eastAsia="標楷體" w:hAnsi="Times New Roman" w:cs="Times New Roman"/>
        </w:rPr>
        <w:t>2316-5</w:t>
      </w:r>
      <w:r w:rsidR="00530F1B" w:rsidRPr="002215EC">
        <w:rPr>
          <w:rFonts w:ascii="Times New Roman" w:eastAsia="標楷體" w:hAnsi="Times New Roman" w:cs="Times New Roman" w:hint="eastAsia"/>
        </w:rPr>
        <w:t>851</w:t>
      </w:r>
      <w:r w:rsidRPr="002215EC">
        <w:rPr>
          <w:rFonts w:ascii="Times New Roman" w:eastAsia="標楷體" w:hAnsi="Times New Roman" w:cs="Times New Roman"/>
        </w:rPr>
        <w:t>、</w:t>
      </w:r>
      <w:r w:rsidRPr="002215EC">
        <w:rPr>
          <w:rFonts w:ascii="Times New Roman" w:eastAsia="標楷體" w:hAnsi="Times New Roman" w:cs="Times New Roman"/>
        </w:rPr>
        <w:t>5852</w:t>
      </w:r>
    </w:p>
    <w:p w:rsidR="00A11FE5" w:rsidRPr="002215EC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2215EC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F97640" w:rsidRPr="002215EC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8</w:t>
      </w:r>
      <w:r w:rsidRPr="002215EC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530F1B" w:rsidRPr="002215EC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1</w:t>
      </w:r>
      <w:r w:rsidRPr="002215EC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EB0BE2" w:rsidRPr="00946588" w:rsidRDefault="000D78C2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</w:t>
      </w:r>
      <w:r w:rsidR="00F97640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3B3E2F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FF10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景氣對策信號綜合判斷分數為</w:t>
      </w:r>
      <w:r w:rsidR="00E741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</w:t>
      </w:r>
      <w:r w:rsidR="00FF10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530F1B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="00E614BD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上月</w:t>
      </w:r>
      <w:r w:rsidR="00E741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E741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4</w:t>
      </w:r>
      <w:r w:rsidR="00530F1B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8E56AB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，燈號轉呈</w:t>
      </w:r>
      <w:r w:rsidR="00E741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</w:t>
      </w:r>
      <w:r w:rsidR="000B0838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</w:t>
      </w:r>
      <w:r w:rsidR="00FF102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7A382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740ED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應與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今年春節落在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月初，相關經濟活動提前</w:t>
      </w:r>
      <w:r w:rsidR="0018324E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在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18324E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反應</w:t>
      </w:r>
      <w:r w:rsidR="00740ED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有關</w:t>
      </w:r>
      <w:r w:rsidR="00663E1D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7F74AF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景氣領先、同時指標</w:t>
      </w:r>
      <w:r w:rsidR="00E7412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仍</w:t>
      </w:r>
      <w:r w:rsidR="007F74AF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持續下跌，</w:t>
      </w:r>
      <w:r w:rsidR="00E7412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惟跌幅</w:t>
      </w:r>
      <w:r w:rsidR="00CF62FE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似</w:t>
      </w:r>
      <w:r w:rsidR="00E7412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逐漸縮小，</w:t>
      </w:r>
      <w:r w:rsidR="004302F3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未來仍</w:t>
      </w:r>
      <w:r w:rsidR="007F74AF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須</w:t>
      </w:r>
      <w:r w:rsidR="00E7412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持續</w:t>
      </w:r>
      <w:r w:rsidR="007F74AF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密切關注</w:t>
      </w:r>
      <w:r w:rsidR="00E7412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景氣變</w:t>
      </w:r>
      <w:r w:rsidR="007F74AF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化</w:t>
      </w:r>
      <w:r w:rsidR="007716C5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D96E11" w:rsidRPr="00946588" w:rsidRDefault="00D96E11" w:rsidP="00D96E11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展望未來，企業調薪積極，去年經常性薪資增幅為近</w:t>
      </w:r>
      <w:r w:rsidRPr="00946588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18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年最高，加以所得稅制優化及基本工資提高，有助增加國人可支配所得，提升消費能力。另政府補助住商</w:t>
      </w:r>
      <w:proofErr w:type="gramStart"/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汰換節</w:t>
      </w:r>
      <w:proofErr w:type="gramEnd"/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電設備，並規劃淡季平日旅遊補助方案，可望進一步刺激消費。</w:t>
      </w:r>
    </w:p>
    <w:p w:rsidR="00D96E11" w:rsidRPr="00946588" w:rsidRDefault="00D96E11" w:rsidP="00D96E11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國內投資方面，政府推動「歡迎台商回台投資行動方案」，成效可望逐步顯現</w:t>
      </w:r>
      <w:r w:rsidR="00740ED3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另政府</w:t>
      </w:r>
      <w:r w:rsidR="00A962B7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擴大公共支出，今年公共建設</w:t>
      </w:r>
      <w:r w:rsidR="00F533EA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計畫預算</w:t>
      </w:r>
      <w:r w:rsidR="00A962B7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規模創近</w:t>
      </w:r>
      <w:r w:rsidR="00594551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="00A962B7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年新高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A962B7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並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加速推動前瞻基礎建設計畫，可望帶動公部門投資擴增，推升整體投資動能。</w:t>
      </w:r>
    </w:p>
    <w:p w:rsidR="00D96E11" w:rsidRPr="00946588" w:rsidRDefault="00D96E11" w:rsidP="00D96E11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外需方面，人工智慧、物聯網、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車用電子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等新興應用持續拓展，可望挹注出口，惟</w:t>
      </w:r>
      <w:r w:rsidRPr="00946588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 xml:space="preserve">IHS </w:t>
      </w:r>
      <w:proofErr w:type="spellStart"/>
      <w:r w:rsidRPr="00946588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Markit</w:t>
      </w:r>
      <w:proofErr w:type="spellEnd"/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預測今年全球景氣展望為近</w:t>
      </w:r>
      <w:r w:rsidRPr="00946588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3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年最低，加上智慧手機更換週期延長、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全球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半導體庫存調整等因素，將約制成長動能。</w:t>
      </w:r>
    </w:p>
    <w:p w:rsidR="001B7BE1" w:rsidRPr="002215EC" w:rsidRDefault="00D96E11" w:rsidP="00D96E11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整體而言，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雖然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美中貿易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紛爭和緩、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全球股市回升，惟仍須密切注意全球</w:t>
      </w:r>
      <w:r w:rsidR="007A3826"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景氣、</w:t>
      </w:r>
      <w:r w:rsidRPr="00946588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貿易保護、金融波動、地緣政治等不確定因素對國內景氣的可能影響。</w:t>
      </w:r>
    </w:p>
    <w:p w:rsidR="00C369E1" w:rsidRPr="002215EC" w:rsidRDefault="00C369E1" w:rsidP="00D12750">
      <w:pPr>
        <w:tabs>
          <w:tab w:val="left" w:pos="240"/>
          <w:tab w:val="num" w:pos="574"/>
        </w:tabs>
        <w:spacing w:beforeLines="50" w:before="180" w:afterLines="5" w:after="18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215EC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2215EC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2215EC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2215EC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2215EC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2215E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2215EC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530F1B" w:rsidRPr="002215EC" w:rsidRDefault="00582F36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108</w:t>
      </w:r>
      <w:r w:rsidR="00FA666A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FA666A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E614BD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為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分，較上月增加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4</w:t>
      </w:r>
      <w:r w:rsidR="00530F1B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E614BD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5C1E02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燈號</w:t>
      </w:r>
      <w:r w:rsidR="008E56AB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轉呈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</w:t>
      </w:r>
      <w:r w:rsidR="005C1E02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</w:t>
      </w:r>
      <w:r w:rsidR="00917966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燈。</w:t>
      </w:r>
      <w:r w:rsidR="00867ED1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4C046A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項構成項目中，</w:t>
      </w:r>
      <w:r w:rsidRPr="002215E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貨幣總計數</w:t>
      </w:r>
      <w:r w:rsidRPr="002215E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M1B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由黃藍燈轉呈綠燈、</w:t>
      </w:r>
      <w:r w:rsidRPr="002215E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機械及電機設備進口值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由綠燈轉呈黃紅燈、</w:t>
      </w:r>
      <w:r w:rsidR="00E4067A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批發、零售及餐飲業營業額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</w:t>
      </w:r>
      <w:r w:rsidR="00917966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藍燈轉呈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E4067A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燈；</w:t>
      </w:r>
      <w:r w:rsidR="00E614BD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其餘</w:t>
      </w:r>
      <w:r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="00E614BD" w:rsidRPr="002215EC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項燈號不變。</w:t>
      </w:r>
      <w:r w:rsidR="00FA666A" w:rsidRPr="002215EC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個別構成項目說明如下：</w:t>
      </w:r>
    </w:p>
    <w:p w:rsidR="00FA666A" w:rsidRPr="002215EC" w:rsidRDefault="005B61E8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2215EC">
        <w:rPr>
          <w:rFonts w:ascii="Times New Roman" w:eastAsia="標楷體" w:hAnsi="Times New Roman" w:cs="Times New Roman"/>
          <w:spacing w:val="-10"/>
          <w:sz w:val="28"/>
          <w:szCs w:val="28"/>
        </w:rPr>
        <w:t>貨幣</w:t>
      </w:r>
      <w:r w:rsidR="00FA666A" w:rsidRPr="002215EC">
        <w:rPr>
          <w:rFonts w:ascii="Times New Roman" w:eastAsia="標楷體" w:hAnsi="Times New Roman" w:cs="Times New Roman"/>
          <w:spacing w:val="-10"/>
          <w:sz w:val="28"/>
          <w:szCs w:val="28"/>
        </w:rPr>
        <w:t>總計數</w:t>
      </w:r>
      <w:r w:rsidR="00FA666A" w:rsidRPr="002215EC">
        <w:rPr>
          <w:rFonts w:ascii="Times New Roman" w:eastAsia="標楷體" w:hAnsi="Times New Roman" w:cs="Times New Roman"/>
          <w:spacing w:val="-10"/>
          <w:sz w:val="28"/>
          <w:szCs w:val="28"/>
        </w:rPr>
        <w:t>M1B</w:t>
      </w:r>
      <w:r w:rsidR="00FA666A" w:rsidRPr="002215EC">
        <w:rPr>
          <w:rFonts w:ascii="Times New Roman" w:eastAsia="標楷體" w:hAnsi="Times New Roman" w:cs="Times New Roman"/>
          <w:spacing w:val="-10"/>
          <w:sz w:val="28"/>
          <w:szCs w:val="28"/>
        </w:rPr>
        <w:t>變動率：</w:t>
      </w:r>
      <w:r w:rsidR="00E4067A" w:rsidRPr="002215E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5.7</w:t>
      </w:r>
      <w:r w:rsidR="00E4067A"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917966" w:rsidRPr="002215EC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E4067A" w:rsidRPr="002215E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6.1</w:t>
      </w:r>
      <w:r w:rsidR="00E4067A"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FA666A" w:rsidRPr="002215EC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67ED1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</w:t>
      </w:r>
      <w:r w:rsidR="00DF74FF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黃藍</w:t>
      </w:r>
      <w:r w:rsidR="00867ED1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轉呈綠燈</w:t>
      </w:r>
      <w:r w:rsidR="00FA666A" w:rsidRPr="002215EC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917966" w:rsidRPr="002215E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7.2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-11.3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8D6352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-0.2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-1</w:t>
      </w:r>
      <w:r w:rsidR="0091796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.4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91796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續呈黃藍燈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年增率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0.65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與上月持平，</w:t>
      </w:r>
      <w:r w:rsidR="00DF74FF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1"/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海關出口</w:t>
      </w:r>
      <w:bookmarkEnd w:id="0"/>
      <w:r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值變動率：</w:t>
      </w:r>
      <w:r w:rsidR="008D6352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-1.4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2.8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91796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續呈黃藍燈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z w:val="16"/>
          <w:szCs w:val="28"/>
        </w:rPr>
        <w:lastRenderedPageBreak/>
        <w:t xml:space="preserve">● </w:t>
      </w:r>
      <w:r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機械及電機設備進口值變動率：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6.8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91796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14.1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DF74FF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</w:t>
      </w:r>
      <w:r w:rsidR="0091796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綠燈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轉呈黃紅燈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pacing w:val="-10"/>
          <w:sz w:val="28"/>
          <w:szCs w:val="28"/>
        </w:rPr>
        <w:t>製造業銷售量指數變動率：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-3.3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減為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-5.4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91796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續呈藍燈</w:t>
      </w:r>
      <w:r w:rsidRPr="002215EC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DF74FF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-1.5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z w:val="28"/>
          <w:szCs w:val="28"/>
        </w:rPr>
        <w:t>4.2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2215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</w:t>
      </w:r>
      <w:r w:rsidR="0091796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藍燈轉呈</w:t>
      </w:r>
      <w:r w:rsidR="00582F36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綠</w:t>
      </w:r>
      <w:r w:rsidR="008D6352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8D6352"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2215E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製造業營業氣候測驗點：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</w:t>
      </w:r>
      <w:r w:rsidR="0091796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.0</w:t>
      </w:r>
      <w:r w:rsidR="00E4067A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</w:t>
      </w:r>
      <w:r w:rsidR="0091796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582F36"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89.6</w:t>
      </w:r>
      <w:r w:rsidRPr="002215EC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點，</w:t>
      </w:r>
      <w:r w:rsidR="00E4067A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</w:t>
      </w:r>
      <w:r w:rsidR="00856793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呈</w:t>
      </w:r>
      <w:r w:rsidR="008D6352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藍</w:t>
      </w:r>
      <w:r w:rsidR="00867ED1" w:rsidRPr="002215EC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B23A2B" w:rsidRPr="002215EC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2215EC" w:rsidRDefault="000E5AF3" w:rsidP="00661575">
      <w:pPr>
        <w:tabs>
          <w:tab w:val="left" w:pos="240"/>
          <w:tab w:val="num" w:pos="574"/>
        </w:tabs>
        <w:spacing w:afterLines="5" w:after="18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215EC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2215EC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FF1021" w:rsidRPr="002215EC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2215E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2215E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2215EC">
        <w:rPr>
          <w:rFonts w:ascii="Times New Roman" w:eastAsia="標楷體" w:hAnsi="Times New Roman" w:cs="Times New Roman"/>
          <w:sz w:val="28"/>
          <w:szCs w:val="28"/>
        </w:rPr>
        <w:t>)</w:t>
      </w:r>
      <w:r w:rsidRPr="002215EC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266B6A" w:rsidRPr="002215EC">
        <w:rPr>
          <w:rFonts w:ascii="Times New Roman" w:eastAsia="標楷體" w:hAnsi="Times New Roman" w:cs="Times New Roman"/>
          <w:sz w:val="28"/>
          <w:szCs w:val="28"/>
        </w:rPr>
        <w:t>9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8.69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D1CEE" w:rsidRPr="002215EC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0.56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15E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886BFE" w:rsidRPr="002215EC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266B6A" w:rsidRPr="002215EC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266B6A" w:rsidRPr="002215EC">
        <w:rPr>
          <w:rFonts w:ascii="Times New Roman" w:eastAsia="標楷體" w:hAnsi="Times New Roman" w:cs="Times New Roman"/>
          <w:sz w:val="28"/>
          <w:szCs w:val="28"/>
        </w:rPr>
        <w:t>M1B</w:t>
      </w:r>
      <w:r w:rsidR="00886BFE" w:rsidRPr="002215EC">
        <w:rPr>
          <w:rFonts w:ascii="Times New Roman" w:eastAsia="標楷體" w:hAnsi="Times New Roman" w:cs="Times New Roman" w:hint="eastAsia"/>
          <w:sz w:val="28"/>
          <w:szCs w:val="28"/>
        </w:rPr>
        <w:t>較上月上升外</w:t>
      </w:r>
      <w:r w:rsidR="006B44B0" w:rsidRPr="002215EC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其餘</w:t>
      </w:r>
      <w:r w:rsidR="00886BFE" w:rsidRPr="002215E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建築物開工樓地板面積、</w:t>
      </w:r>
      <w:r w:rsidR="00C00DB5" w:rsidRPr="002215EC">
        <w:rPr>
          <w:rFonts w:ascii="Times New Roman" w:eastAsia="標楷體" w:hAnsi="Times New Roman" w:cs="Times New Roman"/>
          <w:sz w:val="28"/>
          <w:szCs w:val="28"/>
        </w:rPr>
        <w:t>製造業營業氣候測驗點</w:t>
      </w:r>
      <w:r w:rsidR="00C00DB5" w:rsidRPr="002215E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3013A" w:rsidRPr="002215EC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D6F74" w:rsidRPr="002215EC">
        <w:rPr>
          <w:rFonts w:ascii="Times New Roman" w:eastAsia="標楷體" w:hAnsi="Times New Roman" w:cs="Times New Roman"/>
          <w:sz w:val="28"/>
          <w:szCs w:val="28"/>
        </w:rPr>
        <w:t>外銷訂單</w:t>
      </w:r>
      <w:r w:rsidR="003D6F74" w:rsidRPr="002215EC">
        <w:rPr>
          <w:rFonts w:ascii="Times New Roman" w:eastAsia="標楷體" w:hAnsi="Times New Roman" w:cs="Times New Roman" w:hint="eastAsia"/>
          <w:sz w:val="28"/>
          <w:szCs w:val="28"/>
        </w:rPr>
        <w:t>動向</w:t>
      </w:r>
      <w:r w:rsidR="003D6F74" w:rsidRPr="002215EC">
        <w:rPr>
          <w:rFonts w:ascii="Times New Roman" w:eastAsia="標楷體" w:hAnsi="Times New Roman" w:cs="Times New Roman"/>
          <w:sz w:val="28"/>
          <w:szCs w:val="28"/>
        </w:rPr>
        <w:t>指數</w:t>
      </w:r>
      <w:r w:rsidR="003D6F74" w:rsidRPr="002215E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3013A" w:rsidRPr="002215EC">
        <w:rPr>
          <w:rFonts w:ascii="Times New Roman" w:eastAsia="標楷體" w:hAnsi="Times New Roman" w:cs="Times New Roman"/>
          <w:sz w:val="28"/>
          <w:szCs w:val="28"/>
        </w:rPr>
        <w:t>工業及服務業受僱員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="0003013A" w:rsidRPr="002215EC">
        <w:rPr>
          <w:rFonts w:ascii="Times New Roman" w:eastAsia="標楷體" w:hAnsi="Times New Roman" w:cs="Times New Roman"/>
          <w:sz w:val="28"/>
          <w:szCs w:val="28"/>
        </w:rPr>
        <w:t>淨</w:t>
      </w:r>
      <w:r w:rsidR="0003013A" w:rsidRPr="002215EC">
        <w:rPr>
          <w:rFonts w:ascii="Times New Roman" w:eastAsia="標楷體" w:hAnsi="Times New Roman" w:cs="Times New Roman" w:hint="eastAsia"/>
          <w:sz w:val="28"/>
          <w:szCs w:val="28"/>
        </w:rPr>
        <w:t>進</w:t>
      </w:r>
      <w:r w:rsidR="0003013A" w:rsidRPr="002215EC">
        <w:rPr>
          <w:rFonts w:ascii="Times New Roman" w:eastAsia="標楷體" w:hAnsi="Times New Roman" w:cs="Times New Roman"/>
          <w:sz w:val="28"/>
          <w:szCs w:val="28"/>
        </w:rPr>
        <w:t>入率</w:t>
      </w:r>
      <w:r w:rsidR="003D6F74" w:rsidRPr="002215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D6F74" w:rsidRPr="002215EC">
        <w:rPr>
          <w:rFonts w:ascii="Times New Roman" w:eastAsia="標楷體" w:hAnsi="Times New Roman" w:cs="Times New Roman"/>
          <w:sz w:val="28"/>
          <w:szCs w:val="28"/>
        </w:rPr>
        <w:t>以及</w:t>
      </w:r>
      <w:r w:rsidR="00DD665C" w:rsidRPr="002215EC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2215E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z w:val="28"/>
          <w:szCs w:val="28"/>
        </w:rPr>
        <w:t>(</w:t>
      </w:r>
      <w:r w:rsidRPr="002215EC">
        <w:rPr>
          <w:rFonts w:ascii="Times New Roman" w:eastAsia="標楷體" w:hAnsi="Times New Roman" w:cs="Times New Roman"/>
          <w:sz w:val="28"/>
          <w:szCs w:val="28"/>
        </w:rPr>
        <w:t>二</w:t>
      </w:r>
      <w:r w:rsidRPr="002215EC">
        <w:rPr>
          <w:rFonts w:ascii="Times New Roman" w:eastAsia="標楷體" w:hAnsi="Times New Roman" w:cs="Times New Roman"/>
          <w:sz w:val="28"/>
          <w:szCs w:val="28"/>
        </w:rPr>
        <w:t>)</w:t>
      </w:r>
      <w:r w:rsidRPr="002215EC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15E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2215EC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98.48</w:t>
      </w:r>
      <w:r w:rsidR="005270AA" w:rsidRPr="002215EC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884789" w:rsidRPr="002215EC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A65CBE" w:rsidRPr="002215EC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48</w:t>
      </w:r>
      <w:r w:rsidR="005270AA" w:rsidRPr="002215E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15EC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2215EC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項較上月上升，包括實質機械及電機設備進口值、</w:t>
      </w:r>
      <w:r w:rsidR="00A65CBE" w:rsidRPr="002215EC">
        <w:rPr>
          <w:rFonts w:ascii="Times New Roman" w:eastAsia="標楷體" w:hAnsi="Times New Roman" w:cs="Times New Roman" w:hint="eastAsia"/>
          <w:sz w:val="28"/>
          <w:szCs w:val="28"/>
        </w:rPr>
        <w:t>實質海關出口值</w:t>
      </w:r>
      <w:r w:rsidR="00224355" w:rsidRPr="002215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2215EC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B1ABB" w:rsidRPr="002215EC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2215EC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224355" w:rsidRPr="002215EC">
        <w:rPr>
          <w:rFonts w:ascii="Times New Roman" w:eastAsia="標楷體" w:hAnsi="Times New Roman" w:cs="Times New Roman" w:hint="eastAsia"/>
          <w:sz w:val="28"/>
          <w:szCs w:val="28"/>
        </w:rPr>
        <w:t>較上月下滑，分別為</w:t>
      </w:r>
      <w:r w:rsidR="00224355" w:rsidRPr="002215EC">
        <w:rPr>
          <w:rFonts w:ascii="Times New Roman" w:eastAsia="標楷體" w:hAnsi="Times New Roman" w:cs="Times New Roman"/>
          <w:sz w:val="28"/>
          <w:szCs w:val="28"/>
        </w:rPr>
        <w:t>：</w:t>
      </w:r>
      <w:r w:rsidR="00C175C7" w:rsidRPr="002215EC">
        <w:rPr>
          <w:rFonts w:ascii="Times New Roman" w:eastAsia="標楷體" w:hAnsi="Times New Roman" w:cs="Times New Roman" w:hint="eastAsia"/>
          <w:sz w:val="28"/>
          <w:szCs w:val="28"/>
        </w:rPr>
        <w:t>工業生產指數、製造業銷售量指數、電力（企業）總用電量、</w:t>
      </w:r>
      <w:r w:rsidR="002C6CA4" w:rsidRPr="002215EC">
        <w:rPr>
          <w:rFonts w:ascii="Times New Roman" w:eastAsia="標楷體" w:hAnsi="Times New Roman" w:cs="Times New Roman" w:hint="eastAsia"/>
          <w:sz w:val="28"/>
          <w:szCs w:val="28"/>
        </w:rPr>
        <w:t>批發、零售及餐飲業營業額</w:t>
      </w:r>
      <w:r w:rsidR="00EC207E" w:rsidRPr="002215EC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B71802" w:rsidRPr="002215EC">
        <w:rPr>
          <w:rFonts w:ascii="Times New Roman" w:eastAsia="標楷體" w:hAnsi="Times New Roman" w:cs="Times New Roman" w:hint="eastAsia"/>
          <w:sz w:val="28"/>
          <w:szCs w:val="28"/>
        </w:rPr>
        <w:t>非農業部門就業人數</w:t>
      </w:r>
      <w:r w:rsidR="00634D65" w:rsidRPr="002215E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2215E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z w:val="28"/>
          <w:szCs w:val="28"/>
        </w:rPr>
        <w:t>(</w:t>
      </w:r>
      <w:r w:rsidRPr="002215EC">
        <w:rPr>
          <w:rFonts w:ascii="Times New Roman" w:eastAsia="標楷體" w:hAnsi="Times New Roman" w:cs="Times New Roman"/>
          <w:sz w:val="28"/>
          <w:szCs w:val="28"/>
        </w:rPr>
        <w:t>三</w:t>
      </w:r>
      <w:r w:rsidRPr="002215EC">
        <w:rPr>
          <w:rFonts w:ascii="Times New Roman" w:eastAsia="標楷體" w:hAnsi="Times New Roman" w:cs="Times New Roman"/>
          <w:sz w:val="28"/>
          <w:szCs w:val="28"/>
        </w:rPr>
        <w:t>)</w:t>
      </w:r>
      <w:r w:rsidRPr="002215EC">
        <w:rPr>
          <w:rFonts w:ascii="Times New Roman" w:eastAsia="標楷體" w:hAnsi="Times New Roman" w:cs="Times New Roman"/>
          <w:sz w:val="28"/>
          <w:szCs w:val="28"/>
        </w:rPr>
        <w:t>落後指標</w:t>
      </w:r>
    </w:p>
    <w:p w:rsidR="00C369E1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101.66</w:t>
      </w:r>
      <w:r w:rsidR="007143F8" w:rsidRPr="002215EC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94024F" w:rsidRPr="002215E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0.20</w:t>
      </w:r>
      <w:r w:rsidR="00F350E2" w:rsidRPr="002215E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ED5C9E" w:rsidRPr="002215E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15EC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AC5ABD" w:rsidRPr="002215E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2215EC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D5C9E" w:rsidRPr="002215EC">
        <w:rPr>
          <w:rFonts w:ascii="Times New Roman" w:eastAsia="標楷體" w:hAnsi="Times New Roman" w:cs="Times New Roman" w:hint="eastAsia"/>
          <w:sz w:val="28"/>
          <w:szCs w:val="28"/>
        </w:rPr>
        <w:t>項較上月上升，</w:t>
      </w:r>
      <w:r w:rsidR="00EC54B3" w:rsidRPr="002215EC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2334AE" w:rsidRPr="002215EC">
        <w:rPr>
          <w:rFonts w:ascii="Times New Roman" w:eastAsia="標楷體" w:hAnsi="Times New Roman" w:cs="Times New Roman"/>
          <w:sz w:val="28"/>
          <w:szCs w:val="28"/>
        </w:rPr>
        <w:t>製造業單位產出勞動成本指數、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全體金融機構放款與投資</w:t>
      </w:r>
      <w:r w:rsidR="00422B0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2334AE" w:rsidRPr="002215EC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ED5C9E" w:rsidRPr="002215EC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5C9E" w:rsidRPr="002215EC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2215EC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ED5C9E" w:rsidRPr="002215EC">
        <w:rPr>
          <w:rFonts w:ascii="Times New Roman" w:eastAsia="標楷體" w:hAnsi="Times New Roman" w:cs="Times New Roman" w:hint="eastAsia"/>
          <w:sz w:val="28"/>
          <w:szCs w:val="28"/>
        </w:rPr>
        <w:t>較上月下滑，分別為：</w:t>
      </w:r>
      <w:r w:rsidR="002334AE" w:rsidRPr="002215EC">
        <w:rPr>
          <w:rFonts w:ascii="Times New Roman" w:eastAsia="標楷體" w:hAnsi="Times New Roman" w:cs="Times New Roman"/>
          <w:sz w:val="28"/>
          <w:szCs w:val="28"/>
        </w:rPr>
        <w:t>製造業存貨</w:t>
      </w:r>
      <w:r w:rsidR="002334AE" w:rsidRPr="002215EC">
        <w:rPr>
          <w:rFonts w:ascii="Times New Roman" w:eastAsia="標楷體" w:hAnsi="Times New Roman" w:cs="Times New Roman" w:hint="eastAsia"/>
          <w:sz w:val="28"/>
          <w:szCs w:val="28"/>
        </w:rPr>
        <w:t>價值</w:t>
      </w:r>
      <w:r w:rsidR="00ED5C9E" w:rsidRPr="002215E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4024F" w:rsidRPr="002215EC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FF1021" w:rsidRPr="002215EC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771B90" w:rsidRPr="002215E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F2FB2" w:rsidRPr="002215EC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Pr="002215EC" w:rsidRDefault="003362B2" w:rsidP="00661575">
      <w:pPr>
        <w:tabs>
          <w:tab w:val="num" w:pos="-2268"/>
        </w:tabs>
        <w:spacing w:line="40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2215EC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</w:t>
      </w:r>
      <w:r w:rsidR="001E5A0E" w:rsidRPr="002215E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8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2C6CA4" w:rsidRPr="002215E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3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="00F97640" w:rsidRPr="002215E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27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F97640" w:rsidRPr="002215EC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三</w:t>
      </w:r>
      <w:r w:rsidRPr="002215EC">
        <w:rPr>
          <w:rFonts w:eastAsia="標楷體"/>
          <w:sz w:val="28"/>
          <w:szCs w:val="28"/>
          <w:bdr w:val="single" w:sz="4" w:space="0" w:color="auto"/>
        </w:rPr>
        <w:t>）下午</w:t>
      </w:r>
      <w:r w:rsidRPr="002215EC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  <w:r w:rsidRPr="002215EC">
        <w:rPr>
          <w:rFonts w:eastAsia="標楷體"/>
          <w:sz w:val="28"/>
          <w:szCs w:val="28"/>
          <w:bdr w:val="single" w:sz="4" w:space="0" w:color="auto"/>
        </w:rPr>
        <w:t>時</w:t>
      </w:r>
    </w:p>
    <w:p w:rsidR="00661575" w:rsidRPr="002215EC" w:rsidRDefault="00661575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717CD8" w:rsidRPr="002215EC" w:rsidRDefault="007C445D" w:rsidP="00717CD8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2215EC">
        <w:rPr>
          <w:rFonts w:eastAsia="標楷體"/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 wp14:anchorId="00EA9458" wp14:editId="4249B54E">
            <wp:extent cx="6188710" cy="3465195"/>
            <wp:effectExtent l="0" t="0" r="254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Pr="002215EC" w:rsidRDefault="00717CD8" w:rsidP="00717CD8">
      <w:pPr>
        <w:widowControl/>
        <w:jc w:val="center"/>
        <w:rPr>
          <w:b/>
          <w:bCs/>
          <w:sz w:val="28"/>
          <w:szCs w:val="28"/>
        </w:rPr>
      </w:pPr>
      <w:r w:rsidRPr="002215EC">
        <w:rPr>
          <w:noProof/>
        </w:rPr>
        <w:drawing>
          <wp:anchor distT="0" distB="0" distL="114300" distR="114300" simplePos="0" relativeHeight="251659264" behindDoc="0" locked="0" layoutInCell="1" allowOverlap="1" wp14:anchorId="6B42528D" wp14:editId="6A65CD4D">
            <wp:simplePos x="0" y="0"/>
            <wp:positionH relativeFrom="column">
              <wp:posOffset>198755</wp:posOffset>
            </wp:positionH>
            <wp:positionV relativeFrom="paragraph">
              <wp:posOffset>22860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EC">
        <w:rPr>
          <w:rFonts w:hint="eastAsia"/>
          <w:b/>
          <w:bCs/>
          <w:sz w:val="28"/>
          <w:szCs w:val="28"/>
        </w:rPr>
        <w:t>圖</w:t>
      </w:r>
      <w:r w:rsidRPr="002215EC">
        <w:rPr>
          <w:rFonts w:hint="eastAsia"/>
          <w:b/>
          <w:bCs/>
          <w:sz w:val="28"/>
          <w:szCs w:val="28"/>
        </w:rPr>
        <w:t xml:space="preserve">1  </w:t>
      </w:r>
      <w:r w:rsidRPr="002215EC">
        <w:rPr>
          <w:rFonts w:hint="eastAsia"/>
          <w:b/>
          <w:bCs/>
          <w:sz w:val="28"/>
          <w:szCs w:val="28"/>
        </w:rPr>
        <w:t>近</w:t>
      </w:r>
      <w:r w:rsidRPr="002215EC">
        <w:rPr>
          <w:rFonts w:hint="eastAsia"/>
          <w:b/>
          <w:bCs/>
          <w:sz w:val="28"/>
          <w:szCs w:val="28"/>
        </w:rPr>
        <w:t>1</w:t>
      </w:r>
      <w:r w:rsidRPr="002215EC">
        <w:rPr>
          <w:rFonts w:hint="eastAsia"/>
          <w:b/>
          <w:bCs/>
          <w:sz w:val="28"/>
          <w:szCs w:val="28"/>
        </w:rPr>
        <w:t>年景氣對策信號走勢圖</w:t>
      </w:r>
    </w:p>
    <w:p w:rsidR="004C046A" w:rsidRPr="002215EC" w:rsidRDefault="004C046A" w:rsidP="00717CD8">
      <w:pPr>
        <w:widowControl/>
        <w:jc w:val="center"/>
        <w:rPr>
          <w:b/>
          <w:bCs/>
          <w:sz w:val="28"/>
          <w:szCs w:val="28"/>
        </w:rPr>
      </w:pPr>
    </w:p>
    <w:p w:rsidR="00717CD8" w:rsidRPr="002215EC" w:rsidRDefault="007C445D" w:rsidP="004C046A">
      <w:pPr>
        <w:tabs>
          <w:tab w:val="left" w:pos="5205"/>
        </w:tabs>
      </w:pPr>
      <w:r w:rsidRPr="002215EC">
        <w:rPr>
          <w:noProof/>
        </w:rPr>
        <w:drawing>
          <wp:inline distT="0" distB="0" distL="0" distR="0" wp14:anchorId="73DDCE85" wp14:editId="1F48B6BC">
            <wp:extent cx="6188710" cy="3053715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Pr="002215EC" w:rsidRDefault="00717CD8" w:rsidP="00717CD8">
      <w:pPr>
        <w:spacing w:line="380" w:lineRule="exact"/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t>圖</w:t>
      </w:r>
      <w:r w:rsidRPr="002215EC">
        <w:rPr>
          <w:rFonts w:hint="eastAsia"/>
          <w:b/>
          <w:bCs/>
          <w:sz w:val="28"/>
          <w:szCs w:val="28"/>
        </w:rPr>
        <w:t xml:space="preserve">2  </w:t>
      </w:r>
      <w:r w:rsidRPr="002215EC">
        <w:rPr>
          <w:rFonts w:hint="eastAsia"/>
          <w:b/>
          <w:bCs/>
          <w:sz w:val="28"/>
          <w:szCs w:val="28"/>
        </w:rPr>
        <w:t>一年來景氣對策信號</w:t>
      </w:r>
    </w:p>
    <w:p w:rsidR="00A11FE5" w:rsidRPr="002215EC" w:rsidRDefault="00887DF7" w:rsidP="00A47D98">
      <w:pPr>
        <w:widowControl/>
        <w:rPr>
          <w:b/>
          <w:bCs/>
          <w:sz w:val="28"/>
          <w:szCs w:val="28"/>
        </w:rPr>
      </w:pPr>
      <w:r w:rsidRPr="002215EC">
        <w:rPr>
          <w:rFonts w:eastAsia="標楷體"/>
          <w:sz w:val="28"/>
          <w:szCs w:val="28"/>
          <w:bdr w:val="single" w:sz="4" w:space="0" w:color="auto"/>
        </w:rPr>
        <w:br w:type="page"/>
      </w:r>
    </w:p>
    <w:p w:rsidR="0098387B" w:rsidRPr="002215EC" w:rsidRDefault="0098387B" w:rsidP="006433C5">
      <w:pPr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lastRenderedPageBreak/>
        <w:t>表</w:t>
      </w:r>
      <w:r w:rsidRPr="002215EC">
        <w:rPr>
          <w:rFonts w:hint="eastAsia"/>
          <w:b/>
          <w:bCs/>
          <w:sz w:val="28"/>
          <w:szCs w:val="28"/>
        </w:rPr>
        <w:t xml:space="preserve">1  </w:t>
      </w:r>
      <w:r w:rsidRPr="002215EC">
        <w:rPr>
          <w:b/>
          <w:bCs/>
          <w:sz w:val="28"/>
          <w:szCs w:val="28"/>
        </w:rPr>
        <w:t>景氣</w:t>
      </w:r>
      <w:r w:rsidRPr="002215EC">
        <w:rPr>
          <w:rFonts w:hint="eastAsia"/>
          <w:b/>
          <w:bCs/>
          <w:sz w:val="28"/>
          <w:szCs w:val="28"/>
        </w:rPr>
        <w:t>領先指標</w:t>
      </w:r>
    </w:p>
    <w:p w:rsidR="008F67C4" w:rsidRPr="002215EC" w:rsidRDefault="008F67C4" w:rsidP="009F395A">
      <w:pPr>
        <w:spacing w:line="240" w:lineRule="exact"/>
        <w:ind w:right="391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6"/>
        <w:gridCol w:w="788"/>
      </w:tblGrid>
      <w:tr w:rsidR="002215EC" w:rsidRPr="002215EC" w:rsidTr="00933D4B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2215EC" w:rsidRPr="002215EC" w:rsidTr="00933D4B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F7393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2215EC" w:rsidRPr="002215EC" w:rsidTr="00933D4B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102.14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101.74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101.20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98.69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2215E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-0.56</w:t>
            </w:r>
          </w:p>
        </w:tc>
      </w:tr>
      <w:tr w:rsidR="002215EC" w:rsidRPr="002215EC" w:rsidTr="00933D4B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215E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98.84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98.72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2215E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99.06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99.75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2215EC">
              <w:rPr>
                <w:rFonts w:ascii="新細明體" w:eastAsia="新細明體" w:hAnsi="新細明體"/>
                <w:sz w:val="22"/>
              </w:rPr>
              <w:t>面積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98.62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98.26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97.96</w:t>
            </w:r>
          </w:p>
        </w:tc>
      </w:tr>
      <w:tr w:rsidR="002215EC" w:rsidRPr="002215EC" w:rsidTr="00933D4B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4B" w:rsidRPr="002215EC" w:rsidRDefault="00933D4B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D4B" w:rsidRPr="002215EC" w:rsidRDefault="00933D4B" w:rsidP="00933D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</w:tr>
    </w:tbl>
    <w:p w:rsidR="008F67C4" w:rsidRPr="002215EC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2215EC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2215EC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2215EC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2215E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2215EC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2215EC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2215EC" w:rsidRDefault="00792C99" w:rsidP="00011AC4">
      <w:pPr>
        <w:jc w:val="center"/>
        <w:rPr>
          <w:rFonts w:ascii="標楷體" w:eastAsia="標楷體" w:hAnsi="標楷體"/>
        </w:rPr>
      </w:pPr>
      <w:r w:rsidRPr="002215EC">
        <w:rPr>
          <w:rFonts w:ascii="標楷體" w:eastAsia="標楷體" w:hAnsi="標楷體"/>
          <w:noProof/>
        </w:rPr>
        <w:drawing>
          <wp:inline distT="0" distB="0" distL="0" distR="0" wp14:anchorId="43D011D9" wp14:editId="20498647">
            <wp:extent cx="6213600" cy="378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2215EC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2215EC">
        <w:rPr>
          <w:rFonts w:hint="eastAsia"/>
          <w:bCs/>
          <w:sz w:val="18"/>
          <w:szCs w:val="18"/>
        </w:rPr>
        <w:t>註</w:t>
      </w:r>
      <w:proofErr w:type="gramEnd"/>
      <w:r w:rsidRPr="002215EC">
        <w:rPr>
          <w:rFonts w:hint="eastAsia"/>
          <w:bCs/>
          <w:sz w:val="18"/>
          <w:szCs w:val="18"/>
        </w:rPr>
        <w:t>：</w:t>
      </w:r>
      <w:proofErr w:type="gramStart"/>
      <w:r w:rsidRPr="002215EC">
        <w:rPr>
          <w:rFonts w:hint="eastAsia"/>
          <w:bCs/>
          <w:sz w:val="18"/>
          <w:szCs w:val="18"/>
        </w:rPr>
        <w:t>陰影區表景氣循環</w:t>
      </w:r>
      <w:proofErr w:type="gramEnd"/>
      <w:r w:rsidRPr="002215EC">
        <w:rPr>
          <w:rFonts w:hint="eastAsia"/>
          <w:bCs/>
          <w:sz w:val="18"/>
          <w:szCs w:val="18"/>
        </w:rPr>
        <w:t>收縮期，</w:t>
      </w:r>
      <w:proofErr w:type="gramStart"/>
      <w:r w:rsidRPr="002215EC">
        <w:rPr>
          <w:rFonts w:hint="eastAsia"/>
          <w:bCs/>
          <w:sz w:val="18"/>
          <w:szCs w:val="18"/>
        </w:rPr>
        <w:t>以下圖同</w:t>
      </w:r>
      <w:proofErr w:type="gramEnd"/>
      <w:r w:rsidRPr="002215EC">
        <w:rPr>
          <w:rFonts w:hint="eastAsia"/>
          <w:bCs/>
          <w:sz w:val="18"/>
          <w:szCs w:val="18"/>
        </w:rPr>
        <w:t>。</w:t>
      </w:r>
    </w:p>
    <w:p w:rsidR="006E0697" w:rsidRPr="002215EC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4531DD" w:rsidRPr="002215EC" w:rsidRDefault="006F1F80" w:rsidP="00444B83">
      <w:pPr>
        <w:spacing w:line="380" w:lineRule="exact"/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t>圖</w:t>
      </w:r>
      <w:r w:rsidRPr="002215EC">
        <w:rPr>
          <w:rFonts w:hint="eastAsia"/>
          <w:b/>
          <w:bCs/>
          <w:sz w:val="28"/>
          <w:szCs w:val="28"/>
        </w:rPr>
        <w:t xml:space="preserve">3  </w:t>
      </w:r>
      <w:r w:rsidRPr="002215EC">
        <w:rPr>
          <w:rFonts w:hint="eastAsia"/>
          <w:b/>
          <w:bCs/>
          <w:sz w:val="28"/>
          <w:szCs w:val="28"/>
        </w:rPr>
        <w:t>領先指標不含趨勢指數走勢圖</w:t>
      </w:r>
    </w:p>
    <w:p w:rsidR="003362B2" w:rsidRPr="002215EC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2215EC" w:rsidRDefault="004531DD" w:rsidP="00AE0EEF">
      <w:pPr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lastRenderedPageBreak/>
        <w:t>表</w:t>
      </w:r>
      <w:r w:rsidRPr="002215EC">
        <w:rPr>
          <w:rFonts w:hint="eastAsia"/>
          <w:b/>
          <w:bCs/>
          <w:sz w:val="28"/>
          <w:szCs w:val="28"/>
        </w:rPr>
        <w:t xml:space="preserve">2  </w:t>
      </w:r>
      <w:r w:rsidRPr="002215EC">
        <w:rPr>
          <w:b/>
          <w:bCs/>
          <w:sz w:val="28"/>
          <w:szCs w:val="28"/>
        </w:rPr>
        <w:t>景氣</w:t>
      </w:r>
      <w:r w:rsidRPr="002215EC">
        <w:rPr>
          <w:rFonts w:hint="eastAsia"/>
          <w:b/>
          <w:bCs/>
          <w:sz w:val="28"/>
          <w:szCs w:val="28"/>
        </w:rPr>
        <w:t>同時指標</w:t>
      </w:r>
    </w:p>
    <w:p w:rsidR="004531DD" w:rsidRPr="002215EC" w:rsidRDefault="004531DD" w:rsidP="009F395A">
      <w:pPr>
        <w:spacing w:line="240" w:lineRule="exact"/>
        <w:ind w:right="391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8"/>
        <w:gridCol w:w="7"/>
        <w:gridCol w:w="882"/>
        <w:gridCol w:w="14"/>
        <w:gridCol w:w="871"/>
        <w:gridCol w:w="25"/>
        <w:gridCol w:w="861"/>
        <w:gridCol w:w="35"/>
        <w:gridCol w:w="853"/>
        <w:gridCol w:w="43"/>
        <w:gridCol w:w="841"/>
        <w:gridCol w:w="55"/>
        <w:gridCol w:w="896"/>
      </w:tblGrid>
      <w:tr w:rsidR="002215EC" w:rsidRPr="002215EC" w:rsidTr="00471864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2215EC" w:rsidRPr="002215EC" w:rsidTr="00C175C7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98.48 </w:t>
            </w:r>
          </w:p>
        </w:tc>
      </w:tr>
      <w:tr w:rsidR="002215EC" w:rsidRPr="002215EC" w:rsidTr="00C175C7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175C7" w:rsidRPr="002215EC" w:rsidRDefault="00C175C7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-0.40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-0.48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-0.49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-0.48 </w:t>
            </w:r>
          </w:p>
        </w:tc>
      </w:tr>
      <w:tr w:rsidR="002215EC" w:rsidRPr="002215EC" w:rsidTr="00C175C7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175C7" w:rsidRPr="002215EC" w:rsidRDefault="00C175C7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5C7" w:rsidRPr="002215EC" w:rsidRDefault="00C175C7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99.16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99.14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98.73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98.65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2215EC" w:rsidRPr="002215EC" w:rsidTr="00C175C7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C7" w:rsidRPr="002215EC" w:rsidRDefault="00C175C7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5C7" w:rsidRPr="002215EC" w:rsidRDefault="00C175C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</w:tr>
    </w:tbl>
    <w:p w:rsidR="004531DD" w:rsidRPr="002215EC" w:rsidRDefault="00936F20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 w:rsidRPr="002215EC">
        <w:rPr>
          <w:b/>
          <w:bCs/>
          <w:noProof/>
          <w:sz w:val="28"/>
          <w:szCs w:val="28"/>
        </w:rPr>
        <w:drawing>
          <wp:inline distT="0" distB="0" distL="0" distR="0" wp14:anchorId="243FE271" wp14:editId="41DEBF73">
            <wp:extent cx="6181200" cy="37800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2215EC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t>圖</w:t>
      </w:r>
      <w:r w:rsidRPr="002215EC">
        <w:rPr>
          <w:rFonts w:hint="eastAsia"/>
          <w:b/>
          <w:bCs/>
          <w:sz w:val="28"/>
          <w:szCs w:val="28"/>
        </w:rPr>
        <w:t xml:space="preserve">4  </w:t>
      </w:r>
      <w:r w:rsidRPr="002215EC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2215EC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2215EC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2215EC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2215EC" w:rsidRDefault="004531DD" w:rsidP="004531DD">
      <w:pPr>
        <w:jc w:val="center"/>
        <w:rPr>
          <w:b/>
          <w:bCs/>
          <w:sz w:val="28"/>
          <w:szCs w:val="28"/>
        </w:rPr>
      </w:pPr>
      <w:r w:rsidRPr="002215EC">
        <w:rPr>
          <w:rFonts w:hint="eastAsia"/>
          <w:b/>
          <w:bCs/>
          <w:sz w:val="28"/>
          <w:szCs w:val="28"/>
        </w:rPr>
        <w:lastRenderedPageBreak/>
        <w:t>表</w:t>
      </w:r>
      <w:r w:rsidRPr="002215EC">
        <w:rPr>
          <w:rFonts w:hint="eastAsia"/>
          <w:b/>
          <w:bCs/>
          <w:sz w:val="28"/>
          <w:szCs w:val="28"/>
        </w:rPr>
        <w:t xml:space="preserve">3  </w:t>
      </w:r>
      <w:r w:rsidRPr="002215EC">
        <w:rPr>
          <w:b/>
          <w:bCs/>
          <w:sz w:val="28"/>
          <w:szCs w:val="28"/>
        </w:rPr>
        <w:t>景氣</w:t>
      </w:r>
      <w:r w:rsidRPr="002215EC">
        <w:rPr>
          <w:rFonts w:hint="eastAsia"/>
          <w:b/>
          <w:bCs/>
          <w:sz w:val="28"/>
          <w:szCs w:val="28"/>
        </w:rPr>
        <w:t>落後指標</w:t>
      </w:r>
    </w:p>
    <w:p w:rsidR="004531DD" w:rsidRPr="002215EC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915"/>
        <w:gridCol w:w="893"/>
        <w:gridCol w:w="892"/>
        <w:gridCol w:w="921"/>
        <w:gridCol w:w="832"/>
        <w:gridCol w:w="932"/>
        <w:gridCol w:w="930"/>
      </w:tblGrid>
      <w:tr w:rsidR="002215EC" w:rsidRPr="002215EC" w:rsidTr="00712B81">
        <w:trPr>
          <w:cantSplit/>
          <w:trHeight w:val="563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B81" w:rsidRPr="002215EC" w:rsidRDefault="00712B81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2215EC" w:rsidRPr="002215EC" w:rsidTr="00712B81">
        <w:trPr>
          <w:cantSplit/>
          <w:trHeight w:val="272"/>
          <w:jc w:val="center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81" w:rsidRPr="002215EC" w:rsidRDefault="00712B81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B81" w:rsidRPr="002215EC" w:rsidRDefault="00712B81" w:rsidP="00F7674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27C" w:rsidRPr="002215EC" w:rsidRDefault="00D0127C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101.66 </w:t>
            </w:r>
          </w:p>
        </w:tc>
      </w:tr>
      <w:tr w:rsidR="002215EC" w:rsidRPr="002215EC" w:rsidTr="00712B81">
        <w:trPr>
          <w:cantSplit/>
          <w:trHeight w:val="294"/>
          <w:jc w:val="center"/>
        </w:trPr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D0127C" w:rsidRPr="002215EC" w:rsidRDefault="00D0127C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0.32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0.10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0.14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0.20 </w:t>
            </w:r>
          </w:p>
        </w:tc>
      </w:tr>
      <w:tr w:rsidR="002215EC" w:rsidRPr="002215EC" w:rsidTr="00712B81">
        <w:trPr>
          <w:cantSplit/>
          <w:trHeight w:val="339"/>
          <w:jc w:val="center"/>
        </w:trPr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D0127C" w:rsidRPr="002215EC" w:rsidRDefault="00D0127C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7C" w:rsidRPr="002215EC" w:rsidRDefault="00D0127C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7C" w:rsidRPr="002215EC" w:rsidRDefault="00D0127C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7C" w:rsidRPr="002215EC" w:rsidRDefault="00D0127C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0127C" w:rsidRPr="002215EC" w:rsidRDefault="00D0127C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D0127C" w:rsidRPr="002215EC" w:rsidRDefault="00D0127C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0127C" w:rsidRPr="002215EC" w:rsidRDefault="00D0127C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0127C" w:rsidRPr="002215EC" w:rsidRDefault="00D0127C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27C" w:rsidRPr="002215EC" w:rsidRDefault="00D0127C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失業率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27C" w:rsidRPr="002215EC" w:rsidRDefault="00D0127C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27C" w:rsidRPr="002215EC" w:rsidRDefault="00D0127C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  <w:r w:rsidR="00E12938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  <w:r w:rsidR="00E1293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bookmarkStart w:id="1" w:name="_GoBack"/>
            <w:bookmarkEnd w:id="1"/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:rsidR="00D0127C" w:rsidRPr="002215EC" w:rsidRDefault="00D0127C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</w:tr>
      <w:tr w:rsidR="002215EC" w:rsidRPr="002215EC" w:rsidTr="00712B81">
        <w:trPr>
          <w:cantSplit/>
          <w:trHeight w:val="360"/>
          <w:jc w:val="center"/>
        </w:trPr>
        <w:tc>
          <w:tcPr>
            <w:tcW w:w="31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7C" w:rsidRPr="002215EC" w:rsidRDefault="00D0127C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27C" w:rsidRPr="002215EC" w:rsidRDefault="00D0127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</w:tr>
    </w:tbl>
    <w:p w:rsidR="00686DD9" w:rsidRPr="002215EC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D6613" w:rsidRPr="002215EC" w:rsidRDefault="004D6613" w:rsidP="006F1F80">
      <w:pPr>
        <w:jc w:val="center"/>
        <w:rPr>
          <w:rFonts w:ascii="標楷體" w:eastAsia="標楷體" w:hAnsi="標楷體"/>
        </w:rPr>
      </w:pPr>
    </w:p>
    <w:p w:rsidR="004D6613" w:rsidRPr="002215EC" w:rsidRDefault="004D6613" w:rsidP="006F1F80">
      <w:pPr>
        <w:jc w:val="center"/>
        <w:rPr>
          <w:rFonts w:ascii="標楷體" w:eastAsia="標楷體" w:hAnsi="標楷體"/>
        </w:rPr>
      </w:pPr>
    </w:p>
    <w:p w:rsidR="00CF293F" w:rsidRPr="002215EC" w:rsidRDefault="00CF293F" w:rsidP="006F1F80">
      <w:pPr>
        <w:jc w:val="center"/>
        <w:rPr>
          <w:rFonts w:ascii="標楷體" w:eastAsia="標楷體" w:hAnsi="標楷體"/>
        </w:rPr>
      </w:pPr>
    </w:p>
    <w:p w:rsidR="004531DD" w:rsidRPr="002215EC" w:rsidRDefault="00D37204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3FD6618">
            <wp:extent cx="6181200" cy="376302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2215EC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2215EC">
        <w:rPr>
          <w:rFonts w:hint="eastAsia"/>
          <w:b/>
          <w:bCs/>
          <w:sz w:val="28"/>
          <w:szCs w:val="28"/>
        </w:rPr>
        <w:t>圖</w:t>
      </w:r>
      <w:r w:rsidRPr="002215EC">
        <w:rPr>
          <w:rFonts w:hint="eastAsia"/>
          <w:b/>
          <w:bCs/>
          <w:sz w:val="28"/>
          <w:szCs w:val="28"/>
        </w:rPr>
        <w:t xml:space="preserve">5  </w:t>
      </w:r>
      <w:r w:rsidRPr="002215EC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2215EC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E1" w:rsidRDefault="00EF1DE1" w:rsidP="00C369E1">
      <w:r>
        <w:separator/>
      </w:r>
    </w:p>
  </w:endnote>
  <w:endnote w:type="continuationSeparator" w:id="0">
    <w:p w:rsidR="00EF1DE1" w:rsidRDefault="00EF1DE1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38" w:rsidRPr="00E12938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E1" w:rsidRDefault="00EF1DE1" w:rsidP="00C369E1">
      <w:r>
        <w:separator/>
      </w:r>
    </w:p>
  </w:footnote>
  <w:footnote w:type="continuationSeparator" w:id="0">
    <w:p w:rsidR="00EF1DE1" w:rsidRDefault="00EF1DE1" w:rsidP="00C369E1">
      <w:r>
        <w:continuationSeparator/>
      </w:r>
    </w:p>
  </w:footnote>
  <w:footnote w:id="1">
    <w:p w:rsidR="006C22FA" w:rsidRPr="004C5A56" w:rsidRDefault="006C22FA" w:rsidP="00D96E11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  <w:r w:rsidR="00FF1021" w:rsidRPr="00FF1021">
        <w:rPr>
          <w:rFonts w:eastAsia="標楷體" w:hint="eastAsia"/>
        </w:rPr>
        <w:t>各構成項目除製造業營業氣候測驗點之單位</w:t>
      </w:r>
      <w:proofErr w:type="gramStart"/>
      <w:r w:rsidR="00FF1021" w:rsidRPr="00FF1021">
        <w:rPr>
          <w:rFonts w:eastAsia="標楷體" w:hint="eastAsia"/>
        </w:rPr>
        <w:t>為點外</w:t>
      </w:r>
      <w:proofErr w:type="gramEnd"/>
      <w:r w:rsidR="00FF1021" w:rsidRPr="00FF1021">
        <w:rPr>
          <w:rFonts w:eastAsia="標楷體" w:hint="eastAsia"/>
        </w:rPr>
        <w:t>，</w:t>
      </w:r>
      <w:proofErr w:type="gramStart"/>
      <w:r w:rsidR="00FF1021" w:rsidRPr="00FF1021">
        <w:rPr>
          <w:rFonts w:eastAsia="標楷體" w:hint="eastAsia"/>
        </w:rPr>
        <w:t>其餘均為與</w:t>
      </w:r>
      <w:proofErr w:type="gramEnd"/>
      <w:r w:rsidR="00FF1021" w:rsidRPr="00FF1021">
        <w:rPr>
          <w:rFonts w:eastAsia="標楷體" w:hint="eastAsia"/>
        </w:rPr>
        <w:t>上年同月相比的變動率；除股價指數</w:t>
      </w:r>
      <w:proofErr w:type="gramStart"/>
      <w:r w:rsidR="00FF1021" w:rsidRPr="00FF1021">
        <w:rPr>
          <w:rFonts w:eastAsia="標楷體" w:hint="eastAsia"/>
        </w:rPr>
        <w:t>外均經季節</w:t>
      </w:r>
      <w:proofErr w:type="gramEnd"/>
      <w:r w:rsidR="00FF1021" w:rsidRPr="00FF1021">
        <w:rPr>
          <w:rFonts w:eastAsia="標楷體" w:hint="eastAsia"/>
        </w:rPr>
        <w:t>調整。</w:t>
      </w:r>
    </w:p>
  </w:footnote>
  <w:footnote w:id="2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FF1021">
        <w:rPr>
          <w:rFonts w:eastAsia="標楷體" w:hint="eastAsia"/>
        </w:rPr>
        <w:t>準</w:t>
      </w:r>
      <w:proofErr w:type="gramEnd"/>
      <w:r w:rsidRPr="00FF1021">
        <w:rPr>
          <w:rFonts w:eastAsia="標楷體" w:hint="eastAsia"/>
        </w:rPr>
        <w:t>，若與上月相比數值增加（減少），即代表構成項目較上月上升（下降）。</w:t>
      </w:r>
    </w:p>
  </w:footnote>
  <w:footnote w:id="3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623B"/>
    <w:rsid w:val="00020AB2"/>
    <w:rsid w:val="00020FC7"/>
    <w:rsid w:val="00023375"/>
    <w:rsid w:val="00024FA1"/>
    <w:rsid w:val="00027C3A"/>
    <w:rsid w:val="0003013A"/>
    <w:rsid w:val="0003673A"/>
    <w:rsid w:val="0004078B"/>
    <w:rsid w:val="000417B6"/>
    <w:rsid w:val="00043987"/>
    <w:rsid w:val="000513BE"/>
    <w:rsid w:val="00053603"/>
    <w:rsid w:val="00055C7C"/>
    <w:rsid w:val="00073460"/>
    <w:rsid w:val="00076AD3"/>
    <w:rsid w:val="0007789A"/>
    <w:rsid w:val="00081E91"/>
    <w:rsid w:val="000839E1"/>
    <w:rsid w:val="00083E6C"/>
    <w:rsid w:val="00085BC4"/>
    <w:rsid w:val="00086934"/>
    <w:rsid w:val="00097295"/>
    <w:rsid w:val="000A5460"/>
    <w:rsid w:val="000B0838"/>
    <w:rsid w:val="000B1A74"/>
    <w:rsid w:val="000B38BC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6C1C"/>
    <w:rsid w:val="000F7BFE"/>
    <w:rsid w:val="001007B9"/>
    <w:rsid w:val="00114656"/>
    <w:rsid w:val="001146C7"/>
    <w:rsid w:val="00120E6F"/>
    <w:rsid w:val="001446D3"/>
    <w:rsid w:val="001560E5"/>
    <w:rsid w:val="0018324E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61F2"/>
    <w:rsid w:val="001E030E"/>
    <w:rsid w:val="001E2FA4"/>
    <w:rsid w:val="001E5A0E"/>
    <w:rsid w:val="001F337F"/>
    <w:rsid w:val="001F5F33"/>
    <w:rsid w:val="002128F2"/>
    <w:rsid w:val="0021319F"/>
    <w:rsid w:val="00214758"/>
    <w:rsid w:val="00215B77"/>
    <w:rsid w:val="00216477"/>
    <w:rsid w:val="002215EC"/>
    <w:rsid w:val="00223E41"/>
    <w:rsid w:val="00224355"/>
    <w:rsid w:val="002261D3"/>
    <w:rsid w:val="00232DF1"/>
    <w:rsid w:val="002334AE"/>
    <w:rsid w:val="00235B49"/>
    <w:rsid w:val="0024124D"/>
    <w:rsid w:val="00247C50"/>
    <w:rsid w:val="00252874"/>
    <w:rsid w:val="00260640"/>
    <w:rsid w:val="00266B6A"/>
    <w:rsid w:val="00270E81"/>
    <w:rsid w:val="00273D9E"/>
    <w:rsid w:val="002747E5"/>
    <w:rsid w:val="0027584F"/>
    <w:rsid w:val="00277A4A"/>
    <w:rsid w:val="002A05AD"/>
    <w:rsid w:val="002A30FE"/>
    <w:rsid w:val="002A635C"/>
    <w:rsid w:val="002B0CCD"/>
    <w:rsid w:val="002B18D4"/>
    <w:rsid w:val="002B26DD"/>
    <w:rsid w:val="002C2133"/>
    <w:rsid w:val="002C3840"/>
    <w:rsid w:val="002C6CA4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5B5B"/>
    <w:rsid w:val="00346863"/>
    <w:rsid w:val="00350C6D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B1014"/>
    <w:rsid w:val="003B1251"/>
    <w:rsid w:val="003B3E2F"/>
    <w:rsid w:val="003B4415"/>
    <w:rsid w:val="003B5F5A"/>
    <w:rsid w:val="003C4EFE"/>
    <w:rsid w:val="003D40D8"/>
    <w:rsid w:val="003D6F74"/>
    <w:rsid w:val="003D7636"/>
    <w:rsid w:val="003F1D1A"/>
    <w:rsid w:val="003F2139"/>
    <w:rsid w:val="003F555D"/>
    <w:rsid w:val="003F6BC2"/>
    <w:rsid w:val="00400C36"/>
    <w:rsid w:val="004014C7"/>
    <w:rsid w:val="00402E92"/>
    <w:rsid w:val="00407C60"/>
    <w:rsid w:val="0041362E"/>
    <w:rsid w:val="00417631"/>
    <w:rsid w:val="0042178C"/>
    <w:rsid w:val="0042195C"/>
    <w:rsid w:val="00422B0E"/>
    <w:rsid w:val="004302F3"/>
    <w:rsid w:val="00433799"/>
    <w:rsid w:val="00437324"/>
    <w:rsid w:val="0044065E"/>
    <w:rsid w:val="0044121B"/>
    <w:rsid w:val="00441995"/>
    <w:rsid w:val="00441EAA"/>
    <w:rsid w:val="00442C35"/>
    <w:rsid w:val="004441F3"/>
    <w:rsid w:val="00444B83"/>
    <w:rsid w:val="00445B2F"/>
    <w:rsid w:val="004531DD"/>
    <w:rsid w:val="004565EF"/>
    <w:rsid w:val="0047391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D28BC"/>
    <w:rsid w:val="004D57B8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70AA"/>
    <w:rsid w:val="00530F1B"/>
    <w:rsid w:val="00531CA6"/>
    <w:rsid w:val="005351CA"/>
    <w:rsid w:val="00537277"/>
    <w:rsid w:val="00561D0B"/>
    <w:rsid w:val="00562B41"/>
    <w:rsid w:val="00564641"/>
    <w:rsid w:val="00582C2D"/>
    <w:rsid w:val="00582F36"/>
    <w:rsid w:val="005836BA"/>
    <w:rsid w:val="00583941"/>
    <w:rsid w:val="005901CE"/>
    <w:rsid w:val="00594551"/>
    <w:rsid w:val="005A676A"/>
    <w:rsid w:val="005B17E9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589E"/>
    <w:rsid w:val="00603AF7"/>
    <w:rsid w:val="00605723"/>
    <w:rsid w:val="00605E74"/>
    <w:rsid w:val="00611728"/>
    <w:rsid w:val="0061727A"/>
    <w:rsid w:val="006201F9"/>
    <w:rsid w:val="006211BC"/>
    <w:rsid w:val="00621DD5"/>
    <w:rsid w:val="00624C88"/>
    <w:rsid w:val="0062637A"/>
    <w:rsid w:val="006344ED"/>
    <w:rsid w:val="00634D65"/>
    <w:rsid w:val="006433C5"/>
    <w:rsid w:val="00651EEB"/>
    <w:rsid w:val="00652AF5"/>
    <w:rsid w:val="00652D16"/>
    <w:rsid w:val="00661575"/>
    <w:rsid w:val="00662F99"/>
    <w:rsid w:val="00663E1D"/>
    <w:rsid w:val="006657CE"/>
    <w:rsid w:val="00665DB2"/>
    <w:rsid w:val="00666B39"/>
    <w:rsid w:val="00674735"/>
    <w:rsid w:val="00686C22"/>
    <w:rsid w:val="00686DD9"/>
    <w:rsid w:val="00687FD1"/>
    <w:rsid w:val="00694356"/>
    <w:rsid w:val="006971A0"/>
    <w:rsid w:val="006979A6"/>
    <w:rsid w:val="006A0FF1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E7108"/>
    <w:rsid w:val="006F0477"/>
    <w:rsid w:val="006F1F80"/>
    <w:rsid w:val="006F308E"/>
    <w:rsid w:val="006F7E60"/>
    <w:rsid w:val="00703609"/>
    <w:rsid w:val="00710596"/>
    <w:rsid w:val="00711312"/>
    <w:rsid w:val="00712B81"/>
    <w:rsid w:val="007143F8"/>
    <w:rsid w:val="00717CD8"/>
    <w:rsid w:val="007271AF"/>
    <w:rsid w:val="00727F57"/>
    <w:rsid w:val="00730EB6"/>
    <w:rsid w:val="0073698F"/>
    <w:rsid w:val="00740ED3"/>
    <w:rsid w:val="00741661"/>
    <w:rsid w:val="00744FAB"/>
    <w:rsid w:val="00746EAC"/>
    <w:rsid w:val="007508E4"/>
    <w:rsid w:val="0075105C"/>
    <w:rsid w:val="007658BF"/>
    <w:rsid w:val="007716C5"/>
    <w:rsid w:val="00771B90"/>
    <w:rsid w:val="00787E5A"/>
    <w:rsid w:val="00792C99"/>
    <w:rsid w:val="00796A83"/>
    <w:rsid w:val="007A2575"/>
    <w:rsid w:val="007A3826"/>
    <w:rsid w:val="007A68DD"/>
    <w:rsid w:val="007B2BB3"/>
    <w:rsid w:val="007C3B6F"/>
    <w:rsid w:val="007C445D"/>
    <w:rsid w:val="007D3146"/>
    <w:rsid w:val="007F0E66"/>
    <w:rsid w:val="007F2C7B"/>
    <w:rsid w:val="007F3FA5"/>
    <w:rsid w:val="007F51A6"/>
    <w:rsid w:val="007F65AF"/>
    <w:rsid w:val="007F74AF"/>
    <w:rsid w:val="00810777"/>
    <w:rsid w:val="00812721"/>
    <w:rsid w:val="008164DE"/>
    <w:rsid w:val="00825627"/>
    <w:rsid w:val="00832A36"/>
    <w:rsid w:val="00840426"/>
    <w:rsid w:val="008413B3"/>
    <w:rsid w:val="0084241D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11CE"/>
    <w:rsid w:val="0087437A"/>
    <w:rsid w:val="00877820"/>
    <w:rsid w:val="00884789"/>
    <w:rsid w:val="0088621A"/>
    <w:rsid w:val="00886BFE"/>
    <w:rsid w:val="00887911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352"/>
    <w:rsid w:val="008D6A97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2336"/>
    <w:rsid w:val="009325A6"/>
    <w:rsid w:val="00933D4B"/>
    <w:rsid w:val="00935DCB"/>
    <w:rsid w:val="00936F20"/>
    <w:rsid w:val="00937A6B"/>
    <w:rsid w:val="00940095"/>
    <w:rsid w:val="0094024F"/>
    <w:rsid w:val="00946588"/>
    <w:rsid w:val="00964392"/>
    <w:rsid w:val="009658B2"/>
    <w:rsid w:val="009762DF"/>
    <w:rsid w:val="009769B9"/>
    <w:rsid w:val="00982058"/>
    <w:rsid w:val="0098387B"/>
    <w:rsid w:val="00984F8E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9F7757"/>
    <w:rsid w:val="00A0030F"/>
    <w:rsid w:val="00A044A1"/>
    <w:rsid w:val="00A11AE3"/>
    <w:rsid w:val="00A11FE5"/>
    <w:rsid w:val="00A25D44"/>
    <w:rsid w:val="00A400A7"/>
    <w:rsid w:val="00A4021C"/>
    <w:rsid w:val="00A47D98"/>
    <w:rsid w:val="00A65CBE"/>
    <w:rsid w:val="00A67BF0"/>
    <w:rsid w:val="00A70D0F"/>
    <w:rsid w:val="00A75F26"/>
    <w:rsid w:val="00A90D4B"/>
    <w:rsid w:val="00A91B2A"/>
    <w:rsid w:val="00A962B7"/>
    <w:rsid w:val="00AA69D6"/>
    <w:rsid w:val="00AA703F"/>
    <w:rsid w:val="00AA7592"/>
    <w:rsid w:val="00AB1ABB"/>
    <w:rsid w:val="00AB2380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4BC1"/>
    <w:rsid w:val="00AE0EEF"/>
    <w:rsid w:val="00AE2840"/>
    <w:rsid w:val="00AF1E0C"/>
    <w:rsid w:val="00B007DD"/>
    <w:rsid w:val="00B044E6"/>
    <w:rsid w:val="00B156FE"/>
    <w:rsid w:val="00B17481"/>
    <w:rsid w:val="00B23A2B"/>
    <w:rsid w:val="00B26B07"/>
    <w:rsid w:val="00B42A52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175C7"/>
    <w:rsid w:val="00C20DA3"/>
    <w:rsid w:val="00C24885"/>
    <w:rsid w:val="00C277E5"/>
    <w:rsid w:val="00C321E0"/>
    <w:rsid w:val="00C369E1"/>
    <w:rsid w:val="00C36A3A"/>
    <w:rsid w:val="00C47AE4"/>
    <w:rsid w:val="00C51480"/>
    <w:rsid w:val="00C5162E"/>
    <w:rsid w:val="00C52CD1"/>
    <w:rsid w:val="00C57F48"/>
    <w:rsid w:val="00C61367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CF44DA"/>
    <w:rsid w:val="00CF62FE"/>
    <w:rsid w:val="00D0127C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7204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96E11"/>
    <w:rsid w:val="00DA0DD0"/>
    <w:rsid w:val="00DB1B8C"/>
    <w:rsid w:val="00DB34E6"/>
    <w:rsid w:val="00DB3ECE"/>
    <w:rsid w:val="00DD4BA3"/>
    <w:rsid w:val="00DD62C3"/>
    <w:rsid w:val="00DD665C"/>
    <w:rsid w:val="00DE111F"/>
    <w:rsid w:val="00DE1FB5"/>
    <w:rsid w:val="00DE2A37"/>
    <w:rsid w:val="00DE4520"/>
    <w:rsid w:val="00DE596A"/>
    <w:rsid w:val="00DF22D2"/>
    <w:rsid w:val="00DF416E"/>
    <w:rsid w:val="00DF74FF"/>
    <w:rsid w:val="00E066EC"/>
    <w:rsid w:val="00E073DD"/>
    <w:rsid w:val="00E12938"/>
    <w:rsid w:val="00E173B2"/>
    <w:rsid w:val="00E17C40"/>
    <w:rsid w:val="00E2164E"/>
    <w:rsid w:val="00E26689"/>
    <w:rsid w:val="00E337F0"/>
    <w:rsid w:val="00E36438"/>
    <w:rsid w:val="00E4067A"/>
    <w:rsid w:val="00E4089C"/>
    <w:rsid w:val="00E555BA"/>
    <w:rsid w:val="00E60320"/>
    <w:rsid w:val="00E614BD"/>
    <w:rsid w:val="00E63A55"/>
    <w:rsid w:val="00E64D33"/>
    <w:rsid w:val="00E64F25"/>
    <w:rsid w:val="00E74121"/>
    <w:rsid w:val="00E7504E"/>
    <w:rsid w:val="00E75071"/>
    <w:rsid w:val="00E8474B"/>
    <w:rsid w:val="00E87FE9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1DE1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4F8B"/>
    <w:rsid w:val="00F4733A"/>
    <w:rsid w:val="00F5303F"/>
    <w:rsid w:val="00F533EA"/>
    <w:rsid w:val="00F55EE2"/>
    <w:rsid w:val="00F61FA6"/>
    <w:rsid w:val="00F62A97"/>
    <w:rsid w:val="00F6692D"/>
    <w:rsid w:val="00F71B82"/>
    <w:rsid w:val="00F72E99"/>
    <w:rsid w:val="00F74C7D"/>
    <w:rsid w:val="00F75E79"/>
    <w:rsid w:val="00F76509"/>
    <w:rsid w:val="00F765D1"/>
    <w:rsid w:val="00F81B68"/>
    <w:rsid w:val="00F83204"/>
    <w:rsid w:val="00F92653"/>
    <w:rsid w:val="00F97640"/>
    <w:rsid w:val="00FA37BC"/>
    <w:rsid w:val="00FA666A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28F7-785B-41F7-B399-9CD8250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廖銘傳</cp:lastModifiedBy>
  <cp:revision>52</cp:revision>
  <cp:lastPrinted>2019-02-26T11:24:00Z</cp:lastPrinted>
  <dcterms:created xsi:type="dcterms:W3CDTF">2019-01-25T02:03:00Z</dcterms:created>
  <dcterms:modified xsi:type="dcterms:W3CDTF">2019-02-27T08:05:00Z</dcterms:modified>
</cp:coreProperties>
</file>