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B979" w14:textId="4865CDA0" w:rsidR="0007115C" w:rsidRPr="00343868" w:rsidRDefault="00793870" w:rsidP="00793870">
      <w:pPr>
        <w:ind w:firstLineChars="100" w:firstLine="320"/>
        <w:rPr>
          <w:rFonts w:ascii="微軟正黑體" w:eastAsia="微軟正黑體" w:hAnsi="微軟正黑體" w:cs="Times New Roman"/>
          <w:sz w:val="32"/>
          <w:szCs w:val="32"/>
        </w:rPr>
      </w:pPr>
      <w:r w:rsidRPr="00343868">
        <w:rPr>
          <w:rFonts w:asciiTheme="minorEastAsia" w:hAnsiTheme="minorEastAsia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8E59DB" wp14:editId="0D024360">
            <wp:simplePos x="0" y="0"/>
            <wp:positionH relativeFrom="page">
              <wp:posOffset>563880</wp:posOffset>
            </wp:positionH>
            <wp:positionV relativeFrom="paragraph">
              <wp:posOffset>60960</wp:posOffset>
            </wp:positionV>
            <wp:extent cx="1804670" cy="419100"/>
            <wp:effectExtent l="0" t="0" r="5080" b="0"/>
            <wp:wrapTight wrapText="bothSides">
              <wp:wrapPolygon edited="0">
                <wp:start x="684" y="0"/>
                <wp:lineTo x="0" y="8836"/>
                <wp:lineTo x="0" y="16691"/>
                <wp:lineTo x="684" y="20618"/>
                <wp:lineTo x="3420" y="20618"/>
                <wp:lineTo x="21433" y="19636"/>
                <wp:lineTo x="21433" y="2945"/>
                <wp:lineTo x="19609" y="982"/>
                <wp:lineTo x="3876" y="0"/>
                <wp:lineTo x="684" y="0"/>
              </wp:wrapPolygon>
            </wp:wrapTight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87" w:rsidRPr="00343868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="00482687" w:rsidRPr="00343868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</w:p>
    <w:p w14:paraId="1007D7D7" w14:textId="3274A40F" w:rsidR="00482687" w:rsidRPr="00343868" w:rsidRDefault="006F179A" w:rsidP="0007115C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34386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國際語言</w:t>
      </w:r>
      <w:r w:rsidR="00A72F73" w:rsidRPr="0034386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與國家語言並重，</w:t>
      </w:r>
      <w:r w:rsidR="00F91574" w:rsidRPr="00343868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營造多語台灣 英語加值</w:t>
      </w:r>
    </w:p>
    <w:p w14:paraId="17F006F5" w14:textId="3ADF47B4" w:rsidR="00482687" w:rsidRPr="00343868" w:rsidRDefault="00482687" w:rsidP="00D229F8">
      <w:pPr>
        <w:spacing w:line="44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</w:t>
      </w:r>
      <w:r w:rsidR="006F60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11</w:t>
      </w:r>
      <w:r w:rsidR="00F91574" w:rsidRPr="0034386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6F60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F91574" w:rsidRPr="0034386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14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6E47B327" w14:textId="660FED7E" w:rsidR="00482687" w:rsidRPr="00343868" w:rsidRDefault="00F7293C" w:rsidP="00D229F8">
      <w:pPr>
        <w:spacing w:line="44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0A02E6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綜合規劃處</w:t>
      </w:r>
    </w:p>
    <w:p w14:paraId="4FB0CA51" w14:textId="79588874" w:rsidR="006E284B" w:rsidRPr="00343868" w:rsidRDefault="006E284B" w:rsidP="00D229F8">
      <w:pPr>
        <w:spacing w:line="44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508BC9B0" w14:textId="2FCCD183" w:rsidR="00B94BF4" w:rsidRPr="00343868" w:rsidRDefault="00793870" w:rsidP="009F33CD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B96BFF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對於外界誤解雙語政策的推動方式，國家發展委員會今（14）日再次說明，</w:t>
      </w:r>
      <w:r w:rsidR="009F33C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政府</w:t>
      </w:r>
      <w:r w:rsidR="008B2D3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推</w:t>
      </w:r>
      <w:r w:rsidR="009F33C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動雙語政策，係為使國人具備通行國際之英語能力</w:t>
      </w:r>
      <w:r w:rsidR="00F56EB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進而提升台灣人才及產業國際競爭力，並不會因此影響母語（國家語言）推動。行政院已於2022年成立「國家語言推動會報」，由行政院院長擔任召集人，並核定「推動國家語言整體發展方案」將於2022年起，5年內投入3百餘億元經費，</w:t>
      </w:r>
      <w:r w:rsidR="009F33C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並無偏重英語或英語優先之情況。各地方政府對於雙語政策之推動亦高度支持。</w:t>
      </w:r>
    </w:p>
    <w:p w14:paraId="5477C745" w14:textId="51FBDAE0" w:rsidR="009F33CD" w:rsidRPr="00343868" w:rsidRDefault="00793870" w:rsidP="00C463BF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937B06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台灣近年因民主自由、防疫表現、產業競爭力</w:t>
      </w:r>
      <w:r w:rsidR="00852C45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等層面表現亮眼，</w:t>
      </w:r>
      <w:r w:rsidR="00937B06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屢屢</w:t>
      </w:r>
      <w:r w:rsidR="00852C45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受到國際矚目，國際供應鏈重組及地緣政治</w:t>
      </w:r>
      <w:r w:rsidR="00C1584F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因素皆強化台灣與國際接軌的能力。</w:t>
      </w:r>
      <w:r w:rsidR="0064251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雙語政策為中央及縣市政府共同推動支持之政策，對於全民英語力提升</w:t>
      </w:r>
      <w:r w:rsidR="00937B06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實有助益，</w:t>
      </w:r>
      <w:r w:rsidR="009F33C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考量雙語政策具有普遍性、持續性、公益性及專業性，將設置行政法人確保長期穩定推動。</w:t>
      </w:r>
    </w:p>
    <w:p w14:paraId="7EE03A0A" w14:textId="3D8872AD" w:rsidR="00E44E8C" w:rsidRPr="00343868" w:rsidRDefault="00793870" w:rsidP="00E44E8C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國發會強調，雙語政策推出後，受到各縣市政府的大力支持，直轄市尤其加碼推動，如台北市於2</w:t>
      </w:r>
      <w:r w:rsidR="00E44E8C" w:rsidRPr="00343868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022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年宣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布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雙語政策白皮書，目標2026年前210間北市國中小全雙語；新北市</w:t>
      </w:r>
      <w:r w:rsidR="00C8190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於2020年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宣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布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「2030新</w:t>
      </w:r>
      <w:proofErr w:type="gramStart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北雙語城</w:t>
      </w:r>
      <w:proofErr w:type="gramEnd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」，目標2030年全市學校皆有雙語課程；桃園市今</w:t>
      </w:r>
      <w:r w:rsidR="00726C5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(2023)</w:t>
      </w:r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年宣布教育政策納入「數位科技、雙語國際」；台中市及台南市成立雙語教育資源中心，提供</w:t>
      </w:r>
      <w:proofErr w:type="gramStart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各校雙語</w:t>
      </w:r>
      <w:proofErr w:type="gramEnd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教育所需資源及教材；台南市宣布2024年預計達到「校</w:t>
      </w:r>
      <w:proofErr w:type="gramStart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校</w:t>
      </w:r>
      <w:proofErr w:type="gramEnd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皆為雙語試行學校」；高雄市宣布推動「校</w:t>
      </w:r>
      <w:proofErr w:type="gramStart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校</w:t>
      </w:r>
      <w:proofErr w:type="gramEnd"/>
      <w:r w:rsidR="00E44E8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有雙語」，且與AIT合作打造「雙語教育培訓基地」。而其他縣市政府，包含基隆市、新竹縣市、苗栗縣、彰化縣、雲林縣、南投縣、嘉義縣市、宜蘭縣、屏東縣等都將雙語教育納入教育政策積極推動。期待中央地方齊合作，推動雙語政策。</w:t>
      </w:r>
      <w:r w:rsidR="006970D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（縣市政府雙語政策整理請見附表）</w:t>
      </w:r>
    </w:p>
    <w:p w14:paraId="03F41E76" w14:textId="77777777" w:rsidR="00E44E8C" w:rsidRPr="00343868" w:rsidRDefault="00E44E8C" w:rsidP="00B300BC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566A87F3" w14:textId="184BB640" w:rsidR="00B33E8F" w:rsidRPr="00343868" w:rsidRDefault="00793870" w:rsidP="00B300BC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CD7C38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有關</w:t>
      </w:r>
      <w:r w:rsidR="00B300B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媒體報導對於雙語政策多所誤解，</w:t>
      </w:r>
      <w:r w:rsidR="004E2F1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國發會</w:t>
      </w:r>
      <w:r w:rsidR="00B300BC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特此說明：</w:t>
      </w:r>
    </w:p>
    <w:p w14:paraId="7199B73B" w14:textId="036B780B" w:rsidR="00F91574" w:rsidRPr="00343868" w:rsidRDefault="00F91574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一、雙語政策「不會」將英語作為國家</w:t>
      </w:r>
      <w:r w:rsidR="00F95613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語言或官方</w:t>
      </w: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語言</w:t>
      </w:r>
    </w:p>
    <w:p w14:paraId="4E5CDB5A" w14:textId="2A29CEAE" w:rsidR="00F91574" w:rsidRPr="00343868" w:rsidRDefault="00793870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政府推動雙語政策，係為提升</w:t>
      </w:r>
      <w:r w:rsidR="00367C78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台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灣競爭力，使國人具備通行國際之英語能力</w:t>
      </w:r>
      <w:r w:rsidR="004A6CBB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、提升台灣人才及產業國際競爭力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</w:t>
      </w:r>
      <w:r w:rsidR="008662E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強化台灣與國際鏈結與交流之能力，</w:t>
      </w:r>
      <w:r w:rsidR="004C4D0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與國家語言</w:t>
      </w:r>
      <w:r w:rsidR="008662E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政策</w:t>
      </w:r>
      <w:r w:rsidR="000755F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為</w:t>
      </w:r>
      <w:r w:rsidR="00D76CF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促進國家語言之傳承、</w:t>
      </w:r>
      <w:proofErr w:type="gramStart"/>
      <w:r w:rsidR="00D76CF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復振及</w:t>
      </w:r>
      <w:proofErr w:type="gramEnd"/>
      <w:r w:rsidR="00D76CF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發展</w:t>
      </w:r>
      <w:r w:rsidR="008662E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之意義</w:t>
      </w:r>
      <w:r w:rsidR="004C4D0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不同</w:t>
      </w:r>
      <w:r w:rsidR="000D2D47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</w:t>
      </w:r>
      <w:r w:rsidR="00D76CFE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更</w:t>
      </w:r>
      <w:r w:rsidR="008662EA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無將英語列為國家語言或是優先語言之意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。</w:t>
      </w:r>
    </w:p>
    <w:p w14:paraId="5B3B2773" w14:textId="0ACA0443" w:rsidR="00F91574" w:rsidRPr="00343868" w:rsidRDefault="00306702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二</w:t>
      </w:r>
      <w:r w:rsidR="00F91574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、學習外語「不」</w:t>
      </w:r>
      <w:r w:rsidR="001E0291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排擠</w:t>
      </w:r>
      <w:r w:rsidR="00F91574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學習母語的資源</w:t>
      </w:r>
    </w:p>
    <w:p w14:paraId="07656004" w14:textId="392B58D7" w:rsidR="00F91574" w:rsidRPr="00343868" w:rsidRDefault="00793870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政府持續推動母語（國家語言），2019年立法院通過《國家語言發展法》，行政院2022年成立「國家語言推動會報」，由行政院院長擔任召集人，並核定「推動國家語言整體發展方案」將於2022年</w:t>
      </w:r>
      <w:r w:rsidR="00F95613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起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5年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內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投入3百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餘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億元經費，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繼續充實台語、客語、原住民族語等語言的師資及學生多元學習的機會，且自111學年度開始，相關國家語言已列入中小學的必修課程；</w:t>
      </w:r>
      <w:proofErr w:type="gramStart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此外，</w:t>
      </w:r>
      <w:proofErr w:type="gramEnd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在學校之外，更要創造生活化的國家語言環境，讓下一代在生活中學習母語，傳承國家語言。</w:t>
      </w:r>
    </w:p>
    <w:p w14:paraId="61DB1EF5" w14:textId="6927ACDF" w:rsidR="00306702" w:rsidRPr="00343868" w:rsidRDefault="00306702" w:rsidP="00306702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三、推動雙語政策「不」影響學生學習其他課程權益</w:t>
      </w:r>
      <w:r w:rsidR="00BB3AE9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及資源</w:t>
      </w:r>
    </w:p>
    <w:p w14:paraId="210B900B" w14:textId="533785FA" w:rsidR="00C6397C" w:rsidRPr="00343868" w:rsidRDefault="00793870" w:rsidP="00C74488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針對高中以下國教，政府並未因推動雙語政策而修改108</w:t>
      </w:r>
      <w:proofErr w:type="gramStart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課綱</w:t>
      </w:r>
      <w:proofErr w:type="gramEnd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，僅在「</w:t>
      </w:r>
      <w:proofErr w:type="gramStart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課綱之外</w:t>
      </w:r>
      <w:proofErr w:type="gramEnd"/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」增加學生學英語的機會，並增加英語的學習助理</w:t>
      </w:r>
      <w:r w:rsidR="00D94CED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協助教學現場，絕非要全面用英語講授課程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。</w:t>
      </w:r>
      <w:r w:rsidR="00BB3AE9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雙語政策經費全數由「前瞻特別預算」支應，額外加碼協助各縣市政府及大專院校推動，並無排擠原有國教或高教預算的情況。</w:t>
      </w:r>
    </w:p>
    <w:p w14:paraId="597C833C" w14:textId="77777777" w:rsidR="00793870" w:rsidRPr="00343868" w:rsidRDefault="00306702" w:rsidP="00793870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四</w:t>
      </w:r>
      <w:r w:rsidR="00F91574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、</w:t>
      </w:r>
      <w:r w:rsidR="00793870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設立雙語法人「不」疊床架屋、具有高度專業性</w:t>
      </w:r>
    </w:p>
    <w:p w14:paraId="18C36892" w14:textId="77777777" w:rsidR="00793870" w:rsidRPr="00343868" w:rsidRDefault="00793870" w:rsidP="00793870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 xml:space="preserve">　　</w:t>
      </w: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目前教育部</w:t>
      </w:r>
      <w:proofErr w:type="gramStart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與各雙語</w:t>
      </w:r>
      <w:proofErr w:type="gramEnd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政策具有普遍性、持續性、公益性及專業性，設置行政法人可長期穩定推動。</w:t>
      </w:r>
    </w:p>
    <w:p w14:paraId="1B8F5F5D" w14:textId="77777777" w:rsidR="00793870" w:rsidRPr="00343868" w:rsidRDefault="00793870" w:rsidP="00793870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proofErr w:type="gramStart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此雙語法</w:t>
      </w:r>
      <w:proofErr w:type="gramEnd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人未來將會有六大任務：協助外籍英語教學助理（ELTA）政策的媒合及調度、雙語教育的教材設計與師資培育、數位雙語教育的資源整合及開發、專業領域英語培力及檢定的設計與推廣、提升公務人員英語力及強化國際交流。</w:t>
      </w:r>
    </w:p>
    <w:p w14:paraId="15B274CC" w14:textId="49A15C5C" w:rsidR="00793870" w:rsidRPr="00343868" w:rsidRDefault="00793870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 xml:space="preserve">　　未來不論是地方政府或機構，可透過機制</w:t>
      </w:r>
      <w:proofErr w:type="gramStart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與此雙語法</w:t>
      </w:r>
      <w:proofErr w:type="gramEnd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人協力合作，共同創造更好的雙語學習環境；而此法人也將會與各界合作，協助提升台灣民眾專業領域英語力。</w:t>
      </w:r>
    </w:p>
    <w:p w14:paraId="0D15828B" w14:textId="74BC5187" w:rsidR="00793870" w:rsidRPr="00343868" w:rsidRDefault="00793870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五、</w:t>
      </w:r>
      <w:r w:rsidR="00BD5530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已規劃</w:t>
      </w:r>
      <w:r w:rsidR="00F91574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多元管道減輕教育現場負擔</w:t>
      </w:r>
    </w:p>
    <w:p w14:paraId="6F4C7DAB" w14:textId="2D2C6360" w:rsidR="00605336" w:rsidRPr="00343868" w:rsidRDefault="00793870" w:rsidP="00F91574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教育部已採取多管齊下的方法來強化師資能量，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包含於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培育本國師資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之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過程強化英語訓練，並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對有意願進修之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現任教師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提供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免費英語培訓課程、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協助</w:t>
      </w:r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減輕雙語教師的行政負擔；針對能量不足之英語教師缺額，</w:t>
      </w:r>
      <w:proofErr w:type="gramStart"/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採</w:t>
      </w:r>
      <w:proofErr w:type="gramEnd"/>
      <w:r w:rsidR="00F91574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招聘國外合格師資以因應，並引進教學助理來協助教學現場的英語培力。</w:t>
      </w:r>
    </w:p>
    <w:p w14:paraId="30FA26B3" w14:textId="52E72EC3" w:rsidR="00306702" w:rsidRPr="00343868" w:rsidRDefault="00793870" w:rsidP="00306702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六</w:t>
      </w:r>
      <w:r w:rsidR="00306702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、加碼推動</w:t>
      </w:r>
      <w:proofErr w:type="gramStart"/>
      <w:r w:rsidR="00306702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弭平偏</w:t>
      </w:r>
      <w:proofErr w:type="gramEnd"/>
      <w:r w:rsidR="00306702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鄉資源落差</w:t>
      </w:r>
    </w:p>
    <w:p w14:paraId="5B15C558" w14:textId="15596E06" w:rsidR="00306702" w:rsidRPr="00343868" w:rsidRDefault="00793870" w:rsidP="00306702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針對偏鄉資源落差，教育部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將</w:t>
      </w:r>
      <w:r w:rsidR="00306702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補助偏遠地區學校購置平板電腦、媒合國內大學生遠距陪伴偏遠地區國小學生學習、穩定偏鄉師資來源與精進教師知能</w:t>
      </w:r>
      <w:r w:rsidR="00BD5530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，進而改善過去因家庭資歷而缺乏英語學習機會之現象，藉由政府推動雙語教育，使資源不足區域獲得更多英語學習資源。</w:t>
      </w:r>
    </w:p>
    <w:p w14:paraId="7F6C0A16" w14:textId="31D8F409" w:rsidR="002C69E4" w:rsidRPr="00343868" w:rsidRDefault="00793870" w:rsidP="00306702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2578D6" w:rsidRPr="002578D6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以前瞻特別預算雙語政策（110年至今）撥給地方政府之經費為例，從每人均獲配預算數排名前十之縣市分</w:t>
      </w:r>
      <w:r w:rsidR="002578D6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布</w:t>
      </w:r>
      <w:r w:rsidR="002578D6" w:rsidRPr="002578D6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，確實有達到扶助資源較少縣市，促進區域均衡之政策目的。</w:t>
      </w:r>
    </w:p>
    <w:tbl>
      <w:tblPr>
        <w:tblW w:w="708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551"/>
        <w:gridCol w:w="1134"/>
        <w:gridCol w:w="2268"/>
      </w:tblGrid>
      <w:tr w:rsidR="00343868" w:rsidRPr="00343868" w14:paraId="1637F00C" w14:textId="513FAABD" w:rsidTr="00E22B75">
        <w:trPr>
          <w:trHeight w:hRule="exact" w:val="454"/>
        </w:trPr>
        <w:tc>
          <w:tcPr>
            <w:tcW w:w="1134" w:type="dxa"/>
          </w:tcPr>
          <w:p w14:paraId="39FA7E0C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2551" w:type="dxa"/>
          </w:tcPr>
          <w:p w14:paraId="59C27198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  <w:t>縣市</w:t>
            </w:r>
          </w:p>
        </w:tc>
        <w:tc>
          <w:tcPr>
            <w:tcW w:w="1134" w:type="dxa"/>
          </w:tcPr>
          <w:p w14:paraId="1285F133" w14:textId="6C3A5446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2268" w:type="dxa"/>
          </w:tcPr>
          <w:p w14:paraId="3782F184" w14:textId="14BFED1B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b/>
                <w:bCs/>
                <w:sz w:val="28"/>
                <w:szCs w:val="28"/>
              </w:rPr>
              <w:t>縣市</w:t>
            </w:r>
          </w:p>
        </w:tc>
      </w:tr>
      <w:tr w:rsidR="00343868" w:rsidRPr="00343868" w14:paraId="6010F437" w14:textId="35783370" w:rsidTr="00E22B75">
        <w:trPr>
          <w:trHeight w:hRule="exact" w:val="454"/>
        </w:trPr>
        <w:tc>
          <w:tcPr>
            <w:tcW w:w="1134" w:type="dxa"/>
          </w:tcPr>
          <w:p w14:paraId="7B00BF31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6B3BBE6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連江縣</w:t>
            </w:r>
          </w:p>
        </w:tc>
        <w:tc>
          <w:tcPr>
            <w:tcW w:w="1134" w:type="dxa"/>
          </w:tcPr>
          <w:p w14:paraId="5F5A2B66" w14:textId="2C32C918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13FCE7C" w14:textId="079D7989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南投縣</w:t>
            </w:r>
          </w:p>
        </w:tc>
      </w:tr>
      <w:tr w:rsidR="00343868" w:rsidRPr="00343868" w14:paraId="3C35601B" w14:textId="27E12A23" w:rsidTr="00E22B75">
        <w:trPr>
          <w:trHeight w:hRule="exact" w:val="454"/>
        </w:trPr>
        <w:tc>
          <w:tcPr>
            <w:tcW w:w="1134" w:type="dxa"/>
          </w:tcPr>
          <w:p w14:paraId="0575D6F3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14C3CA26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澎湖縣</w:t>
            </w:r>
          </w:p>
        </w:tc>
        <w:tc>
          <w:tcPr>
            <w:tcW w:w="1134" w:type="dxa"/>
          </w:tcPr>
          <w:p w14:paraId="041A584F" w14:textId="66F268EE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1BA8F24" w14:textId="15B631C1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嘉義縣</w:t>
            </w:r>
          </w:p>
        </w:tc>
      </w:tr>
      <w:tr w:rsidR="00343868" w:rsidRPr="00343868" w14:paraId="50B8E9CC" w14:textId="6D1213A5" w:rsidTr="00E22B75">
        <w:trPr>
          <w:trHeight w:hRule="exact" w:val="454"/>
        </w:trPr>
        <w:tc>
          <w:tcPr>
            <w:tcW w:w="1134" w:type="dxa"/>
          </w:tcPr>
          <w:p w14:paraId="66B4AEB8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3C9FAA8D" w14:textId="511E7B66" w:rsidR="00E22B75" w:rsidRPr="00343868" w:rsidRDefault="00367C78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台</w:t>
            </w:r>
            <w:r w:rsidR="00E22B75"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東縣</w:t>
            </w:r>
          </w:p>
        </w:tc>
        <w:tc>
          <w:tcPr>
            <w:tcW w:w="1134" w:type="dxa"/>
          </w:tcPr>
          <w:p w14:paraId="69888A4A" w14:textId="470C8C63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62E38A3" w14:textId="0E480815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雲林縣</w:t>
            </w:r>
          </w:p>
        </w:tc>
      </w:tr>
      <w:tr w:rsidR="00343868" w:rsidRPr="00343868" w14:paraId="4005EB8E" w14:textId="263F9371" w:rsidTr="00E22B75">
        <w:trPr>
          <w:trHeight w:hRule="exact" w:val="454"/>
        </w:trPr>
        <w:tc>
          <w:tcPr>
            <w:tcW w:w="1134" w:type="dxa"/>
          </w:tcPr>
          <w:p w14:paraId="60EE064F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2674DE51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花蓮縣</w:t>
            </w:r>
          </w:p>
        </w:tc>
        <w:tc>
          <w:tcPr>
            <w:tcW w:w="1134" w:type="dxa"/>
          </w:tcPr>
          <w:p w14:paraId="700821CD" w14:textId="28C9601A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305A7D1" w14:textId="3936C23C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嘉義市</w:t>
            </w:r>
          </w:p>
        </w:tc>
      </w:tr>
      <w:tr w:rsidR="00343868" w:rsidRPr="00343868" w14:paraId="0D1943BE" w14:textId="0B03B799" w:rsidTr="00E22B75">
        <w:trPr>
          <w:trHeight w:hRule="exact" w:val="454"/>
        </w:trPr>
        <w:tc>
          <w:tcPr>
            <w:tcW w:w="1134" w:type="dxa"/>
          </w:tcPr>
          <w:p w14:paraId="3E2A73D6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7DAABCFE" w14:textId="77777777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金門縣</w:t>
            </w:r>
          </w:p>
        </w:tc>
        <w:tc>
          <w:tcPr>
            <w:tcW w:w="1134" w:type="dxa"/>
          </w:tcPr>
          <w:p w14:paraId="28A724AE" w14:textId="45708052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1</w:t>
            </w:r>
            <w:r w:rsidRPr="00343868">
              <w:rPr>
                <w:rFonts w:ascii="Times New Roman" w:eastAsia="BiauKai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2F36E53E" w14:textId="4213ABBF" w:rsidR="00E22B75" w:rsidRPr="00343868" w:rsidRDefault="00E22B75" w:rsidP="00E22B75">
            <w:pPr>
              <w:spacing w:line="440" w:lineRule="exact"/>
              <w:jc w:val="center"/>
              <w:rPr>
                <w:rFonts w:ascii="Times New Roman" w:eastAsia="BiauKai" w:hAnsi="Times New Roman" w:cs="Times New Roman"/>
                <w:sz w:val="28"/>
                <w:szCs w:val="28"/>
              </w:rPr>
            </w:pPr>
            <w:r w:rsidRPr="00343868">
              <w:rPr>
                <w:rFonts w:ascii="Times New Roman" w:eastAsia="BiauKai" w:hAnsi="Times New Roman" w:cs="Times New Roman"/>
                <w:sz w:val="28"/>
                <w:szCs w:val="28"/>
              </w:rPr>
              <w:t>屏東縣</w:t>
            </w:r>
          </w:p>
        </w:tc>
      </w:tr>
    </w:tbl>
    <w:p w14:paraId="1E6C40B1" w14:textId="4A31C896" w:rsidR="00306702" w:rsidRPr="00343868" w:rsidRDefault="00306702" w:rsidP="002C69E4">
      <w:pPr>
        <w:spacing w:afterLines="50" w:after="180" w:line="440" w:lineRule="exact"/>
        <w:ind w:right="84"/>
        <w:jc w:val="center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表</w:t>
      </w:r>
      <w:proofErr w:type="gramStart"/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︰</w:t>
      </w:r>
      <w:proofErr w:type="gramEnd"/>
      <w:r w:rsidR="002779E0" w:rsidRPr="002779E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各縣市獲得前瞻經費人均排名</w:t>
      </w:r>
    </w:p>
    <w:p w14:paraId="1594CCF8" w14:textId="149F6E37" w:rsidR="00F95613" w:rsidRPr="00343868" w:rsidRDefault="00793870" w:rsidP="00F95613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七</w:t>
      </w:r>
      <w:r w:rsidR="00F95613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、積極導正推動雙語導致各地教</w:t>
      </w:r>
      <w:proofErr w:type="gramStart"/>
      <w:r w:rsidR="00F95613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甄</w:t>
      </w:r>
      <w:proofErr w:type="gramEnd"/>
      <w:r w:rsidR="00F95613" w:rsidRPr="00343868"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偏重英語現象</w:t>
      </w:r>
    </w:p>
    <w:p w14:paraId="0888069C" w14:textId="14160027" w:rsidR="00F95613" w:rsidRPr="00343868" w:rsidRDefault="00793870" w:rsidP="00F95613">
      <w:pPr>
        <w:spacing w:afterLines="50" w:after="180" w:line="440" w:lineRule="exact"/>
        <w:ind w:right="84"/>
        <w:jc w:val="both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　　</w:t>
      </w:r>
      <w:r w:rsidR="00F95613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教育部針對部分學校採取較為激進的方式，已發函各級學校，要求政府政策須有一致性；教育部長也親自多次向各學校進行說明，以</w:t>
      </w:r>
      <w:r w:rsidR="00F95613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抑制</w:t>
      </w:r>
      <w:r w:rsidR="006C7D60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甄</w:t>
      </w:r>
      <w:r w:rsidR="00F95613" w:rsidRPr="0034386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選刻意偏重英語之現象。</w:t>
      </w:r>
    </w:p>
    <w:p w14:paraId="03E090D2" w14:textId="77777777" w:rsidR="00793870" w:rsidRPr="00343868" w:rsidRDefault="00793870" w:rsidP="00C61B81">
      <w:pPr>
        <w:spacing w:line="440" w:lineRule="exact"/>
        <w:rPr>
          <w:rFonts w:ascii="微軟正黑體" w:eastAsia="微軟正黑體" w:hAnsi="微軟正黑體" w:cs="Times New Roman"/>
          <w:b/>
          <w:kern w:val="0"/>
          <w:sz w:val="28"/>
          <w:szCs w:val="28"/>
        </w:rPr>
      </w:pPr>
    </w:p>
    <w:p w14:paraId="25131C6C" w14:textId="4353E0B6" w:rsidR="000A02E6" w:rsidRPr="00343868" w:rsidRDefault="00190FD4" w:rsidP="00C61B81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  <w:r w:rsidRPr="00343868">
        <w:rPr>
          <w:rFonts w:ascii="微軟正黑體" w:eastAsia="微軟正黑體" w:hAnsi="微軟正黑體" w:hint="eastAsia"/>
          <w:bCs/>
          <w:sz w:val="28"/>
          <w:szCs w:val="28"/>
        </w:rPr>
        <w:t>聯絡人：</w:t>
      </w:r>
      <w:r w:rsidR="000A02E6" w:rsidRPr="00343868">
        <w:rPr>
          <w:rFonts w:ascii="微軟正黑體" w:eastAsia="微軟正黑體" w:hAnsi="微軟正黑體" w:hint="eastAsia"/>
          <w:bCs/>
          <w:sz w:val="28"/>
          <w:szCs w:val="28"/>
        </w:rPr>
        <w:t>綜合規劃處張惠娟處長</w:t>
      </w:r>
    </w:p>
    <w:p w14:paraId="43B342C8" w14:textId="120DF8EA" w:rsidR="006F179A" w:rsidRPr="00343868" w:rsidRDefault="000A02E6" w:rsidP="00DD22A2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  <w:r w:rsidRPr="00343868">
        <w:rPr>
          <w:rFonts w:ascii="微軟正黑體" w:eastAsia="微軟正黑體" w:hAnsi="微軟正黑體" w:hint="eastAsia"/>
          <w:bCs/>
          <w:sz w:val="28"/>
          <w:szCs w:val="28"/>
        </w:rPr>
        <w:t>聯絡電話：02-2316-5910</w:t>
      </w:r>
    </w:p>
    <w:p w14:paraId="3D12F237" w14:textId="1AE2ED38" w:rsidR="006F179A" w:rsidRPr="00343868" w:rsidRDefault="006F179A" w:rsidP="00DD22A2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</w:p>
    <w:p w14:paraId="0EB32A87" w14:textId="0A7344D4" w:rsidR="006F179A" w:rsidRPr="00343868" w:rsidRDefault="006F179A" w:rsidP="00DD22A2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</w:p>
    <w:p w14:paraId="2CC89EEC" w14:textId="77777777" w:rsidR="006F179A" w:rsidRPr="00343868" w:rsidRDefault="006F179A" w:rsidP="006F179A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</w:p>
    <w:p w14:paraId="27859063" w14:textId="77777777" w:rsidR="006F179A" w:rsidRPr="00343868" w:rsidRDefault="006F179A" w:rsidP="006F179A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  <w:r w:rsidRPr="00343868">
        <w:rPr>
          <w:rFonts w:ascii="微軟正黑體" w:eastAsia="微軟正黑體" w:hAnsi="微軟正黑體" w:hint="eastAsia"/>
          <w:bCs/>
          <w:sz w:val="28"/>
          <w:szCs w:val="28"/>
        </w:rPr>
        <w:t>附表</w:t>
      </w:r>
      <w:proofErr w:type="gramStart"/>
      <w:r w:rsidRPr="00343868">
        <w:rPr>
          <w:rFonts w:ascii="微軟正黑體" w:eastAsia="微軟正黑體" w:hAnsi="微軟正黑體" w:hint="eastAsia"/>
          <w:bCs/>
          <w:sz w:val="28"/>
          <w:szCs w:val="28"/>
        </w:rPr>
        <w:t>︰</w:t>
      </w:r>
      <w:proofErr w:type="gramEnd"/>
      <w:r w:rsidRPr="00343868">
        <w:rPr>
          <w:rFonts w:ascii="微軟正黑體" w:eastAsia="微軟正黑體" w:hAnsi="微軟正黑體" w:hint="eastAsia"/>
          <w:bCs/>
          <w:sz w:val="28"/>
          <w:szCs w:val="28"/>
        </w:rPr>
        <w:t>各地方政府雙語政策推動情形</w:t>
      </w: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4677"/>
      </w:tblGrid>
      <w:tr w:rsidR="00343868" w:rsidRPr="00343868" w14:paraId="3A62CAA3" w14:textId="77777777" w:rsidTr="00785B5D">
        <w:tc>
          <w:tcPr>
            <w:tcW w:w="1276" w:type="dxa"/>
            <w:shd w:val="clear" w:color="auto" w:fill="EEECE1" w:themeFill="background2"/>
            <w:vAlign w:val="center"/>
          </w:tcPr>
          <w:p w14:paraId="4A00F8D6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縣市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56FF8A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雙語推動學校數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E9603C8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高中雙語實驗班</w:t>
            </w:r>
          </w:p>
        </w:tc>
        <w:tc>
          <w:tcPr>
            <w:tcW w:w="4677" w:type="dxa"/>
            <w:shd w:val="clear" w:color="auto" w:fill="EEECE1" w:themeFill="background2"/>
            <w:vAlign w:val="center"/>
          </w:tcPr>
          <w:p w14:paraId="5C1C07C4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縣市雙語政策</w:t>
            </w:r>
          </w:p>
        </w:tc>
      </w:tr>
      <w:tr w:rsidR="00343868" w:rsidRPr="00343868" w14:paraId="4EADD0B7" w14:textId="77777777" w:rsidTr="00785B5D">
        <w:tc>
          <w:tcPr>
            <w:tcW w:w="1276" w:type="dxa"/>
            <w:vAlign w:val="center"/>
          </w:tcPr>
          <w:p w14:paraId="7B04A049" w14:textId="133287FE" w:rsidR="006F179A" w:rsidRPr="00343868" w:rsidRDefault="00367C78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北市</w:t>
            </w:r>
          </w:p>
        </w:tc>
        <w:tc>
          <w:tcPr>
            <w:tcW w:w="1276" w:type="dxa"/>
            <w:vAlign w:val="center"/>
          </w:tcPr>
          <w:p w14:paraId="7B85FEE3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7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5E9039BB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14:paraId="5E03B118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2022.1.10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柯文哲市長宣布雙語教育白皮書，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2026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年前2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10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間北市國中小全雙語將全部轉型為雙語課程學校</w:t>
            </w:r>
          </w:p>
        </w:tc>
      </w:tr>
      <w:tr w:rsidR="00343868" w:rsidRPr="00343868" w14:paraId="6F1BFDBF" w14:textId="77777777" w:rsidTr="00785B5D">
        <w:tc>
          <w:tcPr>
            <w:tcW w:w="1276" w:type="dxa"/>
            <w:vAlign w:val="center"/>
          </w:tcPr>
          <w:p w14:paraId="7D2CE501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新北市</w:t>
            </w:r>
          </w:p>
        </w:tc>
        <w:tc>
          <w:tcPr>
            <w:tcW w:w="1276" w:type="dxa"/>
            <w:vAlign w:val="center"/>
          </w:tcPr>
          <w:p w14:paraId="3E5A401D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vAlign w:val="center"/>
          </w:tcPr>
          <w:p w14:paraId="275A6FFA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14:paraId="5386A2AF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020.8.21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侯友宜市長宣布打造「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2030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新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北雙語城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」，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2030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年全市學校皆有雙語課程</w:t>
            </w:r>
          </w:p>
        </w:tc>
      </w:tr>
      <w:tr w:rsidR="00343868" w:rsidRPr="00343868" w14:paraId="2BB191BE" w14:textId="77777777" w:rsidTr="00785B5D">
        <w:tc>
          <w:tcPr>
            <w:tcW w:w="1276" w:type="dxa"/>
            <w:vAlign w:val="center"/>
          </w:tcPr>
          <w:p w14:paraId="1FE270FD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桃園市</w:t>
            </w:r>
          </w:p>
        </w:tc>
        <w:tc>
          <w:tcPr>
            <w:tcW w:w="1276" w:type="dxa"/>
            <w:vAlign w:val="center"/>
          </w:tcPr>
          <w:p w14:paraId="4D156344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88DFAE0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14:paraId="09DE2EAE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023.2.23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張善政市長與教育局長劉仲成宣布桃園教育政策方向為「數位科技、雙語國際、創新永續、人文友善」</w:t>
            </w:r>
          </w:p>
        </w:tc>
      </w:tr>
      <w:tr w:rsidR="00343868" w:rsidRPr="00343868" w14:paraId="101D14A8" w14:textId="77777777" w:rsidTr="00785B5D">
        <w:tc>
          <w:tcPr>
            <w:tcW w:w="1276" w:type="dxa"/>
            <w:vAlign w:val="center"/>
          </w:tcPr>
          <w:p w14:paraId="5630F945" w14:textId="198CE038" w:rsidR="006F179A" w:rsidRPr="00343868" w:rsidRDefault="00367C78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中市</w:t>
            </w:r>
          </w:p>
        </w:tc>
        <w:tc>
          <w:tcPr>
            <w:tcW w:w="1276" w:type="dxa"/>
            <w:vAlign w:val="center"/>
          </w:tcPr>
          <w:p w14:paraId="2FD79E5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14:paraId="7DE23403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4677" w:type="dxa"/>
            <w:vAlign w:val="center"/>
          </w:tcPr>
          <w:p w14:paraId="69F25112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年成立「雙語教育資源中心」與「英語教學資源中心」、2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年台中市教育局舉辦雙語教育成果博覽會，宣布台中參與雙語教學學校數及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外師數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全台第一</w:t>
            </w:r>
          </w:p>
        </w:tc>
      </w:tr>
      <w:tr w:rsidR="00343868" w:rsidRPr="00343868" w14:paraId="262C6AF1" w14:textId="77777777" w:rsidTr="00785B5D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AE20D6" w14:textId="442D259C" w:rsidR="006F179A" w:rsidRPr="00343868" w:rsidRDefault="00367C78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南市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2E873D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06EC4E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51A42834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021.10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黃偉哲市長宣布台南率先成立「雙語暨英語教育資源中心」及「雙語輔導團」（協助各校開發課程包）</w:t>
            </w:r>
          </w:p>
          <w:p w14:paraId="21A731C1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022.11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宣布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預計2024年達到200多所中小學「校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校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皆為雙語試行學校」目標</w:t>
            </w:r>
          </w:p>
        </w:tc>
      </w:tr>
      <w:tr w:rsidR="00343868" w:rsidRPr="00343868" w14:paraId="4113A0DB" w14:textId="77777777" w:rsidTr="00785B5D"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110F7160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高雄市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14:paraId="187D30D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vAlign w:val="center"/>
          </w:tcPr>
          <w:p w14:paraId="15C76E1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vAlign w:val="center"/>
          </w:tcPr>
          <w:p w14:paraId="1ED734DC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021.5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陳其邁市長宣布推動「校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校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有雙語」，打造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348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所學校口說環境，並與教育部、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AIT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、中山大學及文藻大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lastRenderedPageBreak/>
              <w:t>學成立「雙語教育培訓基地」，提供全英語教育訓練資源</w:t>
            </w:r>
          </w:p>
        </w:tc>
      </w:tr>
      <w:tr w:rsidR="00343868" w:rsidRPr="00343868" w14:paraId="3C2D83A3" w14:textId="77777777" w:rsidTr="00785B5D"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290ECF98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lastRenderedPageBreak/>
              <w:t>基隆市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14:paraId="383ED27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vAlign w:val="center"/>
          </w:tcPr>
          <w:p w14:paraId="5D1DB7D6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18" w:space="0" w:color="000000"/>
            </w:tcBorders>
            <w:vAlign w:val="center"/>
          </w:tcPr>
          <w:p w14:paraId="58226FF2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林右昌市長宣布推動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「區區有雙語學校」、「校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校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推行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沉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浸式英語教學」，營造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浸潤式雙語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教學環境</w:t>
            </w:r>
          </w:p>
        </w:tc>
      </w:tr>
      <w:tr w:rsidR="00343868" w:rsidRPr="00343868" w14:paraId="00920205" w14:textId="77777777" w:rsidTr="00785B5D">
        <w:tc>
          <w:tcPr>
            <w:tcW w:w="1276" w:type="dxa"/>
            <w:vAlign w:val="center"/>
          </w:tcPr>
          <w:p w14:paraId="391FCD32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新竹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縣市</w:t>
            </w:r>
          </w:p>
        </w:tc>
        <w:tc>
          <w:tcPr>
            <w:tcW w:w="1276" w:type="dxa"/>
            <w:vAlign w:val="center"/>
          </w:tcPr>
          <w:p w14:paraId="140FCDD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 w14:paraId="3D592A78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20BF0441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2022.12高虹安市長與新竹縣市教育界人士交流，雙語教育推展上，將降低師資負擔與教案準備及師資培育，盼協助在地大學與國中小師資配合。</w:t>
            </w:r>
          </w:p>
          <w:p w14:paraId="5B12F01A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022.11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楊文科縣長競選提出「雙語培育邁向國際」，辦理雙語教學師資培力課程、認證及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引進外師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，預計2024年前完成全縣在職教師通過初階認證比率達100％。</w:t>
            </w:r>
          </w:p>
        </w:tc>
      </w:tr>
      <w:tr w:rsidR="00343868" w:rsidRPr="00343868" w14:paraId="354D8B40" w14:textId="77777777" w:rsidTr="00785B5D">
        <w:tc>
          <w:tcPr>
            <w:tcW w:w="1276" w:type="dxa"/>
            <w:vAlign w:val="center"/>
          </w:tcPr>
          <w:p w14:paraId="7C6434DB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苗栗縣</w:t>
            </w:r>
          </w:p>
        </w:tc>
        <w:tc>
          <w:tcPr>
            <w:tcW w:w="1276" w:type="dxa"/>
            <w:vAlign w:val="center"/>
          </w:tcPr>
          <w:p w14:paraId="2B4CBAD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39A94E55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14:paraId="2F2EE680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023.3.13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鍾東錦縣長率團赴新加坡考察雙語教育，並表示要讓苗栗學子從小培養與世界做朋友的能力，從文化、產業等不同層面，營造雙語學習環境，學生在強化英語能力後，能在生活及職場中持續運用，進而走向世界、邁向國際。</w:t>
            </w:r>
          </w:p>
        </w:tc>
      </w:tr>
      <w:tr w:rsidR="00343868" w:rsidRPr="00343868" w14:paraId="09E1C34A" w14:textId="77777777" w:rsidTr="00785B5D">
        <w:tc>
          <w:tcPr>
            <w:tcW w:w="1276" w:type="dxa"/>
            <w:vAlign w:val="center"/>
          </w:tcPr>
          <w:p w14:paraId="7AE3EC6A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彰化縣</w:t>
            </w:r>
          </w:p>
        </w:tc>
        <w:tc>
          <w:tcPr>
            <w:tcW w:w="1276" w:type="dxa"/>
            <w:vAlign w:val="center"/>
          </w:tcPr>
          <w:p w14:paraId="14F19A5E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13BBC55E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258F69FD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022.11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湖北國小成立彰化第一所「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科技暨雙語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教室湖北探索館」。並成立兩間英語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AI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智慧學習中心，舉辦英語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AI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智慧冬令營活動</w:t>
            </w:r>
          </w:p>
        </w:tc>
      </w:tr>
      <w:tr w:rsidR="00343868" w:rsidRPr="00343868" w14:paraId="7532C188" w14:textId="77777777" w:rsidTr="00785B5D">
        <w:tc>
          <w:tcPr>
            <w:tcW w:w="1276" w:type="dxa"/>
            <w:vAlign w:val="center"/>
          </w:tcPr>
          <w:p w14:paraId="350DA016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南投縣</w:t>
            </w:r>
          </w:p>
        </w:tc>
        <w:tc>
          <w:tcPr>
            <w:tcW w:w="1276" w:type="dxa"/>
            <w:vAlign w:val="center"/>
          </w:tcPr>
          <w:p w14:paraId="66C33A4A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6AA021F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1C43EEF4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許淑華縣長2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023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年新春團拜表示，上任前提出「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領投發展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」、「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全齡宜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居」、「創新永續」3大主軸政見，內含10大施政重點，無論是垃圾去化、交通建設、農業發展及雙語教育等措施，她與縣府團隊都會加緊腳步落實推動。</w:t>
            </w:r>
          </w:p>
        </w:tc>
      </w:tr>
      <w:tr w:rsidR="00343868" w:rsidRPr="00343868" w14:paraId="3F3C7AB8" w14:textId="77777777" w:rsidTr="00785B5D">
        <w:tc>
          <w:tcPr>
            <w:tcW w:w="1276" w:type="dxa"/>
            <w:vAlign w:val="center"/>
          </w:tcPr>
          <w:p w14:paraId="373775C5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雲林縣</w:t>
            </w:r>
          </w:p>
        </w:tc>
        <w:tc>
          <w:tcPr>
            <w:tcW w:w="1276" w:type="dxa"/>
            <w:vAlign w:val="center"/>
          </w:tcPr>
          <w:p w14:paraId="65ADC7AD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56D23221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58DA069C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022.10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張麗善縣長宣布競選「十大教育願景」政見，要推動雙語教學，培養國際競爭力</w:t>
            </w:r>
          </w:p>
        </w:tc>
      </w:tr>
      <w:tr w:rsidR="00343868" w:rsidRPr="00343868" w14:paraId="4A246C8C" w14:textId="77777777" w:rsidTr="00785B5D">
        <w:tc>
          <w:tcPr>
            <w:tcW w:w="1276" w:type="dxa"/>
            <w:vAlign w:val="center"/>
          </w:tcPr>
          <w:p w14:paraId="0E3CBBD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嘉義市</w:t>
            </w:r>
          </w:p>
        </w:tc>
        <w:tc>
          <w:tcPr>
            <w:tcW w:w="1276" w:type="dxa"/>
            <w:vAlign w:val="center"/>
          </w:tcPr>
          <w:p w14:paraId="4AFED629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2D6ABF6F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733EC54F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2021.11黃敏惠市長宣布110年是嘉義市雙語教育元年，並舉辦「全市英語日」活動。</w:t>
            </w:r>
          </w:p>
        </w:tc>
      </w:tr>
      <w:tr w:rsidR="00343868" w:rsidRPr="00343868" w14:paraId="12C4D595" w14:textId="77777777" w:rsidTr="00785B5D">
        <w:tc>
          <w:tcPr>
            <w:tcW w:w="1276" w:type="dxa"/>
            <w:vAlign w:val="center"/>
          </w:tcPr>
          <w:p w14:paraId="726512A5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lastRenderedPageBreak/>
              <w:t>嘉義縣</w:t>
            </w:r>
          </w:p>
        </w:tc>
        <w:tc>
          <w:tcPr>
            <w:tcW w:w="1276" w:type="dxa"/>
            <w:vAlign w:val="center"/>
          </w:tcPr>
          <w:p w14:paraId="2A89315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1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6C369192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047B8C5F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2021.09縣府與傅爾布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萊特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學術交流基金會合作，引進8名美籍英語協同教學助理，讓各國中都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有外師資源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。</w:t>
            </w:r>
          </w:p>
        </w:tc>
      </w:tr>
      <w:tr w:rsidR="00343868" w:rsidRPr="00343868" w14:paraId="079997BA" w14:textId="77777777" w:rsidTr="00785B5D">
        <w:tc>
          <w:tcPr>
            <w:tcW w:w="1276" w:type="dxa"/>
            <w:vAlign w:val="center"/>
          </w:tcPr>
          <w:p w14:paraId="24426A08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屏東縣</w:t>
            </w:r>
          </w:p>
        </w:tc>
        <w:tc>
          <w:tcPr>
            <w:tcW w:w="1276" w:type="dxa"/>
            <w:vAlign w:val="center"/>
          </w:tcPr>
          <w:p w14:paraId="22EA7186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8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1711F980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279D527B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020.11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潘孟安縣長宣布選定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48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所示範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學校外師巡迴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教學，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2021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年達到全線國中小有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英語外師教學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目標。</w:t>
            </w:r>
          </w:p>
          <w:p w14:paraId="59720E40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成立屏東縣國際教育暨英語教學資源中心</w:t>
            </w:r>
          </w:p>
        </w:tc>
      </w:tr>
      <w:tr w:rsidR="00343868" w:rsidRPr="00343868" w14:paraId="1702EE88" w14:textId="77777777" w:rsidTr="00785B5D">
        <w:tc>
          <w:tcPr>
            <w:tcW w:w="1276" w:type="dxa"/>
            <w:vAlign w:val="center"/>
          </w:tcPr>
          <w:p w14:paraId="2A5E7252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宜蘭縣</w:t>
            </w:r>
          </w:p>
        </w:tc>
        <w:tc>
          <w:tcPr>
            <w:tcW w:w="1276" w:type="dxa"/>
            <w:vAlign w:val="center"/>
          </w:tcPr>
          <w:p w14:paraId="04546CAA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35D96410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6FE09D64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雙語教育列為宜蘭縣重要教育政策之一，縣內推出雙語教育學校星級認證，肯定學校營造雙語情境的努力。</w:t>
            </w:r>
          </w:p>
        </w:tc>
      </w:tr>
      <w:tr w:rsidR="00343868" w:rsidRPr="00343868" w14:paraId="5B05B7A2" w14:textId="77777777" w:rsidTr="00785B5D">
        <w:tc>
          <w:tcPr>
            <w:tcW w:w="1276" w:type="dxa"/>
            <w:vAlign w:val="center"/>
          </w:tcPr>
          <w:p w14:paraId="66858BC7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花蓮縣</w:t>
            </w:r>
          </w:p>
        </w:tc>
        <w:tc>
          <w:tcPr>
            <w:tcW w:w="1276" w:type="dxa"/>
            <w:vAlign w:val="center"/>
          </w:tcPr>
          <w:p w14:paraId="2C505039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0226902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63234472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花蓮縣以2030年為目標，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逐年逐校提升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雙語比例，且每年編列400萬元補助40校，開設低年級口說英語課程。</w:t>
            </w:r>
          </w:p>
        </w:tc>
      </w:tr>
      <w:tr w:rsidR="00343868" w:rsidRPr="00343868" w14:paraId="294CEABC" w14:textId="77777777" w:rsidTr="00785B5D">
        <w:tc>
          <w:tcPr>
            <w:tcW w:w="1276" w:type="dxa"/>
            <w:vAlign w:val="center"/>
          </w:tcPr>
          <w:p w14:paraId="0562A31D" w14:textId="4BEE11B0" w:rsidR="006F179A" w:rsidRPr="00343868" w:rsidRDefault="00367C78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東縣</w:t>
            </w:r>
          </w:p>
        </w:tc>
        <w:tc>
          <w:tcPr>
            <w:tcW w:w="1276" w:type="dxa"/>
            <w:vAlign w:val="center"/>
          </w:tcPr>
          <w:p w14:paraId="34183A2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07C6B06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14:paraId="60229221" w14:textId="774F6F04" w:rsidR="006F179A" w:rsidRPr="00343868" w:rsidRDefault="00367C78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東縣推動建置英語情境教室巡迴車及融入生活化</w:t>
            </w:r>
            <w:proofErr w:type="gramStart"/>
            <w:r w:rsidR="006F179A"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英語混齡教學</w:t>
            </w:r>
            <w:proofErr w:type="gramEnd"/>
            <w:r w:rsidR="006F179A"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課程，盼讓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台</w:t>
            </w:r>
            <w:r w:rsidR="006F179A"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東縣成為雙語城市。</w:t>
            </w:r>
          </w:p>
        </w:tc>
      </w:tr>
      <w:tr w:rsidR="00343868" w:rsidRPr="00343868" w14:paraId="18108552" w14:textId="77777777" w:rsidTr="00785B5D">
        <w:tc>
          <w:tcPr>
            <w:tcW w:w="1276" w:type="dxa"/>
            <w:vAlign w:val="center"/>
          </w:tcPr>
          <w:p w14:paraId="06D5F39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澎湖縣</w:t>
            </w:r>
          </w:p>
        </w:tc>
        <w:tc>
          <w:tcPr>
            <w:tcW w:w="1276" w:type="dxa"/>
            <w:vAlign w:val="center"/>
          </w:tcPr>
          <w:p w14:paraId="58EF5BD2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1A2714F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14:paraId="7FE1E4B9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2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022.3澎湖致力於發展成為國際島嶼、海上明珠，英語會話能力相當重要，近2年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澎湖外師人數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成長近4倍，獲教育部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補助外師人數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全國最多，並成立10所雙語學校，澎湖連續3年國中英語會考成績逐年提升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，並與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AIT/</w:t>
            </w:r>
            <w:r w:rsidRPr="00343868">
              <w:rPr>
                <w:rFonts w:ascii="微軟正黑體" w:eastAsia="微軟正黑體" w:hAnsi="微軟正黑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Fulbright 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合作</w:t>
            </w: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。</w:t>
            </w:r>
          </w:p>
        </w:tc>
      </w:tr>
      <w:tr w:rsidR="00343868" w:rsidRPr="00343868" w14:paraId="0E65788F" w14:textId="77777777" w:rsidTr="00785B5D">
        <w:tc>
          <w:tcPr>
            <w:tcW w:w="1276" w:type="dxa"/>
            <w:vAlign w:val="center"/>
          </w:tcPr>
          <w:p w14:paraId="4CD754DC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金門縣</w:t>
            </w:r>
          </w:p>
        </w:tc>
        <w:tc>
          <w:tcPr>
            <w:tcW w:w="1276" w:type="dxa"/>
            <w:vAlign w:val="center"/>
          </w:tcPr>
          <w:p w14:paraId="7BDF4CFE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40999AA5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14:paraId="5FCE74D8" w14:textId="77777777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於110年與托福（TOEFL Primary）台灣區總代理公司簽約，替縣內全國小5年級學生施測托福，建立英語學習成就資料庫，為全國</w:t>
            </w:r>
            <w:proofErr w:type="gramStart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首例全縣市</w:t>
            </w:r>
            <w:proofErr w:type="gramEnd"/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學生均參加托福檢測的縣市。</w:t>
            </w:r>
          </w:p>
        </w:tc>
      </w:tr>
      <w:tr w:rsidR="00343868" w:rsidRPr="00343868" w14:paraId="0C46F5DF" w14:textId="77777777" w:rsidTr="00785B5D">
        <w:tc>
          <w:tcPr>
            <w:tcW w:w="1276" w:type="dxa"/>
            <w:vAlign w:val="center"/>
          </w:tcPr>
          <w:p w14:paraId="65CEC39D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/>
                <w:sz w:val="28"/>
                <w:szCs w:val="28"/>
              </w:rPr>
              <w:t>連江縣</w:t>
            </w:r>
          </w:p>
        </w:tc>
        <w:tc>
          <w:tcPr>
            <w:tcW w:w="1276" w:type="dxa"/>
            <w:vAlign w:val="center"/>
          </w:tcPr>
          <w:p w14:paraId="48334AAE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72C4DD95" w14:textId="77777777" w:rsidR="006F179A" w:rsidRPr="00343868" w:rsidRDefault="006F179A" w:rsidP="00785B5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4677" w:type="dxa"/>
            <w:vAlign w:val="center"/>
          </w:tcPr>
          <w:p w14:paraId="05759E4F" w14:textId="01592044" w:rsidR="006F179A" w:rsidRPr="00343868" w:rsidRDefault="006F179A" w:rsidP="00785B5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辦理走出馬祖-推動與</w:t>
            </w:r>
            <w:r w:rsidR="00367C78"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台</w:t>
            </w:r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灣教學交流計畫，全縣五年級學生於每年 7月，至新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北市英速魔法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學院，進行為期</w:t>
            </w:r>
            <w:proofErr w:type="gramStart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一週</w:t>
            </w:r>
            <w:proofErr w:type="gramEnd"/>
            <w:r w:rsidRPr="00343868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的全美語學習。</w:t>
            </w:r>
          </w:p>
        </w:tc>
      </w:tr>
    </w:tbl>
    <w:p w14:paraId="03242CF2" w14:textId="77777777" w:rsidR="006F179A" w:rsidRPr="00343868" w:rsidRDefault="006F179A" w:rsidP="00DD22A2">
      <w:pPr>
        <w:spacing w:line="440" w:lineRule="exact"/>
        <w:rPr>
          <w:rFonts w:ascii="微軟正黑體" w:eastAsia="微軟正黑體" w:hAnsi="微軟正黑體"/>
          <w:bCs/>
          <w:sz w:val="28"/>
          <w:szCs w:val="28"/>
        </w:rPr>
      </w:pPr>
    </w:p>
    <w:sectPr w:rsidR="006F179A" w:rsidRPr="00343868" w:rsidSect="00F67ACC">
      <w:footerReference w:type="default" r:id="rId9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E4F2" w14:textId="77777777" w:rsidR="00103A4B" w:rsidRDefault="00103A4B" w:rsidP="00E6249C">
      <w:r>
        <w:separator/>
      </w:r>
    </w:p>
  </w:endnote>
  <w:endnote w:type="continuationSeparator" w:id="0">
    <w:p w14:paraId="5E1B19EE" w14:textId="77777777" w:rsidR="00103A4B" w:rsidRDefault="00103A4B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655812"/>
      <w:docPartObj>
        <w:docPartGallery w:val="Page Numbers (Bottom of Page)"/>
        <w:docPartUnique/>
      </w:docPartObj>
    </w:sdtPr>
    <w:sdtEndPr/>
    <w:sdtContent>
      <w:p w14:paraId="01018973" w14:textId="54562FD3" w:rsidR="00793870" w:rsidRDefault="00793870" w:rsidP="007938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5073" w14:textId="77777777" w:rsidR="00103A4B" w:rsidRDefault="00103A4B" w:rsidP="00E6249C">
      <w:r>
        <w:separator/>
      </w:r>
    </w:p>
  </w:footnote>
  <w:footnote w:type="continuationSeparator" w:id="0">
    <w:p w14:paraId="4ACE6FBE" w14:textId="77777777" w:rsidR="00103A4B" w:rsidRDefault="00103A4B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DF2"/>
    <w:multiLevelType w:val="hybridMultilevel"/>
    <w:tmpl w:val="F66C21EE"/>
    <w:lvl w:ilvl="0" w:tplc="EBDE2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362E47"/>
    <w:multiLevelType w:val="hybridMultilevel"/>
    <w:tmpl w:val="23D650F8"/>
    <w:lvl w:ilvl="0" w:tplc="B4FA89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33395C"/>
    <w:multiLevelType w:val="hybridMultilevel"/>
    <w:tmpl w:val="B1E8919A"/>
    <w:lvl w:ilvl="0" w:tplc="E6FCD5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2311A"/>
    <w:rsid w:val="00025F40"/>
    <w:rsid w:val="00067E09"/>
    <w:rsid w:val="0007115C"/>
    <w:rsid w:val="000755FA"/>
    <w:rsid w:val="000A02E6"/>
    <w:rsid w:val="000A1998"/>
    <w:rsid w:val="000A2782"/>
    <w:rsid w:val="000D2D47"/>
    <w:rsid w:val="000D5AFF"/>
    <w:rsid w:val="00103A4B"/>
    <w:rsid w:val="00141BB3"/>
    <w:rsid w:val="00160778"/>
    <w:rsid w:val="00190FD4"/>
    <w:rsid w:val="001948F8"/>
    <w:rsid w:val="001B4BA3"/>
    <w:rsid w:val="001D4F1F"/>
    <w:rsid w:val="001E0291"/>
    <w:rsid w:val="002219BA"/>
    <w:rsid w:val="00241D3E"/>
    <w:rsid w:val="00250B42"/>
    <w:rsid w:val="002578D6"/>
    <w:rsid w:val="0027060E"/>
    <w:rsid w:val="00274463"/>
    <w:rsid w:val="00275B00"/>
    <w:rsid w:val="002779E0"/>
    <w:rsid w:val="00281E6C"/>
    <w:rsid w:val="002C69E4"/>
    <w:rsid w:val="00306702"/>
    <w:rsid w:val="00307FCE"/>
    <w:rsid w:val="00343868"/>
    <w:rsid w:val="003576C7"/>
    <w:rsid w:val="00367C78"/>
    <w:rsid w:val="0039073B"/>
    <w:rsid w:val="00392F82"/>
    <w:rsid w:val="003A4483"/>
    <w:rsid w:val="003D4AD7"/>
    <w:rsid w:val="003E1F23"/>
    <w:rsid w:val="003F425C"/>
    <w:rsid w:val="0040335A"/>
    <w:rsid w:val="0041426D"/>
    <w:rsid w:val="0042436B"/>
    <w:rsid w:val="004456EB"/>
    <w:rsid w:val="00482687"/>
    <w:rsid w:val="004A6CBB"/>
    <w:rsid w:val="004A74A4"/>
    <w:rsid w:val="004A7A2A"/>
    <w:rsid w:val="004C4D0D"/>
    <w:rsid w:val="004E2F14"/>
    <w:rsid w:val="005077C4"/>
    <w:rsid w:val="00517386"/>
    <w:rsid w:val="005521BE"/>
    <w:rsid w:val="005538FA"/>
    <w:rsid w:val="00554D51"/>
    <w:rsid w:val="005913D6"/>
    <w:rsid w:val="00595838"/>
    <w:rsid w:val="005F618E"/>
    <w:rsid w:val="00605336"/>
    <w:rsid w:val="00626FE6"/>
    <w:rsid w:val="0064251E"/>
    <w:rsid w:val="00657217"/>
    <w:rsid w:val="0067539B"/>
    <w:rsid w:val="00680CF8"/>
    <w:rsid w:val="006970DA"/>
    <w:rsid w:val="006A0B3E"/>
    <w:rsid w:val="006B01D4"/>
    <w:rsid w:val="006C1079"/>
    <w:rsid w:val="006C7D60"/>
    <w:rsid w:val="006E284B"/>
    <w:rsid w:val="006E4645"/>
    <w:rsid w:val="006F179A"/>
    <w:rsid w:val="006F608C"/>
    <w:rsid w:val="00704A45"/>
    <w:rsid w:val="0071059D"/>
    <w:rsid w:val="00712FF0"/>
    <w:rsid w:val="00726C5E"/>
    <w:rsid w:val="00793870"/>
    <w:rsid w:val="007A72EA"/>
    <w:rsid w:val="008060F7"/>
    <w:rsid w:val="00810A20"/>
    <w:rsid w:val="008321AB"/>
    <w:rsid w:val="00852C45"/>
    <w:rsid w:val="0085569A"/>
    <w:rsid w:val="00860852"/>
    <w:rsid w:val="008662EA"/>
    <w:rsid w:val="00876AF9"/>
    <w:rsid w:val="008B2D3F"/>
    <w:rsid w:val="008F213C"/>
    <w:rsid w:val="0093769E"/>
    <w:rsid w:val="00937B06"/>
    <w:rsid w:val="009A690A"/>
    <w:rsid w:val="009D45AB"/>
    <w:rsid w:val="009D62E3"/>
    <w:rsid w:val="009E7F62"/>
    <w:rsid w:val="009F33CD"/>
    <w:rsid w:val="009F648B"/>
    <w:rsid w:val="00A01926"/>
    <w:rsid w:val="00A221A4"/>
    <w:rsid w:val="00A23A99"/>
    <w:rsid w:val="00A42605"/>
    <w:rsid w:val="00A72F73"/>
    <w:rsid w:val="00A87C8A"/>
    <w:rsid w:val="00AA0B92"/>
    <w:rsid w:val="00AE1576"/>
    <w:rsid w:val="00B207BA"/>
    <w:rsid w:val="00B2632B"/>
    <w:rsid w:val="00B300BC"/>
    <w:rsid w:val="00B33E8F"/>
    <w:rsid w:val="00B34784"/>
    <w:rsid w:val="00B751DD"/>
    <w:rsid w:val="00B94BF4"/>
    <w:rsid w:val="00B94C60"/>
    <w:rsid w:val="00B96BFF"/>
    <w:rsid w:val="00BA1E5B"/>
    <w:rsid w:val="00BA6313"/>
    <w:rsid w:val="00BB3AE9"/>
    <w:rsid w:val="00BB716A"/>
    <w:rsid w:val="00BD5530"/>
    <w:rsid w:val="00BE18E1"/>
    <w:rsid w:val="00C1584F"/>
    <w:rsid w:val="00C2082F"/>
    <w:rsid w:val="00C463BF"/>
    <w:rsid w:val="00C61B81"/>
    <w:rsid w:val="00C6397C"/>
    <w:rsid w:val="00C74488"/>
    <w:rsid w:val="00C81902"/>
    <w:rsid w:val="00C96688"/>
    <w:rsid w:val="00CA4A30"/>
    <w:rsid w:val="00CC5ED5"/>
    <w:rsid w:val="00CD5C4A"/>
    <w:rsid w:val="00CD7C38"/>
    <w:rsid w:val="00D177B9"/>
    <w:rsid w:val="00D21D18"/>
    <w:rsid w:val="00D229F8"/>
    <w:rsid w:val="00D22AB2"/>
    <w:rsid w:val="00D76CFE"/>
    <w:rsid w:val="00D94CED"/>
    <w:rsid w:val="00DA594D"/>
    <w:rsid w:val="00DB524B"/>
    <w:rsid w:val="00DD22A2"/>
    <w:rsid w:val="00DE4779"/>
    <w:rsid w:val="00E17439"/>
    <w:rsid w:val="00E22B75"/>
    <w:rsid w:val="00E44E8C"/>
    <w:rsid w:val="00E6249C"/>
    <w:rsid w:val="00E91D8C"/>
    <w:rsid w:val="00E95205"/>
    <w:rsid w:val="00EE0CF3"/>
    <w:rsid w:val="00EF6D79"/>
    <w:rsid w:val="00EF7427"/>
    <w:rsid w:val="00F10F5D"/>
    <w:rsid w:val="00F56EB2"/>
    <w:rsid w:val="00F67ACC"/>
    <w:rsid w:val="00F7293C"/>
    <w:rsid w:val="00F82D39"/>
    <w:rsid w:val="00F91574"/>
    <w:rsid w:val="00F95613"/>
    <w:rsid w:val="00FA4946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98061"/>
  <w15:docId w15:val="{993B6D7B-D990-456C-A985-3314158A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表,標準,List Paragraph,表名,第三階"/>
    <w:basedOn w:val="a"/>
    <w:link w:val="a4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249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249C"/>
    <w:rPr>
      <w:sz w:val="20"/>
      <w:szCs w:val="20"/>
    </w:rPr>
  </w:style>
  <w:style w:type="character" w:customStyle="1" w:styleId="a4">
    <w:name w:val="清單段落 字元"/>
    <w:aliases w:val="圖表 字元,標準 字元,List Paragraph 字元,表名 字元,第三階 字元"/>
    <w:basedOn w:val="a0"/>
    <w:link w:val="a3"/>
    <w:uiPriority w:val="34"/>
    <w:rsid w:val="003576C7"/>
  </w:style>
  <w:style w:type="paragraph" w:customStyle="1" w:styleId="k00t26">
    <w:name w:val="k00t26"/>
    <w:basedOn w:val="a"/>
    <w:uiPriority w:val="99"/>
    <w:rsid w:val="003576C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paragraph" w:styleId="ac">
    <w:name w:val="Revision"/>
    <w:hidden/>
    <w:uiPriority w:val="99"/>
    <w:semiHidden/>
    <w:rsid w:val="00DA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C69191-EF40-9746-B8A7-D6B56725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王濟蕙</dc:creator>
  <cp:lastModifiedBy>黃于珊</cp:lastModifiedBy>
  <cp:revision>2</cp:revision>
  <cp:lastPrinted>2023-03-15T00:07:00Z</cp:lastPrinted>
  <dcterms:created xsi:type="dcterms:W3CDTF">2023-03-15T00:09:00Z</dcterms:created>
  <dcterms:modified xsi:type="dcterms:W3CDTF">2023-03-15T00:09:00Z</dcterms:modified>
</cp:coreProperties>
</file>