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01D5" w14:textId="77777777" w:rsidR="004547B8" w:rsidRPr="007C1E51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r w:rsidRPr="007C1E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288EB6" wp14:editId="24F7DA86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1F72" w14:textId="77777777" w:rsidR="004547B8" w:rsidRPr="007C1E51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C1E51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7C1E5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7C1E51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14:paraId="6F2E4043" w14:textId="77777777" w:rsidR="004547B8" w:rsidRPr="007C1E51" w:rsidRDefault="004547B8" w:rsidP="004547B8">
      <w:pPr>
        <w:spacing w:line="28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7CD3E187" w14:textId="18A8D0AD" w:rsidR="0031648F" w:rsidRPr="007C1E51" w:rsidRDefault="00671867" w:rsidP="00153E51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捷運需妥善</w:t>
      </w:r>
      <w:r w:rsidR="002B25B1">
        <w:rPr>
          <w:rFonts w:ascii="Times New Roman" w:eastAsia="標楷體" w:hAnsi="Times New Roman" w:cs="Times New Roman" w:hint="eastAsia"/>
          <w:b/>
          <w:sz w:val="36"/>
          <w:szCs w:val="36"/>
        </w:rPr>
        <w:t>工程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及財務規劃</w:t>
      </w:r>
      <w:r w:rsidR="00A46C58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="00A46C58">
        <w:rPr>
          <w:rFonts w:ascii="Times New Roman" w:eastAsia="標楷體" w:hAnsi="Times New Roman" w:cs="Times New Roman" w:hint="eastAsia"/>
          <w:b/>
          <w:sz w:val="36"/>
          <w:szCs w:val="36"/>
        </w:rPr>
        <w:t>始能</w:t>
      </w:r>
      <w:r w:rsidR="00AD2559">
        <w:rPr>
          <w:rFonts w:ascii="Times New Roman" w:eastAsia="標楷體" w:hAnsi="Times New Roman" w:cs="Times New Roman" w:hint="eastAsia"/>
          <w:b/>
          <w:sz w:val="36"/>
          <w:szCs w:val="36"/>
        </w:rPr>
        <w:t>確保建設如期如質</w:t>
      </w:r>
      <w:r w:rsidR="00A46C58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="00AD2559">
        <w:rPr>
          <w:rFonts w:ascii="標楷體" w:eastAsia="標楷體" w:hAnsi="標楷體" w:cs="Times New Roman" w:hint="eastAsia"/>
          <w:b/>
          <w:sz w:val="36"/>
          <w:szCs w:val="36"/>
        </w:rPr>
        <w:t>國發會將秉持專業 中央攜手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地方協力推動</w:t>
      </w:r>
    </w:p>
    <w:p w14:paraId="0347B102" w14:textId="77777777" w:rsidR="00C81701" w:rsidRPr="007C1E51" w:rsidRDefault="00C81701" w:rsidP="004547B8">
      <w:pPr>
        <w:spacing w:line="480" w:lineRule="exact"/>
        <w:jc w:val="center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</w:p>
    <w:p w14:paraId="79AB74A8" w14:textId="5376C764" w:rsidR="001A21D5" w:rsidRPr="007C1E51" w:rsidRDefault="00AC4CEA" w:rsidP="000C68BB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發布日期：</w:t>
      </w:r>
      <w:r w:rsidR="00856C8C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112</w:t>
      </w: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</w:t>
      </w:r>
      <w:r w:rsidR="00787C17">
        <w:rPr>
          <w:rFonts w:ascii="Times New Roman" w:eastAsia="標楷體" w:hAnsi="Times New Roman" w:cs="Times New Roman"/>
          <w:bCs/>
          <w:kern w:val="0"/>
          <w:sz w:val="32"/>
          <w:szCs w:val="32"/>
        </w:rPr>
        <w:t>3</w:t>
      </w: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月</w:t>
      </w:r>
      <w:r w:rsidR="00787C17">
        <w:rPr>
          <w:rFonts w:ascii="Times New Roman" w:eastAsia="標楷體" w:hAnsi="Times New Roman" w:cs="Times New Roman"/>
          <w:bCs/>
          <w:kern w:val="0"/>
          <w:sz w:val="32"/>
          <w:szCs w:val="32"/>
        </w:rPr>
        <w:t>30</w:t>
      </w:r>
      <w:r w:rsidR="001A21D5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日</w:t>
      </w:r>
    </w:p>
    <w:p w14:paraId="41A738A8" w14:textId="2F61637B" w:rsidR="00D5656A" w:rsidRPr="007C1E51" w:rsidRDefault="00D5656A" w:rsidP="000C68BB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發布單位：</w:t>
      </w:r>
      <w:r w:rsidR="00A90DA9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國土區域離島發展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處</w:t>
      </w:r>
    </w:p>
    <w:p w14:paraId="6E1711A1" w14:textId="1C1DEC25" w:rsidR="00F750A2" w:rsidRDefault="00F750A2" w:rsidP="00F750A2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針對</w:t>
      </w:r>
      <w:r w:rsidR="00787C1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新北市侯友宜市長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r w:rsidR="000B5364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30)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於行政院</w:t>
      </w:r>
      <w:r w:rsidR="00B73DF4" w:rsidRPr="005F7B8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會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後表達</w:t>
      </w:r>
      <w:r w:rsidR="002B25B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企盼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中央加速</w:t>
      </w:r>
      <w:r w:rsidR="00787C17" w:rsidRPr="00787C1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軌道</w:t>
      </w:r>
      <w:r w:rsidR="00787C17" w:rsidRPr="00787C1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建設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之核定作業</w:t>
      </w:r>
      <w:r w:rsidR="002C1D49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</w:t>
      </w:r>
      <w:r w:rsidR="007A0CDC" w:rsidRPr="0027453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表示</w:t>
      </w:r>
      <w:r w:rsidR="00966D03" w:rsidRPr="00787C1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軌道</w:t>
      </w:r>
      <w:r w:rsidR="00966D03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建設</w:t>
      </w:r>
      <w:r w:rsidR="0073696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係</w:t>
      </w:r>
      <w:bookmarkStart w:id="0" w:name="_GoBack"/>
      <w:bookmarkEnd w:id="0"/>
      <w:proofErr w:type="gramStart"/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攸</w:t>
      </w:r>
      <w:proofErr w:type="gramEnd"/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關都市交通</w:t>
      </w:r>
      <w:r w:rsidR="0085099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運輸</w:t>
      </w:r>
      <w:r w:rsidR="00966D03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與產業發展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之重大建設</w:t>
      </w:r>
      <w:r w:rsidR="001A4AB7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且建設經費動輒高達新台幣上百億元，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故</w:t>
      </w:r>
      <w:r w:rsidR="00B73DF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均須</w:t>
      </w:r>
      <w:r w:rsidR="001A4AB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經過</w:t>
      </w:r>
      <w:proofErr w:type="gramEnd"/>
      <w:r w:rsidR="001A4AB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可行性研究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及綜合規劃研究</w:t>
      </w:r>
      <w:r w:rsidR="000B5364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D16F6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確</w:t>
      </w:r>
      <w:r w:rsidR="00D16F6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保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其財務</w:t>
      </w:r>
      <w:r w:rsidR="000B5364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、</w:t>
      </w:r>
      <w:r w:rsidR="000B536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自償</w:t>
      </w:r>
      <w:r w:rsidR="000B5364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、工程等</w:t>
      </w:r>
      <w:proofErr w:type="gramStart"/>
      <w:r w:rsidR="000B5364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面向均為可行</w:t>
      </w:r>
      <w:proofErr w:type="gramEnd"/>
      <w:r w:rsidR="000B5364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且涉及用地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、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交通維持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、環境影響評估等跨縣市協調工作，建設</w:t>
      </w:r>
      <w:r w:rsidR="00D16F67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提案縣市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應確實檢視計畫完整性</w:t>
      </w:r>
      <w:r w:rsidR="00D16F67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，預先</w:t>
      </w:r>
      <w:r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解決後續施工上可能的問題，</w:t>
      </w:r>
      <w:r w:rsidR="00D16F6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以確保建設工程能如期如質完成</w:t>
      </w:r>
      <w:r w:rsidR="00FE750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，非一句「提高效率」就可歸責於某一方</w:t>
      </w:r>
      <w:r w:rsidR="00D16F6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</w:p>
    <w:p w14:paraId="119A5E30" w14:textId="74E9CB9F" w:rsidR="00496E8E" w:rsidRPr="00496E8E" w:rsidRDefault="00496E8E" w:rsidP="00FE7509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國發會進一步說明</w:t>
      </w:r>
      <w:r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例如行政院核定之淡北道路</w:t>
      </w:r>
      <w:r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其交通影響涉及台北</w:t>
      </w:r>
      <w:r w:rsidR="000373A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市及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新北市</w:t>
      </w:r>
      <w:r w:rsidR="00B31ED4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除必須協調</w:t>
      </w:r>
      <w:r w:rsidR="000373A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地方政府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取得方案共識外</w:t>
      </w:r>
      <w:r w:rsidR="00B31ED4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亦必須考量關渡橋改建及</w:t>
      </w:r>
      <w:r w:rsidR="002B25B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五股</w:t>
      </w:r>
      <w:r w:rsidR="002B25B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、</w:t>
      </w:r>
      <w:r w:rsidR="002B25B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泰山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整體路網</w:t>
      </w:r>
      <w:r w:rsidR="002B25B1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；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又如基隆捷運涉及台北市</w:t>
      </w:r>
      <w:r w:rsidR="00B31ED4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、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新北市及基隆市</w:t>
      </w:r>
      <w:r w:rsidR="00B31ED4" w:rsidRPr="00966D0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各</w:t>
      </w:r>
      <w:r w:rsidR="000373A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地方政府</w:t>
      </w:r>
      <w:r w:rsidR="002B25B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意見不一</w:t>
      </w:r>
      <w:r w:rsidR="00FE750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且必須考量與其它捷運路網之銜接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；</w:t>
      </w:r>
      <w:r w:rsidR="00FE750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需中央政府介入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加以協調整合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非單一</w:t>
      </w:r>
      <w:r w:rsidR="000373A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地方政府同意，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即可</w:t>
      </w:r>
      <w:r w:rsidR="000373A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核定</w:t>
      </w:r>
      <w:r w:rsidR="00B31ED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</w:p>
    <w:p w14:paraId="1B52D21D" w14:textId="2519DBD6" w:rsidR="00FE7B97" w:rsidRPr="00A46C58" w:rsidRDefault="00FE7B97" w:rsidP="00A46C58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至於侯市長所提之新北市境內四條</w:t>
      </w:r>
      <w:r w:rsidR="00B73DF4" w:rsidRPr="005F7B8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軌道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路線之推動情形</w:t>
      </w:r>
      <w:r w:rsidRPr="00975FE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國發會說明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：</w:t>
      </w:r>
      <w:r w:rsidR="00414F46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有關</w:t>
      </w:r>
      <w:r w:rsidR="0067432D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五股泰山輕軌可行性研究</w:t>
      </w:r>
      <w:r w:rsidR="00414F46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推動情形</w:t>
      </w:r>
      <w:r w:rsidR="00AF5CB4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E644D5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新北市政府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於</w:t>
      </w:r>
      <w:r w:rsidR="00F343F8" w:rsidRPr="00B73DF4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="00B73DF4" w:rsidRPr="005F7B8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</w:t>
      </w:r>
      <w:r w:rsidR="00F343F8" w:rsidRPr="005F7B8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月</w:t>
      </w:r>
      <w:r w:rsidR="00B73DF4" w:rsidRPr="005F7B8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20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</w:t>
      </w:r>
      <w:r w:rsidR="00C54B2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依照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行政院</w:t>
      </w:r>
      <w:r w:rsidR="00E644D5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核示意見回應說明</w:t>
      </w:r>
      <w:r w:rsidR="000373A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函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覆</w:t>
      </w:r>
      <w:r w:rsidR="00E644D5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行政院，並經</w:t>
      </w:r>
      <w:r w:rsidR="00AF612A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院交議</w:t>
      </w:r>
      <w:r w:rsidR="00E644D5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本會，將儘速辦理審議作業</w:t>
      </w:r>
      <w:r w:rsidR="009E48D9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  <w:r w:rsidR="00DA2721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八里輕</w:t>
      </w:r>
      <w:r w:rsidR="00DA2721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lastRenderedPageBreak/>
        <w:t>軌</w:t>
      </w:r>
      <w:r w:rsidR="00C54B2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可行性研究</w:t>
      </w:r>
      <w:r w:rsidR="00DA2721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與淡海輕軌第二期修正計畫</w:t>
      </w:r>
      <w:r w:rsidR="00A46C5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因</w:t>
      </w:r>
      <w:r w:rsidR="00B27900" w:rsidRPr="00F47635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計畫路線具連貫性</w:t>
      </w:r>
      <w:r w:rsidR="00A46C5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="00A46C58" w:rsidRPr="00F47635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整體</w:t>
      </w:r>
      <w:proofErr w:type="gramStart"/>
      <w:r w:rsidR="00A46C58" w:rsidRPr="00F47635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路網</w:t>
      </w:r>
      <w:r w:rsidR="00A46C5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須</w:t>
      </w:r>
      <w:r w:rsidR="00A46C58" w:rsidRPr="00F47635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進行</w:t>
      </w:r>
      <w:proofErr w:type="gramEnd"/>
      <w:r w:rsidR="00A46C58" w:rsidRPr="00F47635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系統整合性思考</w:t>
      </w:r>
      <w:r w:rsidR="00A46C5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proofErr w:type="gramStart"/>
      <w:r w:rsidR="00A46C5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惟</w:t>
      </w:r>
      <w:r w:rsidR="00A46C58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淡海</w:t>
      </w:r>
      <w:proofErr w:type="gramEnd"/>
      <w:r w:rsidR="00A46C58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輕軌第二期</w:t>
      </w:r>
      <w:r w:rsidR="00A46C5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路線涉及文資保存</w:t>
      </w:r>
      <w:r w:rsidR="00A46C5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，路線尚未</w:t>
      </w:r>
      <w:r w:rsidR="008E0DEA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能</w:t>
      </w:r>
      <w:r w:rsidR="00A46C5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確定</w:t>
      </w:r>
      <w:r w:rsid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。而</w:t>
      </w:r>
      <w:r w:rsidRP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深坑輕軌目前尚在交通部審</w:t>
      </w:r>
      <w:r w:rsidR="00F47635" w:rsidRP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查</w:t>
      </w:r>
      <w:r w:rsidRP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F47635" w:rsidRP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新北市政府</w:t>
      </w:r>
      <w:r w:rsidR="008E0DE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依</w:t>
      </w:r>
      <w:r w:rsidR="00F47635" w:rsidRP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審查意見修正中</w:t>
      </w:r>
      <w:r w:rsidR="00F47635" w:rsidRPr="00F343F8">
        <w:rPr>
          <w:rFonts w:ascii="標楷體" w:eastAsia="標楷體" w:hAnsi="標楷體" w:cs="Times New Roman" w:hint="eastAsia"/>
          <w:bCs/>
          <w:kern w:val="0"/>
          <w:sz w:val="32"/>
          <w:szCs w:val="32"/>
          <w:lang w:val="x-none"/>
        </w:rPr>
        <w:t>，</w:t>
      </w:r>
      <w:r w:rsidRPr="00F343F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尚未陳報行政院。</w:t>
      </w:r>
    </w:p>
    <w:p w14:paraId="06C0D33B" w14:textId="21EDCDA3" w:rsidR="00FE7B97" w:rsidRPr="00FE7B97" w:rsidRDefault="00FE7B97" w:rsidP="004A24A0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國發會最後說明，類似捷運等重大建設均涉及用地、交通維持、環境影響評估等跨縣市協調事項，且必須考量財務自償。國發會以負責任之態度協助行政院將計畫中之細節協調確認，始</w:t>
      </w:r>
      <w:r w:rsidR="00B83C39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得</w:t>
      </w:r>
      <w:r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建議行政院予以核定</w:t>
      </w:r>
      <w:r w:rsidR="00A46C5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7A0CD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相關審議意見</w:t>
      </w:r>
      <w:r w:rsidR="007A0CDC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亦是協助計畫提案縣市</w:t>
      </w:r>
      <w:r w:rsidR="007A0CD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預為考量</w:t>
      </w:r>
      <w:r w:rsidR="007A0CDC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後續施工上可能</w:t>
      </w:r>
      <w:r w:rsidR="007E40E6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的</w:t>
      </w:r>
      <w:r w:rsidR="007A0CDC"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問題</w:t>
      </w:r>
      <w:r w:rsidR="007A0CD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  <w:r w:rsidR="0082028E" w:rsidRPr="0082028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</w:t>
      </w:r>
      <w:r w:rsidR="004C2E8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與相關</w:t>
      </w:r>
      <w:r w:rsidR="0082028E" w:rsidRPr="0082028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部會也持續收到民意代表反應重大建設的地方意見，絕無拖延可能</w:t>
      </w:r>
      <w:r w:rsidR="007A0CD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  <w:r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國發會再次強調，重大公共建設</w:t>
      </w:r>
      <w:r w:rsidR="007A0CD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的</w:t>
      </w:r>
      <w:r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推動</w:t>
      </w:r>
      <w:r w:rsidR="007A0CD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，地方政府及民意代表均非常重視，</w:t>
      </w:r>
      <w:r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</w:t>
      </w:r>
      <w:r w:rsidR="00A46C5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將</w:t>
      </w:r>
      <w:r w:rsidRPr="00FE7B9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持續協助行政院審議推動，讓台灣的基礎生活環境更加完整。</w:t>
      </w:r>
    </w:p>
    <w:p w14:paraId="33C25AA7" w14:textId="77777777" w:rsidR="00EC4916" w:rsidRPr="007C1E51" w:rsidRDefault="00EC4916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p w14:paraId="05ABD90B" w14:textId="3E23B036" w:rsidR="0062117B" w:rsidRPr="007C1E51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聯絡人：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國土區域離島發展處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彭</w:t>
      </w:r>
      <w:r w:rsidR="00466E9D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紹博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處長</w:t>
      </w:r>
    </w:p>
    <w:p w14:paraId="742297DA" w14:textId="4209C3B2" w:rsidR="00FB52C1" w:rsidRPr="008D2E23" w:rsidRDefault="0062117B" w:rsidP="008D2E23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辦公室電話：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（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02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2316-5317</w:t>
      </w:r>
    </w:p>
    <w:sectPr w:rsidR="00FB52C1" w:rsidRPr="008D2E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E0743" w14:textId="77777777" w:rsidR="00B22043" w:rsidRDefault="00B22043" w:rsidP="00AD17CF">
      <w:r>
        <w:separator/>
      </w:r>
    </w:p>
  </w:endnote>
  <w:endnote w:type="continuationSeparator" w:id="0">
    <w:p w14:paraId="7D2BF37C" w14:textId="77777777" w:rsidR="00B22043" w:rsidRDefault="00B22043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36F19" w14:textId="77777777" w:rsidR="00B22043" w:rsidRDefault="00B22043" w:rsidP="00AD17CF">
      <w:r>
        <w:separator/>
      </w:r>
    </w:p>
  </w:footnote>
  <w:footnote w:type="continuationSeparator" w:id="0">
    <w:p w14:paraId="07AF21BD" w14:textId="77777777" w:rsidR="00B22043" w:rsidRDefault="00B22043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6A571C"/>
    <w:multiLevelType w:val="hybridMultilevel"/>
    <w:tmpl w:val="DC381454"/>
    <w:lvl w:ilvl="0" w:tplc="4022DC4C">
      <w:start w:val="1"/>
      <w:numFmt w:val="taiwaneseCountingThousand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">
    <w:nsid w:val="3D1F1046"/>
    <w:multiLevelType w:val="hybridMultilevel"/>
    <w:tmpl w:val="F3767C80"/>
    <w:lvl w:ilvl="0" w:tplc="8BC0E1DA">
      <w:start w:val="1"/>
      <w:numFmt w:val="taiwaneseCountingThousand"/>
      <w:lvlText w:val="%1、"/>
      <w:lvlJc w:val="left"/>
      <w:pPr>
        <w:ind w:left="14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>
    <w:nsid w:val="50AF7ECE"/>
    <w:multiLevelType w:val="hybridMultilevel"/>
    <w:tmpl w:val="0186A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6071A"/>
    <w:multiLevelType w:val="hybridMultilevel"/>
    <w:tmpl w:val="2C425712"/>
    <w:lvl w:ilvl="0" w:tplc="711CA420">
      <w:start w:val="1"/>
      <w:numFmt w:val="taiwaneseCountingThousand"/>
      <w:lvlText w:val="%1、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7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C512DBF"/>
    <w:multiLevelType w:val="hybridMultilevel"/>
    <w:tmpl w:val="738AE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8D6FF2"/>
    <w:multiLevelType w:val="hybridMultilevel"/>
    <w:tmpl w:val="1D1047CE"/>
    <w:lvl w:ilvl="0" w:tplc="20C6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6C6E"/>
    <w:rsid w:val="000175AF"/>
    <w:rsid w:val="000176EA"/>
    <w:rsid w:val="00025574"/>
    <w:rsid w:val="00033BD0"/>
    <w:rsid w:val="000373AD"/>
    <w:rsid w:val="000417D6"/>
    <w:rsid w:val="000432A3"/>
    <w:rsid w:val="000450A0"/>
    <w:rsid w:val="00081416"/>
    <w:rsid w:val="00082145"/>
    <w:rsid w:val="00084451"/>
    <w:rsid w:val="000868EA"/>
    <w:rsid w:val="00093819"/>
    <w:rsid w:val="00095DB3"/>
    <w:rsid w:val="000A06F1"/>
    <w:rsid w:val="000A1011"/>
    <w:rsid w:val="000A1048"/>
    <w:rsid w:val="000B0A85"/>
    <w:rsid w:val="000B1D34"/>
    <w:rsid w:val="000B5364"/>
    <w:rsid w:val="000C68BB"/>
    <w:rsid w:val="000D1F67"/>
    <w:rsid w:val="000D619A"/>
    <w:rsid w:val="000D6BA2"/>
    <w:rsid w:val="000E3B34"/>
    <w:rsid w:val="000F1B2A"/>
    <w:rsid w:val="000F30DA"/>
    <w:rsid w:val="00100844"/>
    <w:rsid w:val="00106437"/>
    <w:rsid w:val="00141E49"/>
    <w:rsid w:val="00147097"/>
    <w:rsid w:val="00150F75"/>
    <w:rsid w:val="00152CE9"/>
    <w:rsid w:val="00153E51"/>
    <w:rsid w:val="001557EF"/>
    <w:rsid w:val="00155E17"/>
    <w:rsid w:val="00174EED"/>
    <w:rsid w:val="00175C34"/>
    <w:rsid w:val="00181A32"/>
    <w:rsid w:val="001820C7"/>
    <w:rsid w:val="00191B3C"/>
    <w:rsid w:val="00191DF8"/>
    <w:rsid w:val="00195CF7"/>
    <w:rsid w:val="001976E1"/>
    <w:rsid w:val="001A0B85"/>
    <w:rsid w:val="001A21D5"/>
    <w:rsid w:val="001A2B80"/>
    <w:rsid w:val="001A3F05"/>
    <w:rsid w:val="001A4AB7"/>
    <w:rsid w:val="001B0F7C"/>
    <w:rsid w:val="001B36ED"/>
    <w:rsid w:val="001B592B"/>
    <w:rsid w:val="001C0538"/>
    <w:rsid w:val="001C2DD3"/>
    <w:rsid w:val="001C35BA"/>
    <w:rsid w:val="001E070F"/>
    <w:rsid w:val="001E25EB"/>
    <w:rsid w:val="001F46C6"/>
    <w:rsid w:val="001F4B42"/>
    <w:rsid w:val="00202144"/>
    <w:rsid w:val="00203DFB"/>
    <w:rsid w:val="002150F0"/>
    <w:rsid w:val="00215BE4"/>
    <w:rsid w:val="00224130"/>
    <w:rsid w:val="002400B9"/>
    <w:rsid w:val="00250ABB"/>
    <w:rsid w:val="002571BB"/>
    <w:rsid w:val="00260EB3"/>
    <w:rsid w:val="002719DB"/>
    <w:rsid w:val="00274531"/>
    <w:rsid w:val="00276363"/>
    <w:rsid w:val="002876C8"/>
    <w:rsid w:val="00293122"/>
    <w:rsid w:val="002968C3"/>
    <w:rsid w:val="002A2BF6"/>
    <w:rsid w:val="002A53CA"/>
    <w:rsid w:val="002A5668"/>
    <w:rsid w:val="002B25B1"/>
    <w:rsid w:val="002C02F5"/>
    <w:rsid w:val="002C1D49"/>
    <w:rsid w:val="002D151D"/>
    <w:rsid w:val="002D27E2"/>
    <w:rsid w:val="002D3524"/>
    <w:rsid w:val="002D3FDF"/>
    <w:rsid w:val="0031648F"/>
    <w:rsid w:val="00352255"/>
    <w:rsid w:val="00353829"/>
    <w:rsid w:val="00363AEC"/>
    <w:rsid w:val="00373412"/>
    <w:rsid w:val="003749DC"/>
    <w:rsid w:val="00375B3B"/>
    <w:rsid w:val="00397C6C"/>
    <w:rsid w:val="003A5EAB"/>
    <w:rsid w:val="003B444A"/>
    <w:rsid w:val="003B7401"/>
    <w:rsid w:val="003D2D2B"/>
    <w:rsid w:val="003F14DB"/>
    <w:rsid w:val="003F2F21"/>
    <w:rsid w:val="003F3254"/>
    <w:rsid w:val="00414F46"/>
    <w:rsid w:val="004170E0"/>
    <w:rsid w:val="00422F8C"/>
    <w:rsid w:val="00423896"/>
    <w:rsid w:val="00446F0A"/>
    <w:rsid w:val="00452005"/>
    <w:rsid w:val="004547B8"/>
    <w:rsid w:val="00454872"/>
    <w:rsid w:val="00462DA8"/>
    <w:rsid w:val="00466E9D"/>
    <w:rsid w:val="0047128E"/>
    <w:rsid w:val="00480889"/>
    <w:rsid w:val="004817AC"/>
    <w:rsid w:val="004817E7"/>
    <w:rsid w:val="00492146"/>
    <w:rsid w:val="00493F1F"/>
    <w:rsid w:val="00496E8E"/>
    <w:rsid w:val="004A03FF"/>
    <w:rsid w:val="004A0844"/>
    <w:rsid w:val="004A10C2"/>
    <w:rsid w:val="004A22A7"/>
    <w:rsid w:val="004A24A0"/>
    <w:rsid w:val="004A2C7F"/>
    <w:rsid w:val="004A2F40"/>
    <w:rsid w:val="004A3412"/>
    <w:rsid w:val="004A5962"/>
    <w:rsid w:val="004C2E8B"/>
    <w:rsid w:val="005061B0"/>
    <w:rsid w:val="00520480"/>
    <w:rsid w:val="0052090C"/>
    <w:rsid w:val="00520B6A"/>
    <w:rsid w:val="00521504"/>
    <w:rsid w:val="00541AED"/>
    <w:rsid w:val="00551130"/>
    <w:rsid w:val="00557DDE"/>
    <w:rsid w:val="0056598D"/>
    <w:rsid w:val="00565B39"/>
    <w:rsid w:val="00574C32"/>
    <w:rsid w:val="00584F66"/>
    <w:rsid w:val="00595B21"/>
    <w:rsid w:val="00595BCA"/>
    <w:rsid w:val="0059620B"/>
    <w:rsid w:val="005A62CA"/>
    <w:rsid w:val="005C05C8"/>
    <w:rsid w:val="005C6813"/>
    <w:rsid w:val="005C698F"/>
    <w:rsid w:val="005D6BDC"/>
    <w:rsid w:val="005F0B90"/>
    <w:rsid w:val="005F40B0"/>
    <w:rsid w:val="005F51A7"/>
    <w:rsid w:val="005F5857"/>
    <w:rsid w:val="005F7B88"/>
    <w:rsid w:val="00607664"/>
    <w:rsid w:val="00611D51"/>
    <w:rsid w:val="00615038"/>
    <w:rsid w:val="0062117B"/>
    <w:rsid w:val="00624833"/>
    <w:rsid w:val="00631CF2"/>
    <w:rsid w:val="0063608C"/>
    <w:rsid w:val="00644DD9"/>
    <w:rsid w:val="00660713"/>
    <w:rsid w:val="00671867"/>
    <w:rsid w:val="0067432D"/>
    <w:rsid w:val="00675459"/>
    <w:rsid w:val="00683B17"/>
    <w:rsid w:val="00694C91"/>
    <w:rsid w:val="006B51A7"/>
    <w:rsid w:val="006D31C4"/>
    <w:rsid w:val="006D583A"/>
    <w:rsid w:val="006E4F6F"/>
    <w:rsid w:val="006F37AC"/>
    <w:rsid w:val="006F48AC"/>
    <w:rsid w:val="0071070D"/>
    <w:rsid w:val="00720CD6"/>
    <w:rsid w:val="00732F1E"/>
    <w:rsid w:val="007351E0"/>
    <w:rsid w:val="00736966"/>
    <w:rsid w:val="00737147"/>
    <w:rsid w:val="00740FC1"/>
    <w:rsid w:val="00746904"/>
    <w:rsid w:val="0076495C"/>
    <w:rsid w:val="00783C95"/>
    <w:rsid w:val="00784A08"/>
    <w:rsid w:val="00787C17"/>
    <w:rsid w:val="00796654"/>
    <w:rsid w:val="00796D50"/>
    <w:rsid w:val="007A0CDC"/>
    <w:rsid w:val="007A6DA3"/>
    <w:rsid w:val="007B3E5D"/>
    <w:rsid w:val="007B5E22"/>
    <w:rsid w:val="007C1E51"/>
    <w:rsid w:val="007C550F"/>
    <w:rsid w:val="007D208F"/>
    <w:rsid w:val="007E0810"/>
    <w:rsid w:val="007E1149"/>
    <w:rsid w:val="007E40E6"/>
    <w:rsid w:val="00803006"/>
    <w:rsid w:val="008051A8"/>
    <w:rsid w:val="0081114F"/>
    <w:rsid w:val="00813A4E"/>
    <w:rsid w:val="00816B84"/>
    <w:rsid w:val="0082028E"/>
    <w:rsid w:val="00824C50"/>
    <w:rsid w:val="00826C9D"/>
    <w:rsid w:val="008341DF"/>
    <w:rsid w:val="00846B79"/>
    <w:rsid w:val="0085099E"/>
    <w:rsid w:val="008513E1"/>
    <w:rsid w:val="00855BA4"/>
    <w:rsid w:val="00856C8C"/>
    <w:rsid w:val="008658DD"/>
    <w:rsid w:val="00865949"/>
    <w:rsid w:val="008771DF"/>
    <w:rsid w:val="00882C36"/>
    <w:rsid w:val="0089652B"/>
    <w:rsid w:val="008B47AE"/>
    <w:rsid w:val="008C0DC3"/>
    <w:rsid w:val="008C2B9B"/>
    <w:rsid w:val="008D0FF4"/>
    <w:rsid w:val="008D2E23"/>
    <w:rsid w:val="008D609B"/>
    <w:rsid w:val="008D675C"/>
    <w:rsid w:val="008E095E"/>
    <w:rsid w:val="008E0DEA"/>
    <w:rsid w:val="008E4A0B"/>
    <w:rsid w:val="008F2ABA"/>
    <w:rsid w:val="0091225A"/>
    <w:rsid w:val="00916C5C"/>
    <w:rsid w:val="009227D7"/>
    <w:rsid w:val="00930A67"/>
    <w:rsid w:val="00944CA8"/>
    <w:rsid w:val="00947B06"/>
    <w:rsid w:val="00953C9E"/>
    <w:rsid w:val="00954A13"/>
    <w:rsid w:val="00966D03"/>
    <w:rsid w:val="0097339B"/>
    <w:rsid w:val="00973C17"/>
    <w:rsid w:val="00975FEA"/>
    <w:rsid w:val="0098309E"/>
    <w:rsid w:val="00985E06"/>
    <w:rsid w:val="009932DF"/>
    <w:rsid w:val="00993574"/>
    <w:rsid w:val="009A1609"/>
    <w:rsid w:val="009B089B"/>
    <w:rsid w:val="009B1F4B"/>
    <w:rsid w:val="009B6F2D"/>
    <w:rsid w:val="009C7CEF"/>
    <w:rsid w:val="009D2772"/>
    <w:rsid w:val="009D456E"/>
    <w:rsid w:val="009E48D9"/>
    <w:rsid w:val="009E7D89"/>
    <w:rsid w:val="00A01866"/>
    <w:rsid w:val="00A01EC7"/>
    <w:rsid w:val="00A02E79"/>
    <w:rsid w:val="00A172FB"/>
    <w:rsid w:val="00A26428"/>
    <w:rsid w:val="00A31A1B"/>
    <w:rsid w:val="00A346EF"/>
    <w:rsid w:val="00A35BB7"/>
    <w:rsid w:val="00A452B6"/>
    <w:rsid w:val="00A46940"/>
    <w:rsid w:val="00A46C58"/>
    <w:rsid w:val="00A5626A"/>
    <w:rsid w:val="00A61EAF"/>
    <w:rsid w:val="00A62966"/>
    <w:rsid w:val="00A6574A"/>
    <w:rsid w:val="00A74748"/>
    <w:rsid w:val="00A765F6"/>
    <w:rsid w:val="00A76CFD"/>
    <w:rsid w:val="00A84BE7"/>
    <w:rsid w:val="00A90DA9"/>
    <w:rsid w:val="00A945DF"/>
    <w:rsid w:val="00AA308F"/>
    <w:rsid w:val="00AA71A5"/>
    <w:rsid w:val="00AC0E20"/>
    <w:rsid w:val="00AC4898"/>
    <w:rsid w:val="00AC4CEA"/>
    <w:rsid w:val="00AD17CF"/>
    <w:rsid w:val="00AD2559"/>
    <w:rsid w:val="00AD263C"/>
    <w:rsid w:val="00AE0972"/>
    <w:rsid w:val="00AE393F"/>
    <w:rsid w:val="00AF48D9"/>
    <w:rsid w:val="00AF5B98"/>
    <w:rsid w:val="00AF5CB4"/>
    <w:rsid w:val="00AF612A"/>
    <w:rsid w:val="00AF6BE6"/>
    <w:rsid w:val="00B05B0B"/>
    <w:rsid w:val="00B13BEC"/>
    <w:rsid w:val="00B149D3"/>
    <w:rsid w:val="00B17A52"/>
    <w:rsid w:val="00B22043"/>
    <w:rsid w:val="00B27900"/>
    <w:rsid w:val="00B30C09"/>
    <w:rsid w:val="00B31ED4"/>
    <w:rsid w:val="00B3225F"/>
    <w:rsid w:val="00B33EAE"/>
    <w:rsid w:val="00B35BD5"/>
    <w:rsid w:val="00B35F69"/>
    <w:rsid w:val="00B64857"/>
    <w:rsid w:val="00B73DF4"/>
    <w:rsid w:val="00B77264"/>
    <w:rsid w:val="00B83C39"/>
    <w:rsid w:val="00B87F13"/>
    <w:rsid w:val="00B96943"/>
    <w:rsid w:val="00BB2325"/>
    <w:rsid w:val="00BC091B"/>
    <w:rsid w:val="00BC2D70"/>
    <w:rsid w:val="00BD114E"/>
    <w:rsid w:val="00C019C9"/>
    <w:rsid w:val="00C045F6"/>
    <w:rsid w:val="00C50370"/>
    <w:rsid w:val="00C54B2E"/>
    <w:rsid w:val="00C551F0"/>
    <w:rsid w:val="00C5636A"/>
    <w:rsid w:val="00C56B6E"/>
    <w:rsid w:val="00C61F51"/>
    <w:rsid w:val="00C74E00"/>
    <w:rsid w:val="00C81701"/>
    <w:rsid w:val="00C835F5"/>
    <w:rsid w:val="00C91BD1"/>
    <w:rsid w:val="00C939E9"/>
    <w:rsid w:val="00C963A3"/>
    <w:rsid w:val="00CE5545"/>
    <w:rsid w:val="00CF037C"/>
    <w:rsid w:val="00CF31B1"/>
    <w:rsid w:val="00CF3CDA"/>
    <w:rsid w:val="00CF7FA8"/>
    <w:rsid w:val="00D06E95"/>
    <w:rsid w:val="00D16F67"/>
    <w:rsid w:val="00D17B0A"/>
    <w:rsid w:val="00D24821"/>
    <w:rsid w:val="00D3711E"/>
    <w:rsid w:val="00D5656A"/>
    <w:rsid w:val="00D62037"/>
    <w:rsid w:val="00D82D33"/>
    <w:rsid w:val="00DA2253"/>
    <w:rsid w:val="00DA2549"/>
    <w:rsid w:val="00DA2721"/>
    <w:rsid w:val="00DA4790"/>
    <w:rsid w:val="00DB3FA3"/>
    <w:rsid w:val="00DB48B7"/>
    <w:rsid w:val="00DC14E9"/>
    <w:rsid w:val="00DC1E76"/>
    <w:rsid w:val="00DC3581"/>
    <w:rsid w:val="00DC5B80"/>
    <w:rsid w:val="00DC6D66"/>
    <w:rsid w:val="00DD0500"/>
    <w:rsid w:val="00DF24F8"/>
    <w:rsid w:val="00E0640F"/>
    <w:rsid w:val="00E1495A"/>
    <w:rsid w:val="00E222BF"/>
    <w:rsid w:val="00E2777D"/>
    <w:rsid w:val="00E32E53"/>
    <w:rsid w:val="00E34617"/>
    <w:rsid w:val="00E51845"/>
    <w:rsid w:val="00E5320E"/>
    <w:rsid w:val="00E53673"/>
    <w:rsid w:val="00E55747"/>
    <w:rsid w:val="00E60EA5"/>
    <w:rsid w:val="00E61294"/>
    <w:rsid w:val="00E644D5"/>
    <w:rsid w:val="00E71356"/>
    <w:rsid w:val="00E75EDF"/>
    <w:rsid w:val="00E87551"/>
    <w:rsid w:val="00E90F3B"/>
    <w:rsid w:val="00EA1237"/>
    <w:rsid w:val="00EB21E6"/>
    <w:rsid w:val="00EC4868"/>
    <w:rsid w:val="00EC4916"/>
    <w:rsid w:val="00ED3938"/>
    <w:rsid w:val="00ED5504"/>
    <w:rsid w:val="00EE3612"/>
    <w:rsid w:val="00EE7F4E"/>
    <w:rsid w:val="00F14059"/>
    <w:rsid w:val="00F20888"/>
    <w:rsid w:val="00F20D9F"/>
    <w:rsid w:val="00F2241A"/>
    <w:rsid w:val="00F23537"/>
    <w:rsid w:val="00F246A2"/>
    <w:rsid w:val="00F30838"/>
    <w:rsid w:val="00F343F8"/>
    <w:rsid w:val="00F35D3A"/>
    <w:rsid w:val="00F36EC6"/>
    <w:rsid w:val="00F375B2"/>
    <w:rsid w:val="00F47635"/>
    <w:rsid w:val="00F51D95"/>
    <w:rsid w:val="00F52720"/>
    <w:rsid w:val="00F52C99"/>
    <w:rsid w:val="00F604CA"/>
    <w:rsid w:val="00F66374"/>
    <w:rsid w:val="00F750A2"/>
    <w:rsid w:val="00F81150"/>
    <w:rsid w:val="00F93A4F"/>
    <w:rsid w:val="00FA0011"/>
    <w:rsid w:val="00FA428D"/>
    <w:rsid w:val="00FB42F5"/>
    <w:rsid w:val="00FB52C1"/>
    <w:rsid w:val="00FC29E3"/>
    <w:rsid w:val="00FC7203"/>
    <w:rsid w:val="00FD4D9C"/>
    <w:rsid w:val="00FD7160"/>
    <w:rsid w:val="00FE182B"/>
    <w:rsid w:val="00FE5A94"/>
    <w:rsid w:val="00FE7509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D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d">
    <w:name w:val="Table Grid"/>
    <w:basedOn w:val="a1"/>
    <w:uiPriority w:val="39"/>
    <w:rsid w:val="00FB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d">
    <w:name w:val="Table Grid"/>
    <w:basedOn w:val="a1"/>
    <w:uiPriority w:val="39"/>
    <w:rsid w:val="00FB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6638-7623-4F35-BB9E-55F477BE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468</Characters>
  <Application>Microsoft Office Word</Application>
  <DocSecurity>0</DocSecurity>
  <Lines>23</Lines>
  <Paragraphs>10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NDC</cp:lastModifiedBy>
  <cp:revision>5</cp:revision>
  <cp:lastPrinted>2023-03-30T11:24:00Z</cp:lastPrinted>
  <dcterms:created xsi:type="dcterms:W3CDTF">2023-03-30T11:22:00Z</dcterms:created>
  <dcterms:modified xsi:type="dcterms:W3CDTF">2023-03-30T11:33:00Z</dcterms:modified>
</cp:coreProperties>
</file>