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2772" w14:textId="2E88EEF3" w:rsidR="00482687" w:rsidRPr="007775D2" w:rsidRDefault="00482687" w:rsidP="007775D2">
      <w:pPr>
        <w:rPr>
          <w:rFonts w:ascii="微軟正黑體" w:eastAsia="微軟正黑體" w:hAnsi="微軟正黑體" w:cs="Times New Roman"/>
          <w:sz w:val="32"/>
          <w:szCs w:val="32"/>
        </w:rPr>
      </w:pPr>
      <w:r w:rsidRPr="004E279A">
        <w:rPr>
          <w:rFonts w:ascii="微軟正黑體" w:eastAsia="微軟正黑體" w:hAnsi="微軟正黑體" w:cs="Times New Roman"/>
          <w:noProof/>
          <w:sz w:val="32"/>
          <w:szCs w:val="32"/>
        </w:rPr>
        <w:drawing>
          <wp:inline distT="0" distB="0" distL="0" distR="0" wp14:anchorId="2E9D6E87" wp14:editId="7A3DADC3">
            <wp:extent cx="1496921" cy="298823"/>
            <wp:effectExtent l="0" t="0" r="190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66" cy="4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79A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4E279A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4E279A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4C840DAA" w14:textId="6245B3E8" w:rsidR="00482687" w:rsidRPr="004E279A" w:rsidRDefault="004E279A" w:rsidP="007775D2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4E279A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第107次委員會議新聞稿</w:t>
      </w:r>
    </w:p>
    <w:p w14:paraId="010D227B" w14:textId="77777777" w:rsidR="00482687" w:rsidRPr="004E279A" w:rsidRDefault="00482687" w:rsidP="00482687">
      <w:pPr>
        <w:spacing w:line="480" w:lineRule="exact"/>
        <w:ind w:right="1280"/>
        <w:jc w:val="right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</w:p>
    <w:p w14:paraId="6FF0757D" w14:textId="5C321544" w:rsidR="00482687" w:rsidRPr="004E279A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</w:t>
      </w:r>
      <w:r w:rsidR="004E279A"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112</w:t>
      </w:r>
      <w:r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4E279A"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4E279A"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20</w:t>
      </w:r>
      <w:r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6D65EF2F" w:rsidR="00482687" w:rsidRPr="004E279A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4E279A" w:rsidRPr="004E279A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國會及新聞聯絡中心</w:t>
      </w:r>
    </w:p>
    <w:p w14:paraId="61A2A55E" w14:textId="103F35B3" w:rsidR="004E279A" w:rsidRDefault="004E279A" w:rsidP="00E95205">
      <w:pPr>
        <w:spacing w:line="280" w:lineRule="exact"/>
        <w:rPr>
          <w:rFonts w:ascii="微軟正黑體" w:eastAsia="微軟正黑體" w:hAnsi="微軟正黑體" w:cs="Times New Roman"/>
          <w:b/>
          <w:bCs/>
          <w:color w:val="000000" w:themeColor="text1"/>
          <w:sz w:val="36"/>
          <w:szCs w:val="36"/>
        </w:rPr>
      </w:pPr>
    </w:p>
    <w:p w14:paraId="63FBD177" w14:textId="77777777" w:rsidR="004E279A" w:rsidRPr="004E279A" w:rsidRDefault="004E279A" w:rsidP="00E95205">
      <w:pPr>
        <w:spacing w:line="280" w:lineRule="exact"/>
        <w:rPr>
          <w:rFonts w:ascii="微軟正黑體" w:eastAsia="微軟正黑體" w:hAnsi="微軟正黑體" w:cs="Times New Roman"/>
          <w:b/>
          <w:bCs/>
          <w:color w:val="000000" w:themeColor="text1"/>
          <w:sz w:val="36"/>
          <w:szCs w:val="36"/>
        </w:rPr>
      </w:pPr>
    </w:p>
    <w:p w14:paraId="1A9D32CD" w14:textId="1D117660" w:rsidR="004E279A" w:rsidRPr="007775D2" w:rsidRDefault="004E279A" w:rsidP="004E279A">
      <w:pPr>
        <w:spacing w:beforeLines="50" w:before="180" w:afterLines="50" w:after="180" w:line="480" w:lineRule="exact"/>
        <w:rPr>
          <w:rFonts w:ascii="微軟正黑體" w:eastAsia="微軟正黑體" w:hAnsi="微軟正黑體"/>
          <w:b/>
          <w:bCs/>
          <w:spacing w:val="-20"/>
          <w:kern w:val="0"/>
          <w:sz w:val="32"/>
          <w:szCs w:val="32"/>
        </w:rPr>
      </w:pPr>
      <w:r w:rsidRPr="007775D2">
        <w:rPr>
          <w:rFonts w:ascii="微軟正黑體" w:eastAsia="微軟正黑體" w:hAnsi="微軟正黑體" w:hint="eastAsia"/>
          <w:b/>
          <w:bCs/>
          <w:sz w:val="32"/>
          <w:szCs w:val="32"/>
        </w:rPr>
        <w:t>一、</w:t>
      </w:r>
      <w:r w:rsidRPr="007775D2">
        <w:rPr>
          <w:rFonts w:ascii="微軟正黑體" w:eastAsia="微軟正黑體" w:hAnsi="微軟正黑體" w:hint="eastAsia"/>
          <w:b/>
          <w:bCs/>
          <w:spacing w:val="-20"/>
          <w:kern w:val="0"/>
          <w:sz w:val="32"/>
          <w:szCs w:val="32"/>
        </w:rPr>
        <w:t>加強投資公共建設，完善我國基礎建設</w:t>
      </w:r>
    </w:p>
    <w:p w14:paraId="7E61F3F1" w14:textId="2C020554" w:rsidR="004E279A" w:rsidRPr="004E279A" w:rsidRDefault="008542BA" w:rsidP="008542B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國發會於今（20）日第107次委員會議就整體公共建設計畫截至2月底之執行情形提出報告。今（112）年整體公共建設計畫截至2月底的計畫經費達成率為11.64%，累計執行金額798億元，較去（111）年同期增加執行154億元，亦為近16年同期最高。龔主委表示</w:t>
      </w:r>
      <w:r w:rsidR="007775D2">
        <w:rPr>
          <w:rFonts w:ascii="微軟正黑體" w:eastAsia="微軟正黑體" w:hAnsi="微軟正黑體" w:hint="eastAsia"/>
          <w:sz w:val="32"/>
          <w:szCs w:val="32"/>
        </w:rPr>
        <w:t>，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在年度建設初始推動階段，請各部會持續督導及協處公共建設計畫推動，並研訂全年經費執行績效目標，逐月管控追蹤，以提升年底之經費達成率。</w:t>
      </w:r>
    </w:p>
    <w:p w14:paraId="0ED85459" w14:textId="3BE6AE97" w:rsidR="004E279A" w:rsidRPr="004E279A" w:rsidRDefault="008542BA" w:rsidP="008542BA">
      <w:pPr>
        <w:pStyle w:val="k02"/>
        <w:tabs>
          <w:tab w:val="clear" w:pos="3840"/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龔主委指出，依今年國內經濟預測，公共投資（政府及公營事業）持續成長，有助穩定國內經濟成長。請各部會掌握確實可投入執行之經費量能，並加強溝通說明經費編列之必要性，同時檢視年度各月經費配置之合理性，彈性調整經費支用，避免過度集中</w:t>
      </w:r>
      <w:r w:rsidR="00821D3D" w:rsidRPr="00821D3D">
        <w:rPr>
          <w:rFonts w:ascii="微軟正黑體" w:eastAsia="微軟正黑體" w:hAnsi="微軟正黑體" w:hint="eastAsia"/>
          <w:sz w:val="32"/>
          <w:szCs w:val="32"/>
        </w:rPr>
        <w:t>於第4季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，影響年度經費執行績效。</w:t>
      </w:r>
      <w:r w:rsidR="00337674">
        <w:rPr>
          <w:rFonts w:ascii="微軟正黑體" w:eastAsia="微軟正黑體" w:hAnsi="微軟正黑體" w:hint="eastAsia"/>
          <w:sz w:val="32"/>
          <w:szCs w:val="32"/>
        </w:rPr>
        <w:t>另有關淨零</w:t>
      </w:r>
      <w:r w:rsidR="003B513A">
        <w:rPr>
          <w:rFonts w:ascii="微軟正黑體" w:eastAsia="微軟正黑體" w:hAnsi="微軟正黑體" w:hint="eastAsia"/>
          <w:sz w:val="32"/>
          <w:szCs w:val="32"/>
        </w:rPr>
        <w:t>公共建設</w:t>
      </w:r>
      <w:r w:rsidR="00337674">
        <w:rPr>
          <w:rFonts w:ascii="微軟正黑體" w:eastAsia="微軟正黑體" w:hAnsi="微軟正黑體" w:hint="eastAsia"/>
          <w:sz w:val="32"/>
          <w:szCs w:val="32"/>
        </w:rPr>
        <w:t>及抗旱水源調度等工作，亦請特別注意。</w:t>
      </w:r>
    </w:p>
    <w:p w14:paraId="1C288E1C" w14:textId="44A94EF5" w:rsidR="004E279A" w:rsidRDefault="008542BA" w:rsidP="008542BA">
      <w:pPr>
        <w:pStyle w:val="k02"/>
        <w:tabs>
          <w:tab w:val="clear" w:pos="3840"/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國發會強調，針對補助型計畫，請計畫主管部會適時檢視現行補助規定之合宜性，深入瞭解地方政府的建設需求與執行困難，及時協助協調解決，並</w:t>
      </w:r>
      <w:r w:rsidR="007775D2">
        <w:rPr>
          <w:rFonts w:ascii="Apple Color Emoji" w:eastAsia="微軟正黑體" w:hAnsi="Apple Color Emoji" w:cs="Apple Color Emoji" w:hint="eastAsia"/>
          <w:sz w:val="32"/>
          <w:szCs w:val="32"/>
        </w:rPr>
        <w:t>儘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早完成補助案件審核作業，落實採取分階段編列經費作法及備案遞補機制，強化經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lastRenderedPageBreak/>
        <w:t>費運用彈性，使地方政府能及早完備基礎建設，提升基礎建設服務人民的可及性。</w:t>
      </w:r>
    </w:p>
    <w:p w14:paraId="57E6738A" w14:textId="77777777" w:rsidR="008542BA" w:rsidRPr="004E279A" w:rsidRDefault="008542BA" w:rsidP="008542BA">
      <w:pPr>
        <w:pStyle w:val="k02"/>
        <w:tabs>
          <w:tab w:val="clear" w:pos="3840"/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14:paraId="5AE08F5A" w14:textId="4A59C03C" w:rsidR="004E279A" w:rsidRPr="007775D2" w:rsidRDefault="004E279A" w:rsidP="004E279A">
      <w:pPr>
        <w:spacing w:line="480" w:lineRule="exact"/>
        <w:ind w:right="84"/>
        <w:rPr>
          <w:rFonts w:ascii="微軟正黑體" w:eastAsia="微軟正黑體" w:hAnsi="微軟正黑體"/>
          <w:bCs/>
          <w:kern w:val="0"/>
          <w:sz w:val="32"/>
          <w:szCs w:val="32"/>
        </w:rPr>
      </w:pPr>
      <w:r w:rsidRPr="007775D2">
        <w:rPr>
          <w:rFonts w:ascii="微軟正黑體" w:eastAsia="微軟正黑體" w:hAnsi="微軟正黑體" w:hint="eastAsia"/>
          <w:bCs/>
          <w:kern w:val="0"/>
          <w:sz w:val="32"/>
          <w:szCs w:val="32"/>
        </w:rPr>
        <w:t>聯絡人：管制考核處李奇</w:t>
      </w:r>
      <w:r w:rsidR="00707A00" w:rsidRPr="007775D2">
        <w:rPr>
          <w:rFonts w:ascii="微軟正黑體" w:eastAsia="微軟正黑體" w:hAnsi="微軟正黑體" w:hint="eastAsia"/>
          <w:bCs/>
          <w:kern w:val="0"/>
          <w:sz w:val="32"/>
          <w:szCs w:val="32"/>
        </w:rPr>
        <w:t>處長</w:t>
      </w:r>
    </w:p>
    <w:p w14:paraId="73E85EF6" w14:textId="72D836EE" w:rsidR="004E279A" w:rsidRPr="007775D2" w:rsidRDefault="004E279A" w:rsidP="004E279A">
      <w:pPr>
        <w:spacing w:line="480" w:lineRule="exact"/>
        <w:ind w:right="84"/>
        <w:rPr>
          <w:rFonts w:ascii="微軟正黑體" w:eastAsia="微軟正黑體" w:hAnsi="微軟正黑體"/>
          <w:bCs/>
          <w:kern w:val="0"/>
          <w:sz w:val="32"/>
          <w:szCs w:val="32"/>
        </w:rPr>
      </w:pPr>
      <w:r w:rsidRPr="007775D2">
        <w:rPr>
          <w:rFonts w:ascii="微軟正黑體" w:eastAsia="微軟正黑體" w:hAnsi="微軟正黑體" w:hint="eastAsia"/>
          <w:bCs/>
          <w:kern w:val="0"/>
          <w:sz w:val="32"/>
          <w:szCs w:val="32"/>
        </w:rPr>
        <w:t>辦公室電話：02-2316-5300</w:t>
      </w:r>
      <w:r w:rsidR="008542BA" w:rsidRPr="007775D2">
        <w:rPr>
          <w:rFonts w:ascii="微軟正黑體" w:eastAsia="微軟正黑體" w:hAnsi="微軟正黑體" w:hint="eastAsia"/>
          <w:bCs/>
          <w:kern w:val="0"/>
          <w:sz w:val="32"/>
          <w:szCs w:val="32"/>
        </w:rPr>
        <w:t>分機</w:t>
      </w:r>
      <w:r w:rsidRPr="007775D2">
        <w:rPr>
          <w:rFonts w:ascii="微軟正黑體" w:eastAsia="微軟正黑體" w:hAnsi="微軟正黑體" w:hint="eastAsia"/>
          <w:bCs/>
          <w:kern w:val="0"/>
          <w:sz w:val="32"/>
          <w:szCs w:val="32"/>
        </w:rPr>
        <w:t>6600</w:t>
      </w:r>
    </w:p>
    <w:p w14:paraId="7DEE00B0" w14:textId="299A645E" w:rsidR="00DB524B" w:rsidRPr="004E279A" w:rsidRDefault="00DB524B">
      <w:pPr>
        <w:rPr>
          <w:rFonts w:ascii="微軟正黑體" w:eastAsia="微軟正黑體" w:hAnsi="微軟正黑體"/>
        </w:rPr>
      </w:pPr>
    </w:p>
    <w:p w14:paraId="23094497" w14:textId="0C4A5F31" w:rsidR="004E279A" w:rsidRPr="007775D2" w:rsidRDefault="008542BA" w:rsidP="00C70360">
      <w:pPr>
        <w:tabs>
          <w:tab w:val="center" w:pos="4185"/>
          <w:tab w:val="left" w:pos="6960"/>
        </w:tabs>
        <w:spacing w:beforeLines="100" w:before="360" w:line="0" w:lineRule="atLeast"/>
        <w:ind w:left="707" w:rightChars="-142" w:right="-341" w:hangingChars="221" w:hanging="707"/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2"/>
          <w:szCs w:val="32"/>
        </w:rPr>
      </w:pPr>
      <w:r w:rsidRPr="007775D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2"/>
          <w:szCs w:val="32"/>
        </w:rPr>
        <w:t>二、</w:t>
      </w:r>
      <w:r w:rsidR="004E279A" w:rsidRPr="007775D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2"/>
          <w:szCs w:val="32"/>
        </w:rPr>
        <w:t>台灣第1</w:t>
      </w:r>
      <w:r w:rsidR="004E279A" w:rsidRPr="007775D2"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2"/>
          <w:szCs w:val="32"/>
        </w:rPr>
        <w:t>5</w:t>
      </w:r>
      <w:r w:rsidR="004E279A" w:rsidRPr="007775D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2"/>
          <w:szCs w:val="32"/>
        </w:rPr>
        <w:t>次景氣循環高峰認定為20</w:t>
      </w:r>
      <w:r w:rsidR="004E279A" w:rsidRPr="007775D2"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2"/>
          <w:szCs w:val="32"/>
        </w:rPr>
        <w:t>22</w:t>
      </w:r>
      <w:r w:rsidR="004E279A" w:rsidRPr="007775D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2"/>
          <w:szCs w:val="32"/>
        </w:rPr>
        <w:t>年</w:t>
      </w:r>
      <w:r w:rsidR="004E279A" w:rsidRPr="007775D2">
        <w:rPr>
          <w:rFonts w:ascii="微軟正黑體" w:eastAsia="微軟正黑體" w:hAnsi="微軟正黑體" w:cs="Times New Roman"/>
          <w:b/>
          <w:bCs/>
          <w:color w:val="000000" w:themeColor="text1"/>
          <w:kern w:val="0"/>
          <w:sz w:val="32"/>
          <w:szCs w:val="32"/>
        </w:rPr>
        <w:t>1</w:t>
      </w:r>
      <w:r w:rsidR="004E279A" w:rsidRPr="007775D2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2"/>
          <w:szCs w:val="32"/>
        </w:rPr>
        <w:t>月</w:t>
      </w:r>
      <w:r w:rsidR="00C70360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C70360" w:rsidRPr="00C70360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2"/>
          <w:szCs w:val="32"/>
        </w:rPr>
        <w:t>擴張期71個月，史上第二長</w:t>
      </w:r>
    </w:p>
    <w:p w14:paraId="118FADF5" w14:textId="6B54C721" w:rsidR="004E279A" w:rsidRP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國發會於今(20)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第</w:t>
      </w:r>
      <w:r w:rsidR="007775D2">
        <w:rPr>
          <w:rFonts w:ascii="微軟正黑體" w:eastAsia="微軟正黑體" w:hAnsi="微軟正黑體"/>
          <w:color w:val="000000" w:themeColor="text1"/>
          <w:sz w:val="32"/>
          <w:szCs w:val="32"/>
        </w:rPr>
        <w:t>107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委員會議提出「台灣第15</w:t>
      </w:r>
      <w:r w:rsidR="003A537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次景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氣循環高峰認定」報告，透過</w:t>
      </w:r>
      <w:r w:rsidR="003F1C5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綜合指數法等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計量方法，並觀察國內重要經濟指標及經濟情勢變化，考量景氣循環應具有顯著性（Pronounced）、持續性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（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Persistent）、普遍性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（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Pervasive），並邀集專家學者、政府機關共同研議後，認定台灣第1</w:t>
      </w:r>
      <w:r w:rsidRPr="004E279A">
        <w:rPr>
          <w:rFonts w:ascii="微軟正黑體" w:eastAsia="微軟正黑體" w:hAnsi="微軟正黑體"/>
          <w:color w:val="000000" w:themeColor="text1"/>
          <w:sz w:val="32"/>
          <w:szCs w:val="32"/>
        </w:rPr>
        <w:t>5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次景氣循環高峰為2</w:t>
      </w:r>
      <w:r w:rsidRPr="004E279A">
        <w:rPr>
          <w:rFonts w:ascii="微軟正黑體" w:eastAsia="微軟正黑體" w:hAnsi="微軟正黑體"/>
          <w:color w:val="000000" w:themeColor="text1"/>
          <w:sz w:val="32"/>
          <w:szCs w:val="32"/>
        </w:rPr>
        <w:t>022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年1月，擴張期為7</w:t>
      </w:r>
      <w:r w:rsidRPr="004E279A">
        <w:rPr>
          <w:rFonts w:ascii="微軟正黑體" w:eastAsia="微軟正黑體" w:hAnsi="微軟正黑體"/>
          <w:color w:val="000000" w:themeColor="text1"/>
          <w:sz w:val="32"/>
          <w:szCs w:val="32"/>
        </w:rPr>
        <w:t>1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個月。</w:t>
      </w:r>
    </w:p>
    <w:p w14:paraId="419014C5" w14:textId="40CC35E3" w:rsidR="004E279A" w:rsidRP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自</w:t>
      </w:r>
      <w:r w:rsidR="007775D2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國發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會認定2016年2月為第14次景氣循環谷底以來，已就第15次景氣循環高峰進行多次內部研究，惟2020年初新冠疫情爆發，各國經濟呈現衰退，我國景氣</w:t>
      </w:r>
      <w:r w:rsidR="003F1C5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仍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持續向上，直至2022年全球經濟明顯走緩，加以國內許多重要經濟指標已出現轉弱，故再次評估第15次景氣循環高峰時點</w:t>
      </w:r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。茲</w:t>
      </w:r>
      <w:r w:rsidR="003F1C5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說明如下：</w:t>
      </w:r>
    </w:p>
    <w:p w14:paraId="25C8E113" w14:textId="3026673A" w:rsidR="003F1C5D" w:rsidRPr="007775D2" w:rsidRDefault="003F1C5D" w:rsidP="003F1C5D">
      <w:pPr>
        <w:pStyle w:val="k02"/>
        <w:tabs>
          <w:tab w:val="clear" w:pos="960"/>
          <w:tab w:val="left" w:pos="672"/>
          <w:tab w:val="left" w:pos="1302"/>
        </w:tabs>
        <w:spacing w:beforeLines="50" w:before="180" w:line="540" w:lineRule="exact"/>
        <w:ind w:firstLine="0"/>
        <w:rPr>
          <w:rFonts w:ascii="微軟正黑體" w:eastAsia="微軟正黑體" w:hAnsi="微軟正黑體"/>
          <w:b/>
          <w:bCs/>
          <w:color w:val="000000" w:themeColor="text1"/>
          <w:spacing w:val="-2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32"/>
          <w:szCs w:val="32"/>
        </w:rPr>
        <w:t>１</w:t>
      </w:r>
      <w:r w:rsidRPr="007775D2">
        <w:rPr>
          <w:rFonts w:ascii="微軟正黑體" w:eastAsia="微軟正黑體" w:hAnsi="微軟正黑體"/>
          <w:b/>
          <w:bCs/>
          <w:color w:val="000000" w:themeColor="text1"/>
          <w:spacing w:val="-20"/>
          <w:sz w:val="32"/>
          <w:szCs w:val="32"/>
        </w:rPr>
        <w:t>.</w:t>
      </w:r>
      <w:r w:rsidRPr="007775D2"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32"/>
          <w:szCs w:val="32"/>
        </w:rPr>
        <w:t>201</w:t>
      </w:r>
      <w:r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32"/>
          <w:szCs w:val="32"/>
        </w:rPr>
        <w:t>7</w:t>
      </w:r>
      <w:r w:rsidRPr="007775D2"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32"/>
          <w:szCs w:val="32"/>
        </w:rPr>
        <w:t>至2021年間台灣經濟穩定成長，至2022年動能轉弱</w:t>
      </w:r>
    </w:p>
    <w:p w14:paraId="266F4BA1" w14:textId="5A5BCF2F" w:rsidR="003F1C5D" w:rsidRDefault="003F1C5D" w:rsidP="003F1C5D">
      <w:pPr>
        <w:pStyle w:val="k02"/>
        <w:tabs>
          <w:tab w:val="clear" w:pos="960"/>
          <w:tab w:val="left" w:pos="680"/>
          <w:tab w:val="left" w:pos="1302"/>
        </w:tabs>
        <w:spacing w:afterLines="50" w:after="180" w:line="540" w:lineRule="exact"/>
        <w:ind w:firstLineChars="177" w:firstLine="566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bookmarkStart w:id="0" w:name="_Hlk129598850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2016年3月起，台灣進入第15次景氣</w:t>
      </w:r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循環擴張期，其間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台灣經濟雖經歷</w:t>
      </w:r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英國脫歐、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美中貿易戰、</w:t>
      </w:r>
      <w:r w:rsidRPr="004E279A">
        <w:rPr>
          <w:rFonts w:ascii="微軟正黑體" w:eastAsia="微軟正黑體" w:hAnsi="微軟正黑體" w:hint="eastAsia"/>
          <w:color w:val="000000" w:themeColor="text1"/>
          <w:spacing w:val="-2"/>
          <w:sz w:val="32"/>
          <w:szCs w:val="32"/>
        </w:rPr>
        <w:t>C</w:t>
      </w:r>
      <w:r w:rsidRPr="004E279A">
        <w:rPr>
          <w:rFonts w:ascii="微軟正黑體" w:eastAsia="微軟正黑體" w:hAnsi="微軟正黑體"/>
          <w:color w:val="000000" w:themeColor="text1"/>
          <w:spacing w:val="-2"/>
          <w:sz w:val="32"/>
          <w:szCs w:val="32"/>
        </w:rPr>
        <w:t>OVID-19</w:t>
      </w:r>
      <w:r w:rsidRPr="004E279A">
        <w:rPr>
          <w:rFonts w:ascii="微軟正黑體" w:eastAsia="微軟正黑體" w:hAnsi="微軟正黑體" w:hint="eastAsia"/>
          <w:color w:val="000000" w:themeColor="text1"/>
          <w:spacing w:val="-2"/>
          <w:sz w:val="32"/>
          <w:szCs w:val="32"/>
        </w:rPr>
        <w:t>疫情衝擊，惟受惠全球供應鏈移轉、台商回台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、疫情帶動數位轉型需求</w:t>
      </w:r>
      <w:bookmarkEnd w:id="0"/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，經濟仍保持正成長。</w:t>
      </w:r>
    </w:p>
    <w:p w14:paraId="0F281F42" w14:textId="44777317" w:rsidR="00384BDD" w:rsidRPr="004E279A" w:rsidRDefault="00384BDD" w:rsidP="003F1C5D">
      <w:pPr>
        <w:pStyle w:val="k02"/>
        <w:tabs>
          <w:tab w:val="clear" w:pos="960"/>
          <w:tab w:val="left" w:pos="680"/>
          <w:tab w:val="left" w:pos="1302"/>
        </w:tabs>
        <w:spacing w:afterLines="50" w:after="180" w:line="540" w:lineRule="exact"/>
        <w:ind w:firstLineChars="177" w:firstLine="566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84BD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2021年隨全球經濟復甦，加上科技應用需求殷切，我國出口動能強勁，經濟成長率達6.53%。惟2022年俄烏戰爭爆發、各國因應通膨大幅升息，加上中國實施清零政策、美中科技爭端再起等，全球終端需求趨緩，我國經濟動能逐漸轉弱，至2022年第4季經濟成長率轉為負成長，由於2022年第1季經濟成長率為全年最高，顯示景氣高峰落在2022年第1季。</w:t>
      </w:r>
    </w:p>
    <w:p w14:paraId="0792E910" w14:textId="0AB14B38" w:rsidR="004E279A" w:rsidRPr="007775D2" w:rsidRDefault="00412C3C" w:rsidP="008542B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left="282" w:hangingChars="88" w:hanging="282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2</w:t>
      </w:r>
      <w:r w:rsidR="008542BA" w:rsidRPr="007775D2"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  <w:t>.</w:t>
      </w:r>
      <w:r w:rsidR="004E279A" w:rsidRPr="007775D2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201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7</w:t>
      </w:r>
      <w:r w:rsidR="004E279A" w:rsidRPr="007775D2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~2020年11月期間，景氣燈號最高僅為綠燈，2021年則出現多顆紅燈，至2022年燈號分數呈現下滑</w:t>
      </w:r>
    </w:p>
    <w:p w14:paraId="2A03B67F" w14:textId="1AE7E261" w:rsidR="004E279A" w:rsidRDefault="004E279A" w:rsidP="007775D2">
      <w:pPr>
        <w:pStyle w:val="k02"/>
        <w:tabs>
          <w:tab w:val="clear" w:pos="960"/>
          <w:tab w:val="left" w:pos="672"/>
          <w:tab w:val="left" w:pos="1302"/>
        </w:tabs>
        <w:spacing w:beforeLines="50" w:before="180" w:line="540" w:lineRule="exact"/>
        <w:ind w:firstLineChars="177" w:firstLine="566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201</w:t>
      </w:r>
      <w:r w:rsidR="00412C3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7</w:t>
      </w:r>
      <w:r w:rsidRPr="004E279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~2020年11月間，景氣對策信號分數最高僅為綠燈，且2021年出現多顆紅燈，2022年2月起景氣對策信號分數呈現下滑，11月起持續呈現藍燈，顯示2022年1月為高峰時點。</w:t>
      </w:r>
    </w:p>
    <w:p w14:paraId="529A9851" w14:textId="77777777" w:rsidR="008542BA" w:rsidRPr="004E279A" w:rsidRDefault="008542BA" w:rsidP="004E279A">
      <w:pPr>
        <w:pStyle w:val="k02"/>
        <w:tabs>
          <w:tab w:val="clear" w:pos="960"/>
          <w:tab w:val="left" w:pos="680"/>
        </w:tabs>
        <w:spacing w:line="500" w:lineRule="exact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65F01978" w14:textId="718B452B" w:rsidR="004E279A" w:rsidRPr="004E279A" w:rsidRDefault="004E279A" w:rsidP="004E279A">
      <w:pPr>
        <w:widowControl/>
        <w:snapToGrid w:val="0"/>
        <w:spacing w:line="480" w:lineRule="atLeast"/>
        <w:jc w:val="center"/>
        <w:rPr>
          <w:rFonts w:ascii="微軟正黑體" w:eastAsia="微軟正黑體" w:hAnsi="微軟正黑體" w:cs="Times New Roman"/>
          <w:b/>
          <w:bCs/>
          <w:color w:val="000000"/>
          <w:sz w:val="32"/>
          <w:szCs w:val="24"/>
        </w:rPr>
      </w:pPr>
      <w:r w:rsidRPr="004E279A">
        <w:rPr>
          <w:rFonts w:ascii="微軟正黑體" w:eastAsia="微軟正黑體" w:hAnsi="微軟正黑體" w:cs="Times New Roman"/>
          <w:b/>
          <w:bCs/>
          <w:color w:val="000000"/>
          <w:sz w:val="32"/>
          <w:szCs w:val="24"/>
        </w:rPr>
        <w:t>表</w:t>
      </w:r>
      <w:r w:rsidR="00384BDD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24"/>
        </w:rPr>
        <w:t>：</w:t>
      </w:r>
      <w:r w:rsidRPr="004E279A">
        <w:rPr>
          <w:rFonts w:ascii="微軟正黑體" w:eastAsia="微軟正黑體" w:hAnsi="微軟正黑體" w:cs="Times New Roman"/>
          <w:b/>
          <w:bCs/>
          <w:color w:val="000000"/>
          <w:sz w:val="32"/>
          <w:szCs w:val="24"/>
        </w:rPr>
        <w:t>台灣歷次景氣循環峰谷日期</w:t>
      </w:r>
    </w:p>
    <w:tbl>
      <w:tblPr>
        <w:tblW w:w="930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7"/>
        <w:gridCol w:w="1367"/>
        <w:gridCol w:w="1505"/>
        <w:gridCol w:w="1372"/>
        <w:gridCol w:w="1231"/>
        <w:gridCol w:w="1230"/>
        <w:gridCol w:w="1236"/>
      </w:tblGrid>
      <w:tr w:rsidR="004E279A" w:rsidRPr="004E279A" w14:paraId="03ACD570" w14:textId="77777777" w:rsidTr="00431E8A">
        <w:trPr>
          <w:trHeight w:val="104"/>
          <w:jc w:val="center"/>
        </w:trPr>
        <w:tc>
          <w:tcPr>
            <w:tcW w:w="136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0E0ED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循環次</w:t>
            </w:r>
          </w:p>
        </w:tc>
        <w:tc>
          <w:tcPr>
            <w:tcW w:w="1367" w:type="dxa"/>
            <w:vMerge w:val="restart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C7726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谷底</w:t>
            </w:r>
          </w:p>
          <w:p w14:paraId="535397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(年月)</w:t>
            </w:r>
          </w:p>
        </w:tc>
        <w:tc>
          <w:tcPr>
            <w:tcW w:w="1505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6CA50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高峰</w:t>
            </w:r>
          </w:p>
          <w:p w14:paraId="3EBC451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(年月)</w:t>
            </w:r>
          </w:p>
        </w:tc>
        <w:tc>
          <w:tcPr>
            <w:tcW w:w="1372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4528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谷底</w:t>
            </w:r>
          </w:p>
          <w:p w14:paraId="3BCE316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(年月)</w:t>
            </w:r>
          </w:p>
        </w:tc>
        <w:tc>
          <w:tcPr>
            <w:tcW w:w="3697" w:type="dxa"/>
            <w:gridSpan w:val="3"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AE12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持  續  期  間（月）</w:t>
            </w:r>
          </w:p>
        </w:tc>
      </w:tr>
      <w:tr w:rsidR="004E279A" w:rsidRPr="004E279A" w14:paraId="2D4D350E" w14:textId="77777777" w:rsidTr="00431E8A">
        <w:trPr>
          <w:trHeight w:val="36"/>
          <w:jc w:val="center"/>
        </w:trPr>
        <w:tc>
          <w:tcPr>
            <w:tcW w:w="136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4E0C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8" w:space="0" w:color="A6A6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3CAF5FB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vAlign w:val="center"/>
            <w:hideMark/>
          </w:tcPr>
          <w:p w14:paraId="2EF80F9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B6726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125B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擴張期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0187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收縮期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7A8A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全循環</w:t>
            </w:r>
          </w:p>
        </w:tc>
      </w:tr>
      <w:tr w:rsidR="004E279A" w:rsidRPr="004E279A" w14:paraId="3C963A46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92AA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E56CC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1954.11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8C008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1955.11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C8E1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1956.09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E3BC6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0AB1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0771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E279A" w:rsidRPr="004E279A" w14:paraId="7EE2089A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4665D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第2次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D13B0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1956.09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91E1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1964.09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F3C89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1966.01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4500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0103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59D8E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4E279A" w:rsidRPr="004E279A" w14:paraId="7118BF48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0E61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第3次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38F59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1966.01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31D8B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1968.08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54269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1969.10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A6D7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54D0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0A1D7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4E279A" w:rsidRPr="004E279A" w14:paraId="62F1F300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F2CC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lastRenderedPageBreak/>
              <w:t>第4次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4F53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1969.10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FA6DA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1974.02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0E6A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1975.02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DF02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2232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5BE1CA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4E279A" w:rsidRPr="004E279A" w14:paraId="6E1F5916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042110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第5次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5496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1975.02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D4E6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1980.01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6A85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1983.02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56F1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3C2D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7554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4E279A" w:rsidRPr="004E279A" w14:paraId="21158B45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9881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第6次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6D82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1983.02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2F75C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1984.05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C57DA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1985.08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231E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15AA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2EF26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E279A" w:rsidRPr="004E279A" w14:paraId="77DFD8EF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C9E9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第7次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D26D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1985.08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7654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1989.05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58C7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9AC9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FA32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3F2A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4E279A" w:rsidRPr="004E279A" w14:paraId="46B54C4B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24FD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第8次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F79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0722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1995.02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876F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1996.03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8ED6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82BB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1ADC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4E279A" w:rsidRPr="004E279A" w14:paraId="11432197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CA34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第9次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09FF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1996.03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5203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1997.12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1D03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1998.12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EDACD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CC31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604C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E279A" w:rsidRPr="004E279A" w14:paraId="5C6BFB25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C4DA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第10次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C21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1998.12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CE4F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2000.09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8E05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2AF0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0DE4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C41F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E279A" w:rsidRPr="004E279A" w14:paraId="56846751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A6CA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第11次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15F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2001.09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84C6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2004.03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7C31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2005.02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21A0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AA98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7696D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4E279A" w:rsidRPr="004E279A" w14:paraId="19B3FEED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C7DC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第12次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1C54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2005.02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954E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2008.03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A4F1F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2009.02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A3D1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77C7E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FCA62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4E279A" w:rsidRPr="004E279A" w14:paraId="0B0865B6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77E1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第13次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D612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2009.02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45918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2011.02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ECB8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2012.01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7DDC4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8FE9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BBC6D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4E279A" w:rsidRPr="004E279A" w14:paraId="6A86E4B1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2AEDD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第14次</w:t>
            </w:r>
          </w:p>
        </w:tc>
        <w:tc>
          <w:tcPr>
            <w:tcW w:w="1367" w:type="dxa"/>
            <w:tcBorders>
              <w:top w:val="single" w:sz="8" w:space="0" w:color="A6A6A6"/>
              <w:left w:val="single" w:sz="8" w:space="0" w:color="000000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B3385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2012.01</w:t>
            </w:r>
          </w:p>
        </w:tc>
        <w:tc>
          <w:tcPr>
            <w:tcW w:w="1505" w:type="dxa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449F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2014.10</w:t>
            </w:r>
          </w:p>
        </w:tc>
        <w:tc>
          <w:tcPr>
            <w:tcW w:w="1372" w:type="dxa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72C21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2016.02</w:t>
            </w:r>
          </w:p>
        </w:tc>
        <w:tc>
          <w:tcPr>
            <w:tcW w:w="1231" w:type="dxa"/>
            <w:tcBorders>
              <w:top w:val="single" w:sz="8" w:space="0" w:color="A6A6A6"/>
              <w:left w:val="single" w:sz="8" w:space="0" w:color="000000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4B0E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30" w:type="dxa"/>
            <w:tcBorders>
              <w:top w:val="single" w:sz="8" w:space="0" w:color="A6A6A6"/>
              <w:left w:val="single" w:sz="8" w:space="0" w:color="000000"/>
              <w:bottom w:val="single" w:sz="4" w:space="0" w:color="A6A6A6" w:themeColor="background1" w:themeShade="A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A3494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single" w:sz="8" w:space="0" w:color="A6A6A6"/>
              <w:left w:val="single" w:sz="8" w:space="0" w:color="000000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E63C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4E279A" w:rsidRPr="004E279A" w14:paraId="36D2D7C1" w14:textId="77777777" w:rsidTr="00431E8A">
        <w:trPr>
          <w:trHeight w:val="104"/>
          <w:jc w:val="center"/>
        </w:trPr>
        <w:tc>
          <w:tcPr>
            <w:tcW w:w="1367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00500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第1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5</w:t>
            </w: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0A6AA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2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016.02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A9F077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2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022.01</w:t>
            </w: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AEBBC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8"/>
                <w:szCs w:val="28"/>
              </w:rPr>
              <w:t>-</w:t>
            </w: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1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B2515A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7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7E388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-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09939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-</w:t>
            </w:r>
            <w:r w:rsidRPr="004E279A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E279A" w:rsidRPr="004E279A" w14:paraId="2AEFECD0" w14:textId="77777777" w:rsidTr="00431E8A">
        <w:trPr>
          <w:trHeight w:val="104"/>
          <w:jc w:val="center"/>
        </w:trPr>
        <w:tc>
          <w:tcPr>
            <w:tcW w:w="5611" w:type="dxa"/>
            <w:gridSpan w:val="4"/>
            <w:tcBorders>
              <w:top w:val="single" w:sz="8" w:space="0" w:color="000000"/>
              <w:left w:val="single" w:sz="8" w:space="0" w:color="A6A6A6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BDBD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平             均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E4B1B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42FE3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A6A6A6"/>
            </w:tcBorders>
            <w:shd w:val="clear" w:color="auto" w:fill="FCE9A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DF294" w14:textId="77777777" w:rsidR="004E279A" w:rsidRPr="004E279A" w:rsidRDefault="004E279A" w:rsidP="00431E8A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E279A">
              <w:rPr>
                <w:rFonts w:ascii="微軟正黑體" w:eastAsia="微軟正黑體" w:hAnsi="微軟正黑體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</w:tbl>
    <w:p w14:paraId="654E7E05" w14:textId="06E975A4" w:rsidR="004E279A" w:rsidRDefault="004E279A" w:rsidP="00412C3C">
      <w:pPr>
        <w:widowControl/>
        <w:snapToGrid w:val="0"/>
        <w:spacing w:afterLines="50" w:after="180" w:line="480" w:lineRule="atLeast"/>
        <w:ind w:leftChars="-44" w:left="-106"/>
        <w:rPr>
          <w:rFonts w:ascii="微軟正黑體" w:eastAsia="微軟正黑體" w:hAnsi="微軟正黑體" w:cs="Times New Roman"/>
          <w:spacing w:val="4"/>
          <w:sz w:val="30"/>
          <w:szCs w:val="30"/>
          <w:lang w:bidi="hi-IN"/>
        </w:rPr>
      </w:pPr>
      <w:r w:rsidRPr="004E279A">
        <w:rPr>
          <w:rFonts w:ascii="微軟正黑體" w:eastAsia="微軟正黑體" w:hAnsi="微軟正黑體" w:cs="Times New Roman"/>
          <w:sz w:val="20"/>
          <w:szCs w:val="24"/>
        </w:rPr>
        <w:t>資料來源：國發會</w:t>
      </w:r>
      <w:r w:rsidRPr="004E279A">
        <w:rPr>
          <w:rFonts w:ascii="微軟正黑體" w:eastAsia="微軟正黑體" w:hAnsi="微軟正黑體" w:cs="Times New Roman"/>
          <w:spacing w:val="4"/>
          <w:sz w:val="30"/>
          <w:szCs w:val="30"/>
          <w:lang w:bidi="hi-IN"/>
        </w:rPr>
        <w:br w:type="page"/>
      </w:r>
    </w:p>
    <w:p w14:paraId="35A7FB7A" w14:textId="77777777" w:rsidR="00384BDD" w:rsidRPr="00384BDD" w:rsidRDefault="00384BDD" w:rsidP="00384BDD">
      <w:pPr>
        <w:widowControl/>
        <w:snapToGrid w:val="0"/>
        <w:spacing w:afterLines="50" w:after="180" w:line="480" w:lineRule="atLeast"/>
        <w:ind w:leftChars="-44" w:left="-106"/>
        <w:rPr>
          <w:rFonts w:ascii="微軟正黑體" w:eastAsia="微軟正黑體" w:hAnsi="微軟正黑體" w:cs="Times New Roman"/>
          <w:spacing w:val="4"/>
          <w:sz w:val="30"/>
          <w:szCs w:val="30"/>
          <w:lang w:bidi="hi-IN"/>
        </w:rPr>
      </w:pPr>
      <w:r w:rsidRPr="00384BDD">
        <w:rPr>
          <w:rFonts w:ascii="微軟正黑體" w:eastAsia="微軟正黑體" w:hAnsi="微軟正黑體" w:cs="Times New Roman" w:hint="eastAsia"/>
          <w:spacing w:val="4"/>
          <w:sz w:val="30"/>
          <w:szCs w:val="30"/>
          <w:lang w:bidi="hi-IN"/>
        </w:rPr>
        <w:lastRenderedPageBreak/>
        <w:t>聯絡人：經濟發展處吳明蕙處長、郭重附科長</w:t>
      </w:r>
    </w:p>
    <w:p w14:paraId="4552C129" w14:textId="7F5F1B07" w:rsidR="00384BDD" w:rsidRDefault="00384BDD" w:rsidP="00384BDD">
      <w:pPr>
        <w:widowControl/>
        <w:snapToGrid w:val="0"/>
        <w:spacing w:afterLines="50" w:after="180" w:line="480" w:lineRule="atLeast"/>
        <w:ind w:leftChars="-44" w:left="-106"/>
        <w:rPr>
          <w:rFonts w:ascii="微軟正黑體" w:eastAsia="微軟正黑體" w:hAnsi="微軟正黑體" w:cs="Times New Roman"/>
          <w:spacing w:val="4"/>
          <w:sz w:val="30"/>
          <w:szCs w:val="30"/>
          <w:lang w:bidi="hi-IN"/>
        </w:rPr>
      </w:pPr>
      <w:r w:rsidRPr="00384BDD">
        <w:rPr>
          <w:rFonts w:ascii="微軟正黑體" w:eastAsia="微軟正黑體" w:hAnsi="微軟正黑體" w:cs="Times New Roman" w:hint="eastAsia"/>
          <w:spacing w:val="4"/>
          <w:sz w:val="30"/>
          <w:szCs w:val="30"/>
          <w:lang w:bidi="hi-IN"/>
        </w:rPr>
        <w:t>辦公室電話：(02)2316-5851、5346</w:t>
      </w:r>
    </w:p>
    <w:p w14:paraId="7E9CD7D8" w14:textId="77777777" w:rsidR="00384BDD" w:rsidRPr="00412C3C" w:rsidRDefault="00384BDD" w:rsidP="00384BDD">
      <w:pPr>
        <w:widowControl/>
        <w:snapToGrid w:val="0"/>
        <w:spacing w:afterLines="50" w:after="180" w:line="480" w:lineRule="atLeast"/>
        <w:ind w:leftChars="-44" w:left="-106"/>
        <w:rPr>
          <w:rFonts w:ascii="微軟正黑體" w:eastAsia="微軟正黑體" w:hAnsi="微軟正黑體" w:cs="Times New Roman"/>
          <w:spacing w:val="4"/>
          <w:sz w:val="30"/>
          <w:szCs w:val="30"/>
          <w:lang w:bidi="hi-IN"/>
        </w:rPr>
      </w:pPr>
    </w:p>
    <w:p w14:paraId="58A3C13B" w14:textId="6549416B" w:rsidR="004E279A" w:rsidRPr="007775D2" w:rsidRDefault="008542BA" w:rsidP="007775D2">
      <w:pPr>
        <w:spacing w:line="520" w:lineRule="exact"/>
        <w:ind w:leftChars="-10" w:left="155" w:rightChars="-142" w:right="-341" w:hangingChars="56" w:hanging="179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7775D2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三、</w:t>
      </w:r>
      <w:r w:rsidR="004E279A" w:rsidRPr="007775D2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持續優化產業</w:t>
      </w:r>
      <w:r w:rsidR="001B2F00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投資</w:t>
      </w:r>
      <w:r w:rsidR="004E279A" w:rsidRPr="007775D2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五大要素政策，穩健邁向疫後復甦</w:t>
      </w:r>
    </w:p>
    <w:p w14:paraId="079A40D5" w14:textId="44CCE287" w:rsidR="004E279A" w:rsidRPr="004E279A" w:rsidRDefault="008542BA" w:rsidP="008542B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</w:t>
      </w:r>
      <w:r w:rsidR="007775D2">
        <w:rPr>
          <w:rFonts w:ascii="微軟正黑體" w:eastAsia="微軟正黑體" w:hAnsi="微軟正黑體" w:hint="eastAsia"/>
          <w:sz w:val="32"/>
          <w:szCs w:val="32"/>
        </w:rPr>
        <w:t>本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次委員會議</w:t>
      </w:r>
      <w:r w:rsidR="001B2F00">
        <w:rPr>
          <w:rFonts w:ascii="微軟正黑體" w:eastAsia="微軟正黑體" w:hAnsi="微軟正黑體" w:hint="eastAsia"/>
          <w:sz w:val="32"/>
          <w:szCs w:val="32"/>
        </w:rPr>
        <w:t>請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經濟部、國發會及勞動部</w:t>
      </w:r>
      <w:r w:rsidR="001B2F00">
        <w:rPr>
          <w:rFonts w:ascii="微軟正黑體" w:eastAsia="微軟正黑體" w:hAnsi="微軟正黑體" w:hint="eastAsia"/>
          <w:sz w:val="32"/>
          <w:szCs w:val="32"/>
        </w:rPr>
        <w:t>就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「產業</w:t>
      </w:r>
      <w:r w:rsidR="001B2F00">
        <w:rPr>
          <w:rFonts w:ascii="微軟正黑體" w:eastAsia="微軟正黑體" w:hAnsi="微軟正黑體" w:hint="eastAsia"/>
          <w:sz w:val="32"/>
          <w:szCs w:val="32"/>
        </w:rPr>
        <w:t>投資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五大要素優化政策111年度執行總成效」案進行</w:t>
      </w:r>
      <w:r w:rsidR="001B2F00">
        <w:rPr>
          <w:rFonts w:ascii="微軟正黑體" w:eastAsia="微軟正黑體" w:hAnsi="微軟正黑體" w:hint="eastAsia"/>
          <w:sz w:val="32"/>
          <w:szCs w:val="32"/>
        </w:rPr>
        <w:t>報告</w:t>
      </w:r>
      <w:r w:rsidR="004E279A" w:rsidRPr="004E279A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43B5ED8A" w14:textId="59321535" w:rsidR="004E279A" w:rsidRP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E279A">
        <w:rPr>
          <w:rFonts w:ascii="微軟正黑體" w:eastAsia="微軟正黑體" w:hAnsi="微軟正黑體" w:hint="eastAsia"/>
          <w:sz w:val="32"/>
          <w:szCs w:val="32"/>
        </w:rPr>
        <w:t>相關部會執行「產業</w:t>
      </w:r>
      <w:r w:rsidR="001B2F00">
        <w:rPr>
          <w:rFonts w:ascii="微軟正黑體" w:eastAsia="微軟正黑體" w:hAnsi="微軟正黑體" w:hint="eastAsia"/>
          <w:sz w:val="32"/>
          <w:szCs w:val="32"/>
        </w:rPr>
        <w:t>投資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五大要素優化政策」迄今已累積相當成效，龔主委除肯定及感謝各執行部會的努力，也表示國內投資環境已較過往優化且具競爭力，預期可滿足未來重點產業投資發展需求。龔主委強調，在俄烏戰爭及氣候變遷持續影響下，通貨膨脹壓力及國際金融情勢趨緊，也連帶牽動</w:t>
      </w:r>
      <w:r w:rsidR="007775D2">
        <w:rPr>
          <w:rFonts w:ascii="微軟正黑體" w:eastAsia="微軟正黑體" w:hAnsi="微軟正黑體" w:hint="eastAsia"/>
          <w:sz w:val="32"/>
          <w:szCs w:val="32"/>
        </w:rPr>
        <w:t>台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灣整體經濟環境的變化；請各要素執行部會審慎因應國際經貿局勢的變化，優化五大要素精進策略加速推動成效，促進產業轉型升級，建立強韌產業供應鏈，深化國際合作鏈結，打造更加堅韌的</w:t>
      </w:r>
      <w:r w:rsidR="007775D2">
        <w:rPr>
          <w:rFonts w:ascii="微軟正黑體" w:eastAsia="微軟正黑體" w:hAnsi="微軟正黑體" w:hint="eastAsia"/>
          <w:sz w:val="32"/>
          <w:szCs w:val="32"/>
        </w:rPr>
        <w:t>台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灣。</w:t>
      </w:r>
    </w:p>
    <w:p w14:paraId="3566AFE2" w14:textId="115588E5" w:rsidR="004E279A" w:rsidRP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E279A">
        <w:rPr>
          <w:rFonts w:ascii="微軟正黑體" w:eastAsia="微軟正黑體" w:hAnsi="微軟正黑體" w:hint="eastAsia"/>
          <w:sz w:val="32"/>
          <w:szCs w:val="32"/>
        </w:rPr>
        <w:t>土地要素部分，經濟部為提供</w:t>
      </w:r>
      <w:r w:rsidR="007775D2">
        <w:rPr>
          <w:rFonts w:ascii="微軟正黑體" w:eastAsia="微軟正黑體" w:hAnsi="微軟正黑體" w:hint="eastAsia"/>
          <w:sz w:val="32"/>
          <w:szCs w:val="32"/>
        </w:rPr>
        <w:t>台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商回</w:t>
      </w:r>
      <w:r w:rsidR="007775D2">
        <w:rPr>
          <w:rFonts w:ascii="微軟正黑體" w:eastAsia="微軟正黑體" w:hAnsi="微軟正黑體" w:hint="eastAsia"/>
          <w:sz w:val="32"/>
          <w:szCs w:val="32"/>
        </w:rPr>
        <w:t>台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投資及企業投資等用地需求，積極協助企業排除產業用地取得障礙，至111年推動工業區更新立體化發展方案已新增樓地板面積（容積獎勵部分）約11.6萬平方公尺，新增投資額326.06億元；未來將陸續完成與台糖合作的中埔、水上、新市、北高雄及褒忠等5處新產業園區開發與招商，以滿足產業用地需求。</w:t>
      </w:r>
    </w:p>
    <w:p w14:paraId="3F764865" w14:textId="31E690D3" w:rsidR="004E279A" w:rsidRP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E279A">
        <w:rPr>
          <w:rFonts w:ascii="微軟正黑體" w:eastAsia="微軟正黑體" w:hAnsi="微軟正黑體" w:hint="eastAsia"/>
          <w:sz w:val="32"/>
          <w:szCs w:val="32"/>
        </w:rPr>
        <w:t>供水要素部分，自106年迄今累計增加每日197萬噸水源，相當於全</w:t>
      </w:r>
      <w:r w:rsidR="007775D2">
        <w:rPr>
          <w:rFonts w:ascii="微軟正黑體" w:eastAsia="微軟正黑體" w:hAnsi="微軟正黑體" w:hint="eastAsia"/>
          <w:sz w:val="32"/>
          <w:szCs w:val="32"/>
        </w:rPr>
        <w:t>台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18%用水量；111年已達成每日增供21.9萬</w:t>
      </w:r>
      <w:r w:rsidRPr="004E279A">
        <w:rPr>
          <w:rFonts w:ascii="微軟正黑體" w:eastAsia="微軟正黑體" w:hAnsi="微軟正黑體" w:hint="eastAsia"/>
          <w:sz w:val="32"/>
          <w:szCs w:val="32"/>
        </w:rPr>
        <w:lastRenderedPageBreak/>
        <w:t>噸穩定供水目標，預計112年再增加</w:t>
      </w:r>
      <w:r w:rsidRPr="004E279A">
        <w:rPr>
          <w:rFonts w:ascii="微軟正黑體" w:eastAsia="微軟正黑體" w:hAnsi="微軟正黑體"/>
          <w:sz w:val="32"/>
          <w:szCs w:val="32"/>
        </w:rPr>
        <w:t>23.35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萬噸水量。考量氣候變遷、旱澇頻繁、高科技產業發展用水快速成長，且南部正值缺水嚴峻，經濟部將趕辦多元水源開發及強化西部廊道供水管網，以確保供水穩定及備援能力。</w:t>
      </w:r>
    </w:p>
    <w:p w14:paraId="37C4159F" w14:textId="71647741" w:rsidR="004E279A" w:rsidRP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E279A">
        <w:rPr>
          <w:rFonts w:ascii="微軟正黑體" w:eastAsia="微軟正黑體" w:hAnsi="微軟正黑體" w:hint="eastAsia"/>
          <w:sz w:val="32"/>
          <w:szCs w:val="32"/>
        </w:rPr>
        <w:t>供電要素部分，經濟部截至111年已完成210.8萬戶智慧電表布建，為達成2025能源轉型政策，將持續推動能源結構轉型，增加低碳天然氣、減少燃煤發電、推展再生能源，同時加速智慧電表布建，發展相關儲能設施，確保供電穩定。</w:t>
      </w:r>
    </w:p>
    <w:p w14:paraId="120EFE6F" w14:textId="77777777" w:rsidR="007775D2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E279A">
        <w:rPr>
          <w:rFonts w:ascii="微軟正黑體" w:eastAsia="微軟正黑體" w:hAnsi="微軟正黑體" w:hint="eastAsia"/>
          <w:sz w:val="32"/>
          <w:szCs w:val="32"/>
        </w:rPr>
        <w:t>優化人才和勞工要素部分，因應2050淨零排放目標，強化淨零人才培養與優化將攸關</w:t>
      </w:r>
      <w:r w:rsidR="007775D2">
        <w:rPr>
          <w:rFonts w:ascii="微軟正黑體" w:eastAsia="微軟正黑體" w:hAnsi="微軟正黑體" w:hint="eastAsia"/>
          <w:sz w:val="32"/>
          <w:szCs w:val="32"/>
        </w:rPr>
        <w:t>台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灣經濟永續發展，應同步提升人才的質與量，讓</w:t>
      </w:r>
      <w:r w:rsidR="007775D2">
        <w:rPr>
          <w:rFonts w:ascii="微軟正黑體" w:eastAsia="微軟正黑體" w:hAnsi="微軟正黑體" w:hint="eastAsia"/>
          <w:sz w:val="32"/>
          <w:szCs w:val="32"/>
        </w:rPr>
        <w:t>台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灣成為全球人才薈萃中心。</w:t>
      </w:r>
      <w:r w:rsidRPr="004E279A">
        <w:rPr>
          <w:rFonts w:ascii="微軟正黑體" w:eastAsia="微軟正黑體" w:hAnsi="微軟正黑體"/>
          <w:sz w:val="32"/>
          <w:szCs w:val="32"/>
        </w:rPr>
        <w:t>國發會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將持續協同各主辦機關在既有基礎上，辦理「關鍵人才培育及延攬方案」滾動檢討，適時納入數位發展部之數位人才培訓重點工作，與時俱進推動各項創新措施。</w:t>
      </w:r>
    </w:p>
    <w:p w14:paraId="787E40D0" w14:textId="6443B2BA" w:rsidR="004E279A" w:rsidRDefault="004E279A" w:rsidP="004E279A">
      <w:pPr>
        <w:pStyle w:val="k02"/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4E279A">
        <w:rPr>
          <w:rFonts w:ascii="微軟正黑體" w:eastAsia="微軟正黑體" w:hAnsi="微軟正黑體" w:hint="eastAsia"/>
          <w:sz w:val="32"/>
          <w:szCs w:val="32"/>
        </w:rPr>
        <w:t>另針對後疫情時代產業重啟之際，大環境面臨缺工、缺料、通膨及營建物價上漲等風險，勞動部將偕同相關部會持續關注引進外籍移工情形，並透過「移工留才久用方案」開放外國人在</w:t>
      </w:r>
      <w:r w:rsidR="007775D2">
        <w:rPr>
          <w:rFonts w:ascii="微軟正黑體" w:eastAsia="微軟正黑體" w:hAnsi="微軟正黑體" w:hint="eastAsia"/>
          <w:sz w:val="32"/>
          <w:szCs w:val="32"/>
        </w:rPr>
        <w:t>台</w:t>
      </w:r>
      <w:r w:rsidRPr="004E279A">
        <w:rPr>
          <w:rFonts w:ascii="微軟正黑體" w:eastAsia="微軟正黑體" w:hAnsi="微軟正黑體" w:hint="eastAsia"/>
          <w:sz w:val="32"/>
          <w:szCs w:val="32"/>
        </w:rPr>
        <w:t>從事中階技術工作，推動強化本勞技術培訓與聘用、公共工程朝自動化及預鑄化設計等精進措施，期能解決產業中階技術人力短缺問題，提供產業所需人力。</w:t>
      </w:r>
    </w:p>
    <w:p w14:paraId="1E89536A" w14:textId="52EFB729" w:rsidR="004E279A" w:rsidRPr="007775D2" w:rsidRDefault="004E279A" w:rsidP="004E279A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32"/>
          <w:szCs w:val="32"/>
        </w:rPr>
      </w:pPr>
    </w:p>
    <w:p w14:paraId="1551DA0F" w14:textId="4EA6F656" w:rsidR="004E279A" w:rsidRPr="007775D2" w:rsidRDefault="004E279A" w:rsidP="004E279A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32"/>
          <w:szCs w:val="32"/>
        </w:rPr>
      </w:pPr>
      <w:r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聯絡人：管制考核處鄒</w:t>
      </w:r>
      <w:r w:rsidR="008542BA"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勳元</w:t>
      </w:r>
      <w:r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副處長、丁</w:t>
      </w:r>
      <w:r w:rsidR="008542BA"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筱真</w:t>
      </w:r>
      <w:r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科長</w:t>
      </w:r>
    </w:p>
    <w:p w14:paraId="00272F0B" w14:textId="5184DAEF" w:rsidR="004E279A" w:rsidRPr="007775D2" w:rsidRDefault="004E279A" w:rsidP="004E279A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32"/>
          <w:szCs w:val="32"/>
        </w:rPr>
      </w:pPr>
      <w:r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辦公室電話：02-2316-5300</w:t>
      </w:r>
      <w:r w:rsidR="008542BA"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分機</w:t>
      </w:r>
      <w:r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6601、66</w:t>
      </w:r>
      <w:r w:rsidRPr="007775D2">
        <w:rPr>
          <w:rFonts w:ascii="微軟正黑體" w:eastAsia="微軟正黑體" w:hAnsi="微軟正黑體" w:cs="Times New Roman"/>
          <w:bCs/>
          <w:kern w:val="0"/>
          <w:sz w:val="32"/>
          <w:szCs w:val="32"/>
        </w:rPr>
        <w:t>4</w:t>
      </w:r>
      <w:r w:rsidRPr="007775D2">
        <w:rPr>
          <w:rFonts w:ascii="微軟正黑體" w:eastAsia="微軟正黑體" w:hAnsi="微軟正黑體" w:cs="Times New Roman" w:hint="eastAsia"/>
          <w:bCs/>
          <w:kern w:val="0"/>
          <w:sz w:val="32"/>
          <w:szCs w:val="32"/>
        </w:rPr>
        <w:t>0</w:t>
      </w:r>
    </w:p>
    <w:p w14:paraId="52272CF8" w14:textId="43F51656" w:rsidR="004E279A" w:rsidRPr="004E279A" w:rsidRDefault="004E279A" w:rsidP="007775D2">
      <w:pPr>
        <w:ind w:rightChars="-319" w:right="-766"/>
        <w:rPr>
          <w:rFonts w:ascii="微軟正黑體" w:eastAsia="微軟正黑體" w:hAnsi="微軟正黑體"/>
        </w:rPr>
      </w:pPr>
    </w:p>
    <w:p w14:paraId="7CB39FD5" w14:textId="04C0B2B8" w:rsidR="004E279A" w:rsidRPr="004E279A" w:rsidRDefault="008542BA" w:rsidP="007775D2">
      <w:pPr>
        <w:pStyle w:val="k00t26"/>
        <w:overflowPunct w:val="0"/>
        <w:spacing w:beforeLines="50" w:before="180" w:afterLines="50" w:after="180" w:line="500" w:lineRule="exact"/>
        <w:ind w:leftChars="-59" w:left="-142" w:rightChars="-201" w:right="-482" w:firstLineChars="44" w:firstLine="141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lastRenderedPageBreak/>
        <w:t>四、</w:t>
      </w:r>
      <w:r w:rsidR="004E279A" w:rsidRPr="004E279A">
        <w:rPr>
          <w:rFonts w:ascii="微軟正黑體" w:eastAsia="微軟正黑體" w:hAnsi="微軟正黑體"/>
          <w:b/>
          <w:bCs/>
          <w:color w:val="000000" w:themeColor="text1"/>
          <w:sz w:val="32"/>
          <w:szCs w:val="36"/>
          <w:lang w:eastAsia="zh-HK"/>
        </w:rPr>
        <w:t>審議通過「</w:t>
      </w:r>
      <w:r w:rsidR="004E279A" w:rsidRPr="004E279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6"/>
          <w:lang w:eastAsia="zh-HK"/>
        </w:rPr>
        <w:t>永續水質推動計畫2.0</w:t>
      </w:r>
      <w:r w:rsidR="004E279A" w:rsidRPr="004E279A">
        <w:rPr>
          <w:rFonts w:ascii="微軟正黑體" w:eastAsia="微軟正黑體" w:hAnsi="微軟正黑體"/>
          <w:b/>
          <w:bCs/>
          <w:color w:val="000000" w:themeColor="text1"/>
          <w:sz w:val="32"/>
          <w:szCs w:val="36"/>
          <w:lang w:eastAsia="zh-HK"/>
        </w:rPr>
        <w:t>」</w:t>
      </w:r>
      <w:r w:rsidR="004E279A" w:rsidRPr="004E279A">
        <w:rPr>
          <w:rFonts w:ascii="微軟正黑體" w:eastAsia="微軟正黑體" w:hAnsi="微軟正黑體"/>
          <w:b/>
          <w:bCs/>
          <w:sz w:val="32"/>
          <w:szCs w:val="36"/>
          <w:lang w:eastAsia="zh-HK"/>
        </w:rPr>
        <w:t>，</w:t>
      </w:r>
      <w:r w:rsidR="004E279A" w:rsidRPr="004E279A">
        <w:rPr>
          <w:rFonts w:ascii="微軟正黑體" w:eastAsia="微軟正黑體" w:hAnsi="微軟正黑體" w:hint="eastAsia"/>
          <w:b/>
          <w:bCs/>
          <w:sz w:val="32"/>
          <w:szCs w:val="36"/>
          <w:lang w:eastAsia="zh-HK"/>
        </w:rPr>
        <w:t>改善水體環境品質</w:t>
      </w:r>
    </w:p>
    <w:p w14:paraId="66056E29" w14:textId="2B9E207A" w:rsidR="004E279A" w:rsidRPr="004E279A" w:rsidRDefault="007775D2" w:rsidP="004E279A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本次</w:t>
      </w:r>
      <w:r w:rsidR="004E279A"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委員會議審議通過行政院交議之環保署「永續水質推動計畫2.0－河川環境品質提升計畫</w:t>
      </w:r>
      <w:r w:rsidR="004E279A"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(113</w:t>
      </w:r>
      <w:r w:rsidR="004E279A"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至</w:t>
      </w:r>
      <w:r w:rsidR="004E279A"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116</w:t>
      </w:r>
      <w:r w:rsidR="004E279A"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年</w:t>
      </w:r>
      <w:r w:rsidR="004E279A"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)</w:t>
      </w:r>
      <w:r w:rsidR="004E279A"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」，全案將陳報行政院核定，該計畫將辦理</w:t>
      </w:r>
      <w:r w:rsidR="004E279A"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「污染源頭削減」</w:t>
      </w:r>
      <w:r w:rsidR="004E279A"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、</w:t>
      </w:r>
      <w:r w:rsidR="004E279A"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「水體水質淨化」</w:t>
      </w:r>
      <w:r w:rsidR="004E279A"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及</w:t>
      </w:r>
      <w:r w:rsidR="004E279A"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「永續環境管理」</w:t>
      </w:r>
      <w:r w:rsidR="004E279A"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等工作，以達成消除污染河段、優化水源水質及提升近水體驗等目標。</w:t>
      </w:r>
    </w:p>
    <w:p w14:paraId="79600EA8" w14:textId="68E5D45E" w:rsidR="004E279A" w:rsidRPr="000D04DD" w:rsidRDefault="004E279A" w:rsidP="000D04DD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淨零轉型是全世界的目標，也是</w:t>
      </w:r>
      <w:r w:rsidR="007775D2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台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灣的目標。環保署為落實我國2050淨零轉型政策推動，及達到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「國家環境保護計畫」所定2030年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全國主要河川無嚴重污染河段目標，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爰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提報「永續水質推動計畫2.0－河川環境品質提升計畫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(113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至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116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年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)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」，執行期程113至116年，總經費44億8,000萬元，分由中央公務預算(公共建設經費)編列24億4,950萬元，部會基本需求編列2億4,000萬元，環保署水污染防治基金編列2億7,720萬元，地方配合款編列15億1,330萬元。</w:t>
      </w:r>
      <w:r w:rsidR="000D04DD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龔主委</w:t>
      </w:r>
      <w:r w:rsidR="000D04DD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也</w:t>
      </w:r>
      <w:r w:rsidR="000D04DD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特別提醒加強本案相關管制考核工作，並依執行進度滾動調整</w:t>
      </w:r>
      <w:r w:rsidR="007217D6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補助</w:t>
      </w:r>
      <w:r w:rsidR="000D04DD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經費。</w:t>
      </w:r>
    </w:p>
    <w:p w14:paraId="751F3538" w14:textId="248E6C83" w:rsidR="004E279A" w:rsidRPr="004E279A" w:rsidRDefault="004E279A" w:rsidP="004E279A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</w:pP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本計畫工作重點包括河川上、中、下游河段規劃「污染源頭削減」、「水體水質淨化」及「永續環境管理」三大策略，十五項重點工作，並與地方政府協力推動各項水體環境整治工作，期打造符合用途需求的水體水質，並實現</w:t>
      </w:r>
      <w:r w:rsidR="007775D2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魚</w:t>
      </w:r>
      <w:r w:rsidR="007775D2" w:rsidRPr="007775D2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若空遊無所依</w:t>
      </w:r>
      <w:r w:rsidR="007775D2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，</w:t>
      </w:r>
      <w:r w:rsidR="007775D2" w:rsidRPr="007775D2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與游者相樂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的</w:t>
      </w:r>
      <w:r w:rsidR="007775D2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美好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願景。</w:t>
      </w:r>
    </w:p>
    <w:p w14:paraId="49499EA7" w14:textId="78EFF202" w:rsidR="004E279A" w:rsidRDefault="004E279A" w:rsidP="004E279A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</w:pP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計畫完成後預計可削減河川大排中生化需氧量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3,285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公噸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/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年，約削減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22.5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萬人一年所產生的污染量，同時可減少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5,730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公噸/年的碳排放，並創造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280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公噸/年的固碳量。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lastRenderedPageBreak/>
        <w:t>環保署藉由整合跨部會量能，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以源頭管制與末端處理並進之方式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治理，並兼顧減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(固)</w:t>
      </w:r>
      <w:r w:rsidRPr="004E279A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  <w:lang w:eastAsia="zh-HK"/>
        </w:rPr>
        <w:t>碳效益，逐步轉型我國水污染防治工作，除可改善水體環境品質，提升民眾近水體驗外，同時呼應我國2050淨零轉型政策推動。</w:t>
      </w:r>
    </w:p>
    <w:p w14:paraId="3405DC4B" w14:textId="77777777" w:rsidR="007775D2" w:rsidRPr="000D04DD" w:rsidRDefault="007775D2" w:rsidP="004E279A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微軟正黑體" w:eastAsia="微軟正黑體" w:hAnsi="微軟正黑體" w:cs="Times New Roman"/>
          <w:color w:val="FF0000"/>
          <w:kern w:val="0"/>
          <w:sz w:val="32"/>
          <w:szCs w:val="32"/>
        </w:rPr>
      </w:pPr>
    </w:p>
    <w:p w14:paraId="28584982" w14:textId="3149E777" w:rsidR="004E279A" w:rsidRPr="004E279A" w:rsidRDefault="004E279A" w:rsidP="004E279A">
      <w:pPr>
        <w:spacing w:beforeLines="50" w:before="180" w:line="540" w:lineRule="exact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</w:pP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  <w:t>聯絡人：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國土區域離島發展</w:t>
      </w:r>
      <w:r w:rsidR="00A872D9"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處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  <w:lang w:eastAsia="zh-HK"/>
        </w:rPr>
        <w:t>彭紹博</w:t>
      </w:r>
      <w:r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  <w:t>處長</w:t>
      </w:r>
    </w:p>
    <w:p w14:paraId="2C66BED4" w14:textId="3FB0A567" w:rsidR="004E279A" w:rsidRPr="008542BA" w:rsidRDefault="007775D2" w:rsidP="008542BA">
      <w:pPr>
        <w:kinsoku w:val="0"/>
        <w:overflowPunct w:val="0"/>
        <w:spacing w:line="540" w:lineRule="exact"/>
        <w:jc w:val="both"/>
        <w:rPr>
          <w:rFonts w:ascii="微軟正黑體" w:eastAsia="微軟正黑體" w:hAnsi="微軟正黑體" w:cs="Times New Roman"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color w:val="000000" w:themeColor="text1"/>
          <w:kern w:val="0"/>
          <w:sz w:val="32"/>
          <w:szCs w:val="32"/>
        </w:rPr>
        <w:t>辦公室</w:t>
      </w:r>
      <w:r w:rsidR="004E279A" w:rsidRPr="004E279A">
        <w:rPr>
          <w:rFonts w:ascii="微軟正黑體" w:eastAsia="微軟正黑體" w:hAnsi="微軟正黑體" w:cs="Times New Roman"/>
          <w:color w:val="000000" w:themeColor="text1"/>
          <w:kern w:val="0"/>
          <w:sz w:val="32"/>
          <w:szCs w:val="32"/>
        </w:rPr>
        <w:t>電話：02-2316-5317</w:t>
      </w:r>
    </w:p>
    <w:sectPr w:rsidR="004E279A" w:rsidRPr="008542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889A" w14:textId="77777777" w:rsidR="00A91A8F" w:rsidRDefault="00A91A8F" w:rsidP="00E6249C">
      <w:r>
        <w:separator/>
      </w:r>
    </w:p>
  </w:endnote>
  <w:endnote w:type="continuationSeparator" w:id="0">
    <w:p w14:paraId="1EBA0CC8" w14:textId="77777777" w:rsidR="00A91A8F" w:rsidRDefault="00A91A8F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魏碑">
    <w:altName w:val="新細明體"/>
    <w:panose1 w:val="020B0604020202020204"/>
    <w:charset w:val="88"/>
    <w:family w:val="modern"/>
    <w:notTrueType/>
    <w:pitch w:val="fixed"/>
    <w:sig w:usb0="00000001" w:usb1="08080000" w:usb2="00000010" w:usb3="00000000" w:csb0="001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772712"/>
      <w:docPartObj>
        <w:docPartGallery w:val="Page Numbers (Bottom of Page)"/>
        <w:docPartUnique/>
      </w:docPartObj>
    </w:sdtPr>
    <w:sdtContent>
      <w:p w14:paraId="59D47604" w14:textId="234D7CAB" w:rsidR="0005168D" w:rsidRDefault="0005168D" w:rsidP="000516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1E14" w14:textId="77777777" w:rsidR="00A91A8F" w:rsidRDefault="00A91A8F" w:rsidP="00E6249C">
      <w:r>
        <w:separator/>
      </w:r>
    </w:p>
  </w:footnote>
  <w:footnote w:type="continuationSeparator" w:id="0">
    <w:p w14:paraId="419F190D" w14:textId="77777777" w:rsidR="00A91A8F" w:rsidRDefault="00A91A8F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C029F"/>
    <w:multiLevelType w:val="hybridMultilevel"/>
    <w:tmpl w:val="1D2A3500"/>
    <w:lvl w:ilvl="0" w:tplc="A0763AAA">
      <w:start w:val="1"/>
      <w:numFmt w:val="taiwaneseCountingThousand"/>
      <w:lvlText w:val="%1、"/>
      <w:lvlJc w:val="left"/>
      <w:pPr>
        <w:ind w:left="1120" w:hanging="480"/>
      </w:pPr>
      <w:rPr>
        <w:rFonts w:ascii="微軟正黑體" w:eastAsia="微軟正黑體" w:hAnsi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F4096A"/>
    <w:multiLevelType w:val="hybridMultilevel"/>
    <w:tmpl w:val="9EFCC8FC"/>
    <w:lvl w:ilvl="0" w:tplc="F2A070D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8064A2" w:themeColor="accent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5273063">
    <w:abstractNumId w:val="2"/>
  </w:num>
  <w:num w:numId="2" w16cid:durableId="1926570818">
    <w:abstractNumId w:val="1"/>
  </w:num>
  <w:num w:numId="3" w16cid:durableId="978459757">
    <w:abstractNumId w:val="4"/>
  </w:num>
  <w:num w:numId="4" w16cid:durableId="1968316600">
    <w:abstractNumId w:val="0"/>
  </w:num>
  <w:num w:numId="5" w16cid:durableId="502008826">
    <w:abstractNumId w:val="5"/>
  </w:num>
  <w:num w:numId="6" w16cid:durableId="564342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035AF"/>
    <w:rsid w:val="0005168D"/>
    <w:rsid w:val="000D04DD"/>
    <w:rsid w:val="000D5AFF"/>
    <w:rsid w:val="001B2F00"/>
    <w:rsid w:val="0030055C"/>
    <w:rsid w:val="00337674"/>
    <w:rsid w:val="00384BDD"/>
    <w:rsid w:val="003A5374"/>
    <w:rsid w:val="003B513A"/>
    <w:rsid w:val="003F1C5D"/>
    <w:rsid w:val="00412C3C"/>
    <w:rsid w:val="00471EC1"/>
    <w:rsid w:val="00482687"/>
    <w:rsid w:val="004A7A2A"/>
    <w:rsid w:val="004E279A"/>
    <w:rsid w:val="00707A00"/>
    <w:rsid w:val="007217D6"/>
    <w:rsid w:val="00731D7A"/>
    <w:rsid w:val="007775D2"/>
    <w:rsid w:val="007A0379"/>
    <w:rsid w:val="00821D3D"/>
    <w:rsid w:val="008467FC"/>
    <w:rsid w:val="008542BA"/>
    <w:rsid w:val="008F03F1"/>
    <w:rsid w:val="00A872D9"/>
    <w:rsid w:val="00A87C8A"/>
    <w:rsid w:val="00A91A8F"/>
    <w:rsid w:val="00B06697"/>
    <w:rsid w:val="00B25848"/>
    <w:rsid w:val="00B4555F"/>
    <w:rsid w:val="00B751DD"/>
    <w:rsid w:val="00B8432D"/>
    <w:rsid w:val="00B94FEE"/>
    <w:rsid w:val="00C32322"/>
    <w:rsid w:val="00C70360"/>
    <w:rsid w:val="00CB54A0"/>
    <w:rsid w:val="00DB524B"/>
    <w:rsid w:val="00E250F8"/>
    <w:rsid w:val="00E6249C"/>
    <w:rsid w:val="00E74049"/>
    <w:rsid w:val="00E95205"/>
    <w:rsid w:val="00F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link w:val="k020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character" w:customStyle="1" w:styleId="k020">
    <w:name w:val="k02 字元"/>
    <w:link w:val="k02"/>
    <w:locked/>
    <w:rsid w:val="004E279A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4E279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Microsoft Office User</cp:lastModifiedBy>
  <cp:revision>31</cp:revision>
  <dcterms:created xsi:type="dcterms:W3CDTF">2022-05-11T02:11:00Z</dcterms:created>
  <dcterms:modified xsi:type="dcterms:W3CDTF">2023-03-20T14:56:00Z</dcterms:modified>
</cp:coreProperties>
</file>