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0D0D" w14:textId="77777777"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6A266A04" wp14:editId="5EBE1B0E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9BE4" w14:textId="77777777" w:rsidR="004547B8" w:rsidRPr="00A26428" w:rsidRDefault="004547B8" w:rsidP="007E0810">
      <w:pPr>
        <w:spacing w:line="52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A26428">
        <w:rPr>
          <w:rFonts w:asciiTheme="minorEastAsia" w:hAnsiTheme="minorEastAsia" w:cs="Times New Roman" w:hint="eastAsia"/>
          <w:b/>
          <w:bCs/>
          <w:sz w:val="32"/>
          <w:szCs w:val="32"/>
        </w:rPr>
        <w:t>國家發展</w:t>
      </w:r>
      <w:r w:rsidRPr="00A26428">
        <w:rPr>
          <w:rFonts w:asciiTheme="minorEastAsia" w:hAnsiTheme="minorEastAsia" w:cs="Times New Roman"/>
          <w:b/>
          <w:bCs/>
          <w:sz w:val="32"/>
          <w:szCs w:val="32"/>
        </w:rPr>
        <w:t>委員會 新聞稿</w:t>
      </w:r>
    </w:p>
    <w:p w14:paraId="1E505073" w14:textId="77777777" w:rsidR="004547B8" w:rsidRPr="00A26428" w:rsidRDefault="004547B8" w:rsidP="004547B8">
      <w:pPr>
        <w:spacing w:line="280" w:lineRule="exact"/>
        <w:rPr>
          <w:rFonts w:asciiTheme="minorEastAsia" w:hAnsiTheme="minorEastAsia" w:cs="Times New Roman"/>
          <w:b/>
          <w:bCs/>
          <w:sz w:val="32"/>
          <w:szCs w:val="32"/>
        </w:rPr>
      </w:pPr>
    </w:p>
    <w:p w14:paraId="0A2AFE5C" w14:textId="3D219915" w:rsidR="00C8570C" w:rsidRPr="00C8570C" w:rsidRDefault="00C8570C" w:rsidP="00C8570C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C8570C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政府服務奬精選春節好遊程</w:t>
      </w:r>
      <w:r w:rsidR="00B8356E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-</w:t>
      </w:r>
    </w:p>
    <w:p w14:paraId="2E6CB3D7" w14:textId="3A99E637" w:rsidR="00C8570C" w:rsidRPr="00C8570C" w:rsidRDefault="00CA078F" w:rsidP="00C8570C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CA078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探索東海岸</w:t>
      </w:r>
      <w:r w:rsidR="00996114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部落旅遊</w:t>
      </w:r>
      <w:r w:rsidRPr="00CA078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及</w:t>
      </w:r>
      <w:bookmarkStart w:id="0" w:name="_Hlk123717910"/>
      <w:r w:rsidRPr="00CA078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體驗苗栗</w:t>
      </w:r>
      <w:r w:rsidR="00B8356E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舊</w:t>
      </w:r>
      <w:r w:rsidRPr="00CA078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鐵道自行車</w:t>
      </w:r>
      <w:bookmarkEnd w:id="0"/>
      <w:r w:rsidR="00C8570C" w:rsidRPr="00C8570C">
        <w:rPr>
          <w:rFonts w:asciiTheme="minorEastAsia" w:hAnsiTheme="minorEastAsia" w:cs="Times New Roman"/>
          <w:b/>
          <w:bCs/>
          <w:kern w:val="0"/>
          <w:sz w:val="36"/>
          <w:szCs w:val="36"/>
        </w:rPr>
        <w:t xml:space="preserve"> </w:t>
      </w:r>
    </w:p>
    <w:p w14:paraId="1B3BFD39" w14:textId="77777777" w:rsidR="00A26428" w:rsidRDefault="00A26428" w:rsidP="004547B8">
      <w:pPr>
        <w:spacing w:line="480" w:lineRule="exact"/>
        <w:jc w:val="center"/>
        <w:rPr>
          <w:rFonts w:asciiTheme="minorEastAsia" w:hAnsiTheme="minorEastAsia" w:cs="Times New Roman"/>
          <w:b/>
          <w:bCs/>
          <w:color w:val="A6A6A6" w:themeColor="background1" w:themeShade="A6"/>
          <w:kern w:val="0"/>
          <w:szCs w:val="24"/>
        </w:rPr>
      </w:pPr>
    </w:p>
    <w:p w14:paraId="676E3D6F" w14:textId="77777777" w:rsidR="007C2716" w:rsidRPr="001A21D5" w:rsidRDefault="007C2716" w:rsidP="004547B8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</w:p>
    <w:p w14:paraId="0B37C157" w14:textId="4FED7CF7" w:rsidR="001A21D5" w:rsidRPr="00DD1C2A" w:rsidRDefault="001A21D5" w:rsidP="000C68BB">
      <w:pPr>
        <w:spacing w:line="480" w:lineRule="exact"/>
        <w:ind w:right="84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DD1C2A">
        <w:rPr>
          <w:rFonts w:asciiTheme="minorEastAsia" w:hAnsiTheme="minorEastAsia" w:cs="Times New Roman" w:hint="eastAsia"/>
          <w:bCs/>
          <w:kern w:val="0"/>
          <w:sz w:val="28"/>
          <w:szCs w:val="28"/>
        </w:rPr>
        <w:t>發布日期：</w:t>
      </w:r>
      <w:r w:rsidR="007C2716" w:rsidRPr="00DD1C2A">
        <w:rPr>
          <w:rFonts w:asciiTheme="minorEastAsia" w:hAnsiTheme="minorEastAsia" w:cs="Times New Roman" w:hint="eastAsia"/>
          <w:bCs/>
          <w:kern w:val="0"/>
          <w:sz w:val="28"/>
          <w:szCs w:val="28"/>
        </w:rPr>
        <w:t>11</w:t>
      </w:r>
      <w:r w:rsidR="00CA078F">
        <w:rPr>
          <w:rFonts w:asciiTheme="minorEastAsia" w:hAnsiTheme="minorEastAsia" w:cs="Times New Roman"/>
          <w:bCs/>
          <w:kern w:val="0"/>
          <w:sz w:val="28"/>
          <w:szCs w:val="28"/>
        </w:rPr>
        <w:t>2</w:t>
      </w:r>
      <w:r w:rsidRPr="00DD1C2A">
        <w:rPr>
          <w:rFonts w:asciiTheme="minorEastAsia" w:hAnsiTheme="minorEastAsia" w:cs="Times New Roman" w:hint="eastAsia"/>
          <w:bCs/>
          <w:kern w:val="0"/>
          <w:sz w:val="28"/>
          <w:szCs w:val="28"/>
        </w:rPr>
        <w:t>年</w:t>
      </w:r>
      <w:r w:rsidR="007C2716" w:rsidRPr="00DD1C2A">
        <w:rPr>
          <w:rFonts w:asciiTheme="minorEastAsia" w:hAnsiTheme="minorEastAsia" w:cs="Times New Roman" w:hint="eastAsia"/>
          <w:bCs/>
          <w:kern w:val="0"/>
          <w:sz w:val="28"/>
          <w:szCs w:val="28"/>
        </w:rPr>
        <w:t>1</w:t>
      </w:r>
      <w:r w:rsidRPr="00DD1C2A">
        <w:rPr>
          <w:rFonts w:asciiTheme="minorEastAsia" w:hAnsiTheme="minorEastAsia" w:cs="Times New Roman" w:hint="eastAsia"/>
          <w:bCs/>
          <w:kern w:val="0"/>
          <w:sz w:val="28"/>
          <w:szCs w:val="28"/>
        </w:rPr>
        <w:t>月</w:t>
      </w:r>
    </w:p>
    <w:p w14:paraId="7500DD4D" w14:textId="77777777" w:rsidR="00D5656A" w:rsidRPr="00DD1C2A" w:rsidRDefault="00D5656A" w:rsidP="000C68BB">
      <w:pPr>
        <w:wordWrap w:val="0"/>
        <w:spacing w:line="480" w:lineRule="exact"/>
        <w:ind w:right="84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DD1C2A">
        <w:rPr>
          <w:rFonts w:asciiTheme="minorEastAsia" w:hAnsiTheme="minorEastAsia" w:cs="Times New Roman" w:hint="eastAsia"/>
          <w:bCs/>
          <w:kern w:val="0"/>
          <w:sz w:val="28"/>
          <w:szCs w:val="28"/>
        </w:rPr>
        <w:t>發布單位：</w:t>
      </w:r>
      <w:r w:rsidR="00C8570C" w:rsidRPr="00DD1C2A">
        <w:rPr>
          <w:rFonts w:asciiTheme="minorEastAsia" w:hAnsiTheme="minorEastAsia" w:cs="Times New Roman" w:hint="eastAsia"/>
          <w:bCs/>
          <w:kern w:val="0"/>
          <w:sz w:val="28"/>
          <w:szCs w:val="28"/>
        </w:rPr>
        <w:t>社會發展處</w:t>
      </w:r>
    </w:p>
    <w:p w14:paraId="3D36C3BE" w14:textId="093B6C46" w:rsidR="007236E2" w:rsidRPr="00DD1C2A" w:rsidRDefault="007F0560" w:rsidP="007F0560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春節</w:t>
      </w:r>
      <w:r w:rsid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1</w:t>
      </w:r>
      <w:r w:rsidR="001335D7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0</w:t>
      </w:r>
      <w:r w:rsid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天</w:t>
      </w:r>
      <w:r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連假</w:t>
      </w:r>
      <w:r w:rsid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探索</w:t>
      </w:r>
      <w:r w:rsidR="00FA087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東</w:t>
      </w:r>
      <w:r w:rsid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部海岸</w:t>
      </w:r>
      <w:r w:rsidR="00FA087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部落</w:t>
      </w:r>
      <w:r w:rsidR="00C9649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旅遊</w:t>
      </w:r>
      <w:r w:rsidR="00FA087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及</w:t>
      </w:r>
      <w:r w:rsidR="001335D7" w:rsidRP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體驗苗栗</w:t>
      </w:r>
      <w:r w:rsidR="00C9649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舊</w:t>
      </w:r>
      <w:r w:rsidR="001335D7" w:rsidRP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鐵道自行車</w:t>
      </w:r>
      <w:r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感受</w:t>
      </w:r>
      <w:r w:rsidR="00933B75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臺灣</w:t>
      </w:r>
      <w:r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在地風情</w:t>
      </w:r>
      <w:r w:rsidR="003F72B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，是個好選項</w:t>
      </w:r>
      <w:r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</w:p>
    <w:p w14:paraId="790011BB" w14:textId="022E931B" w:rsidR="0062117B" w:rsidRPr="00DD1C2A" w:rsidRDefault="00B75A0B" w:rsidP="00A60C31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行政院設立「政府服務獎」</w:t>
      </w:r>
      <w:r w:rsidR="003F72B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鼓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勵中央與地方機關</w:t>
      </w:r>
      <w:r w:rsidR="003F72B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服務創新運用</w:t>
      </w:r>
      <w:r w:rsid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數位科技、</w:t>
      </w:r>
      <w:r w:rsidR="003F72B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結合</w:t>
      </w:r>
      <w:r w:rsidR="001335D7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社會資源公私協力，提出民眾有感服務</w:t>
      </w:r>
      <w:r w:rsid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  <w:r w:rsidR="007F056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第</w:t>
      </w:r>
      <w:r w:rsid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5</w:t>
      </w:r>
      <w:r w:rsidR="007F056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屆「政府服務奬」</w:t>
      </w:r>
      <w:r w:rsidR="007F0560" w:rsidRPr="00DD1C2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共有</w:t>
      </w:r>
      <w:r w:rsidR="007F056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2</w:t>
      </w:r>
      <w:r w:rsidR="00A60C31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4</w:t>
      </w:r>
      <w:r w:rsidR="007F0560" w:rsidRPr="00DD1C2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個機關</w:t>
      </w:r>
      <w:r w:rsidR="007F056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(構)獲奬，其中</w:t>
      </w:r>
      <w:bookmarkStart w:id="1" w:name="_Hlk123718438"/>
      <w:r w:rsidR="006010A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交通部觀光局東</w:t>
      </w:r>
      <w:r w:rsid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部海岸</w:t>
      </w:r>
      <w:r w:rsidR="006010A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國家風景區管理處</w:t>
      </w:r>
      <w:bookmarkEnd w:id="1"/>
      <w:r w:rsidR="00B552C7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所推動</w:t>
      </w:r>
      <w:r w:rsidR="00933B75" w:rsidRPr="00DD1C2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「</w:t>
      </w:r>
      <w:r w:rsidR="00A60C31" w:rsidRP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永續培力向前行：從打架到一起跳舞</w:t>
      </w:r>
      <w:r w:rsidR="00933B75" w:rsidRPr="00DD1C2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」</w:t>
      </w:r>
      <w:r w:rsidR="00933B75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，以及</w:t>
      </w:r>
      <w:bookmarkStart w:id="2" w:name="_Hlk123718917"/>
      <w:r w:rsidR="00A60C31" w:rsidRP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苗栗縣政府文化觀光局</w:t>
      </w:r>
      <w:bookmarkEnd w:id="2"/>
      <w:r w:rsid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推出之</w:t>
      </w:r>
      <w:r w:rsidR="00933B75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</w:t>
      </w:r>
      <w:r w:rsidR="00A60C31" w:rsidRP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重現百年鐵道生命力-</w:t>
      </w:r>
      <w:proofErr w:type="spellStart"/>
      <w:r w:rsidR="00A60C31" w:rsidRP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舊山線鐵道文化資產保存與創新</w:t>
      </w:r>
      <w:proofErr w:type="spellEnd"/>
      <w:r w:rsidR="00933B75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」</w:t>
      </w:r>
      <w:r w:rsidR="006010A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proofErr w:type="spellStart"/>
      <w:r w:rsidR="006010A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值得大家</w:t>
      </w:r>
      <w:r w:rsidR="00933B75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利用春節假期安排</w:t>
      </w:r>
      <w:r w:rsidR="006010A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走訪，</w:t>
      </w:r>
      <w:r w:rsidR="00933B75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親身</w:t>
      </w:r>
      <w:r w:rsidR="006010A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感受政府推動觀光產業轉型的創新服務</w:t>
      </w:r>
      <w:r w:rsidR="007236E2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成果</w:t>
      </w:r>
      <w:proofErr w:type="spellEnd"/>
      <w:r w:rsidR="006010A0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  <w:r w:rsidR="0062117B" w:rsidRPr="00DD1C2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 xml:space="preserve"> </w:t>
      </w:r>
    </w:p>
    <w:p w14:paraId="12B53E9A" w14:textId="643A2F3B" w:rsidR="004547B8" w:rsidRPr="00A60C31" w:rsidRDefault="00A60C31" w:rsidP="00B552C7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color w:val="FF0000"/>
          <w:kern w:val="0"/>
          <w:sz w:val="32"/>
          <w:szCs w:val="32"/>
          <w:lang w:val="x-none"/>
        </w:rPr>
      </w:pPr>
      <w:r w:rsidRPr="00A60C31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交通部觀光局東部海岸國家風景區管理處</w:t>
      </w:r>
      <w:r w:rsidR="004544C0" w:rsidRP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執行都蘭</w:t>
      </w:r>
      <w:proofErr w:type="gramStart"/>
      <w:r w:rsidR="004544C0" w:rsidRP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鼻</w:t>
      </w:r>
      <w:proofErr w:type="gramEnd"/>
      <w:r w:rsidR="004544C0" w:rsidRP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整體規劃暨興辦事業計畫，</w:t>
      </w:r>
      <w:r w:rsidR="003F72B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推選過程</w:t>
      </w:r>
      <w:r w:rsidR="004544C0" w:rsidRP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因應地域特性</w:t>
      </w:r>
      <w:r w:rsid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3F72B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並</w:t>
      </w:r>
      <w:r w:rsidR="004544C0" w:rsidRP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傾聽在地需求，</w:t>
      </w:r>
      <w:r w:rsidR="003F72B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將觀光發展與文化保存的</w:t>
      </w:r>
      <w:r w:rsidR="004544C0" w:rsidRP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衝突</w:t>
      </w:r>
      <w:r w:rsidR="003F72B2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化為</w:t>
      </w:r>
      <w:r w:rsidR="004544C0" w:rsidRP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公私協力夥伴關係，成功打造在地深度旅遊觀光亮點</w:t>
      </w:r>
      <w:r w:rsid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4544C0" w:rsidRPr="004544C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提升地方產業經營能力。</w:t>
      </w:r>
      <w:r w:rsidR="000B1AAB" w:rsidRPr="00A60C31">
        <w:rPr>
          <w:rFonts w:asciiTheme="minorEastAsia" w:hAnsiTheme="minorEastAsia" w:cs="Times New Roman"/>
          <w:bCs/>
          <w:color w:val="FF0000"/>
          <w:kern w:val="0"/>
          <w:sz w:val="32"/>
          <w:szCs w:val="32"/>
          <w:lang w:val="x-none"/>
        </w:rPr>
        <w:t xml:space="preserve"> </w:t>
      </w:r>
    </w:p>
    <w:p w14:paraId="13049B76" w14:textId="247DA038" w:rsidR="00A6681A" w:rsidRPr="00A6681A" w:rsidRDefault="00A6681A" w:rsidP="00A6681A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苗栗舊山線鐵道自行車體驗，為國內鐵道自行車營運模</w:t>
      </w:r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lastRenderedPageBreak/>
        <w:t>式先驅，更是臺灣閒置鐵道活化標竿。苗栗縣政府文化觀光局致力舊山線鐵道文化資產保存與創新，以動態保存方式活化閒置軌道，成功打造出多元低碳、環保及健康運具之旅行新體驗。創造地方觀光經濟效益及就業機會，自108年7月至111年4月超過145萬</w:t>
      </w:r>
      <w:r w:rsidR="003F72B2" w:rsidRPr="003F72B2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搭乘</w:t>
      </w:r>
      <w:proofErr w:type="gramStart"/>
      <w:r w:rsidR="003F72B2" w:rsidRPr="003F72B2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人</w:t>
      </w:r>
      <w:r w:rsidR="003F72B2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次</w:t>
      </w:r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</w:t>
      </w:r>
      <w:proofErr w:type="gramEnd"/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觀光產值達18億元及增加就業機會68名。</w:t>
      </w:r>
      <w:proofErr w:type="gramStart"/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此外，</w:t>
      </w:r>
      <w:proofErr w:type="gramEnd"/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苗栗舊山線與日本輕井</w:t>
      </w:r>
      <w:proofErr w:type="gramStart"/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澤信濃鐵道</w:t>
      </w:r>
      <w:proofErr w:type="gramEnd"/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連續簽署6年的票</w:t>
      </w:r>
      <w:proofErr w:type="gramStart"/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券</w:t>
      </w:r>
      <w:proofErr w:type="gramEnd"/>
      <w:r w:rsidRPr="00A6681A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互惠合作意向書，促進國際觀光。</w:t>
      </w:r>
    </w:p>
    <w:p w14:paraId="13465ABA" w14:textId="2B15D181" w:rsidR="00D52541" w:rsidRPr="00A92368" w:rsidRDefault="00D52541" w:rsidP="001236C4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旅遊</w:t>
      </w:r>
      <w:r w:rsidR="003F72B2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可以</w:t>
      </w:r>
      <w:r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放鬆身心，也顧</w:t>
      </w:r>
      <w:r w:rsidR="002A6AAE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環境</w:t>
      </w:r>
      <w:r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永續，</w:t>
      </w:r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「</w:t>
      </w:r>
      <w:proofErr w:type="gramStart"/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淨零綠</w:t>
      </w:r>
      <w:proofErr w:type="gramEnd"/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生活」是臺灣2050</w:t>
      </w:r>
      <w:proofErr w:type="gramStart"/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淨零轉型</w:t>
      </w:r>
      <w:proofErr w:type="gramEnd"/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12項關鍵戰略之一，</w:t>
      </w:r>
      <w:proofErr w:type="gramStart"/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臺灣淨零轉型</w:t>
      </w:r>
      <w:proofErr w:type="gramEnd"/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從推動「</w:t>
      </w:r>
      <w:proofErr w:type="gramStart"/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淨零綠</w:t>
      </w:r>
      <w:proofErr w:type="gramEnd"/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生活」開始，</w:t>
      </w:r>
      <w:r w:rsidR="003F72B2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透過</w:t>
      </w:r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旅遊模式的改變，可</w:t>
      </w:r>
      <w:r w:rsidR="003F72B2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以</w:t>
      </w:r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選擇對環境友善的方式，依環保、低碳方向規劃旅遊行程，減少因旅行、交通或食宿所帶來的資源消耗，體驗</w:t>
      </w:r>
      <w:r w:rsidR="00C96490" w:rsidRPr="00C96490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在地</w:t>
      </w:r>
      <w:r w:rsidR="00A92368" w:rsidRPr="00A92368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深度旅遊，玩出綠色觀光新模式</w:t>
      </w:r>
      <w:r w:rsidR="003F72B2">
        <w:rPr>
          <w:rFonts w:asciiTheme="minorEastAsia" w:hAnsiTheme="minorEastAsia" w:cs="Times New Roman" w:hint="eastAsia"/>
          <w:bCs/>
          <w:kern w:val="0"/>
          <w:sz w:val="32"/>
          <w:szCs w:val="32"/>
          <w:lang w:val="x-none"/>
        </w:rPr>
        <w:t>，新春假期更精彩。</w:t>
      </w:r>
    </w:p>
    <w:p w14:paraId="061F8250" w14:textId="77777777" w:rsidR="00906C1F" w:rsidRDefault="00906C1F" w:rsidP="00906C1F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(</w:t>
      </w:r>
      <w:proofErr w:type="spellStart"/>
      <w:r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另提供圖卡</w:t>
      </w:r>
      <w:proofErr w:type="spellEnd"/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2張)</w:t>
      </w:r>
    </w:p>
    <w:p w14:paraId="01D6DABC" w14:textId="77777777" w:rsidR="00906C1F" w:rsidRPr="00DD1C2A" w:rsidRDefault="00906C1F" w:rsidP="00906C1F">
      <w:pPr>
        <w:autoSpaceDE w:val="0"/>
        <w:autoSpaceDN w:val="0"/>
        <w:adjustRightInd w:val="0"/>
        <w:snapToGrid w:val="0"/>
        <w:spacing w:beforeLines="100" w:before="360" w:afterLines="100" w:after="360" w:line="500" w:lineRule="exac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14:paraId="2A91FD18" w14:textId="77777777" w:rsidR="00B52E8A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B05B0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B52E8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社會發展處張富林處長</w:t>
      </w:r>
      <w:r w:rsidR="005877C0">
        <w:rPr>
          <w:rFonts w:asciiTheme="minorEastAsia" w:hAnsiTheme="minorEastAsia" w:cs="Times New Roman"/>
          <w:bCs/>
          <w:color w:val="A6A6A6" w:themeColor="background1" w:themeShade="A6"/>
          <w:kern w:val="0"/>
          <w:szCs w:val="24"/>
          <w:lang w:val="x-none"/>
        </w:rPr>
        <w:br/>
      </w:r>
      <w:r w:rsidR="007C2716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</w:t>
      </w:r>
      <w:r w:rsidRPr="00B05B0B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電話：</w:t>
      </w:r>
      <w:r w:rsidR="00B52E8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(</w:t>
      </w:r>
      <w:r w:rsidR="00B52E8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02)2316-5300轉</w:t>
      </w:r>
      <w:r w:rsidR="00B52E8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6</w:t>
      </w:r>
      <w:r w:rsidR="00B52E8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243</w:t>
      </w:r>
    </w:p>
    <w:p w14:paraId="46E8C04F" w14:textId="45645393" w:rsidR="00B05B0B" w:rsidRDefault="00B05B0B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34E6FAC1" w14:textId="1C2E9B7A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430F573C" w14:textId="3E927050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12EB8CE6" w14:textId="7189133E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32B41A80" w14:textId="42696669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608A8FAD" w14:textId="3EB6CF44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063A415E" w14:textId="03EA6894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52BA966F" w14:textId="5B2A01A8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758E61FE" w14:textId="0B11B7D4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w:lastRenderedPageBreak/>
        <w:drawing>
          <wp:inline distT="0" distB="0" distL="0" distR="0" wp14:anchorId="525771D5" wp14:editId="4D5FBD15">
            <wp:extent cx="4793615" cy="4091940"/>
            <wp:effectExtent l="0" t="0" r="698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053" cy="40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605B3" w14:textId="4154394E" w:rsidR="00CF7514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</w:p>
    <w:p w14:paraId="57274ADD" w14:textId="73C4E725" w:rsidR="00CF7514" w:rsidRPr="00B05B0B" w:rsidRDefault="00CF7514" w:rsidP="00BC3E7A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w:drawing>
          <wp:inline distT="0" distB="0" distL="0" distR="0" wp14:anchorId="63E47F1C" wp14:editId="581E6762">
            <wp:extent cx="4847590" cy="38938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514" w:rsidRPr="00B05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C455" w14:textId="77777777" w:rsidR="00FF4BD7" w:rsidRDefault="00FF4BD7" w:rsidP="00AD17CF">
      <w:r>
        <w:separator/>
      </w:r>
    </w:p>
  </w:endnote>
  <w:endnote w:type="continuationSeparator" w:id="0">
    <w:p w14:paraId="1F0AAE9C" w14:textId="77777777" w:rsidR="00FF4BD7" w:rsidRDefault="00FF4BD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E939" w14:textId="77777777" w:rsidR="00FF4BD7" w:rsidRDefault="00FF4BD7" w:rsidP="00AD17CF">
      <w:r>
        <w:separator/>
      </w:r>
    </w:p>
  </w:footnote>
  <w:footnote w:type="continuationSeparator" w:id="0">
    <w:p w14:paraId="20216BB7" w14:textId="77777777" w:rsidR="00FF4BD7" w:rsidRDefault="00FF4BD7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B8"/>
    <w:rsid w:val="000175AF"/>
    <w:rsid w:val="000176EA"/>
    <w:rsid w:val="000A406D"/>
    <w:rsid w:val="000B1AAB"/>
    <w:rsid w:val="000C68BB"/>
    <w:rsid w:val="00100844"/>
    <w:rsid w:val="001236C4"/>
    <w:rsid w:val="001335D7"/>
    <w:rsid w:val="00147C3F"/>
    <w:rsid w:val="001A21D5"/>
    <w:rsid w:val="001A2B80"/>
    <w:rsid w:val="001A3F05"/>
    <w:rsid w:val="001A5E65"/>
    <w:rsid w:val="001D7C04"/>
    <w:rsid w:val="00200230"/>
    <w:rsid w:val="00244DCB"/>
    <w:rsid w:val="0024739D"/>
    <w:rsid w:val="0025567E"/>
    <w:rsid w:val="002A6AAE"/>
    <w:rsid w:val="002B5265"/>
    <w:rsid w:val="002D3FDF"/>
    <w:rsid w:val="002F61D8"/>
    <w:rsid w:val="003211C4"/>
    <w:rsid w:val="00353829"/>
    <w:rsid w:val="003D7B3F"/>
    <w:rsid w:val="003F3254"/>
    <w:rsid w:val="003F72B2"/>
    <w:rsid w:val="004465E6"/>
    <w:rsid w:val="004544C0"/>
    <w:rsid w:val="004547B8"/>
    <w:rsid w:val="004659C5"/>
    <w:rsid w:val="0047472D"/>
    <w:rsid w:val="0050742A"/>
    <w:rsid w:val="0053268A"/>
    <w:rsid w:val="00584F66"/>
    <w:rsid w:val="005877C0"/>
    <w:rsid w:val="00592175"/>
    <w:rsid w:val="005C05C8"/>
    <w:rsid w:val="005C6813"/>
    <w:rsid w:val="006010A0"/>
    <w:rsid w:val="0062117B"/>
    <w:rsid w:val="00627DAC"/>
    <w:rsid w:val="00633AA1"/>
    <w:rsid w:val="0065035E"/>
    <w:rsid w:val="00660713"/>
    <w:rsid w:val="00683B17"/>
    <w:rsid w:val="006B29BC"/>
    <w:rsid w:val="007046F9"/>
    <w:rsid w:val="00714B1C"/>
    <w:rsid w:val="007236E2"/>
    <w:rsid w:val="00740FC1"/>
    <w:rsid w:val="00745E53"/>
    <w:rsid w:val="007963E1"/>
    <w:rsid w:val="007B616C"/>
    <w:rsid w:val="007C2716"/>
    <w:rsid w:val="007E0810"/>
    <w:rsid w:val="007F0560"/>
    <w:rsid w:val="00826C9D"/>
    <w:rsid w:val="008361BF"/>
    <w:rsid w:val="0085430A"/>
    <w:rsid w:val="00865949"/>
    <w:rsid w:val="008A4FFF"/>
    <w:rsid w:val="00906C1F"/>
    <w:rsid w:val="00933B75"/>
    <w:rsid w:val="00954A13"/>
    <w:rsid w:val="0098309E"/>
    <w:rsid w:val="00996114"/>
    <w:rsid w:val="009A1609"/>
    <w:rsid w:val="009B2918"/>
    <w:rsid w:val="009D456E"/>
    <w:rsid w:val="00A01683"/>
    <w:rsid w:val="00A26428"/>
    <w:rsid w:val="00A60C31"/>
    <w:rsid w:val="00A6681A"/>
    <w:rsid w:val="00A92368"/>
    <w:rsid w:val="00A95585"/>
    <w:rsid w:val="00AD17CF"/>
    <w:rsid w:val="00AF5B98"/>
    <w:rsid w:val="00AF6BE6"/>
    <w:rsid w:val="00B05B0B"/>
    <w:rsid w:val="00B13BEC"/>
    <w:rsid w:val="00B345EB"/>
    <w:rsid w:val="00B52E8A"/>
    <w:rsid w:val="00B552C7"/>
    <w:rsid w:val="00B557FA"/>
    <w:rsid w:val="00B74618"/>
    <w:rsid w:val="00B75A0B"/>
    <w:rsid w:val="00B80AFC"/>
    <w:rsid w:val="00B80C9B"/>
    <w:rsid w:val="00B8356E"/>
    <w:rsid w:val="00B87F13"/>
    <w:rsid w:val="00B95B06"/>
    <w:rsid w:val="00BC3E7A"/>
    <w:rsid w:val="00BD78F4"/>
    <w:rsid w:val="00BE3EDB"/>
    <w:rsid w:val="00C169FB"/>
    <w:rsid w:val="00C833B2"/>
    <w:rsid w:val="00C835F5"/>
    <w:rsid w:val="00C8570C"/>
    <w:rsid w:val="00C93AAA"/>
    <w:rsid w:val="00C9471B"/>
    <w:rsid w:val="00C96490"/>
    <w:rsid w:val="00CA078F"/>
    <w:rsid w:val="00CA7772"/>
    <w:rsid w:val="00CF037C"/>
    <w:rsid w:val="00CF7514"/>
    <w:rsid w:val="00CF7FA8"/>
    <w:rsid w:val="00D3711E"/>
    <w:rsid w:val="00D52541"/>
    <w:rsid w:val="00D5656A"/>
    <w:rsid w:val="00DB7B22"/>
    <w:rsid w:val="00DD1C2A"/>
    <w:rsid w:val="00E35D46"/>
    <w:rsid w:val="00E35E87"/>
    <w:rsid w:val="00E60EA5"/>
    <w:rsid w:val="00E67008"/>
    <w:rsid w:val="00E71356"/>
    <w:rsid w:val="00E90F3B"/>
    <w:rsid w:val="00EE7F4E"/>
    <w:rsid w:val="00EF33A7"/>
    <w:rsid w:val="00F73019"/>
    <w:rsid w:val="00F83DB0"/>
    <w:rsid w:val="00F93A4F"/>
    <w:rsid w:val="00FA087B"/>
    <w:rsid w:val="00FE2A89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2B4018"/>
  <w15:docId w15:val="{51010B18-6145-42E7-9683-5287AA7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黃于珊</cp:lastModifiedBy>
  <cp:revision>2</cp:revision>
  <cp:lastPrinted>2023-01-11T02:05:00Z</cp:lastPrinted>
  <dcterms:created xsi:type="dcterms:W3CDTF">2023-01-11T02:06:00Z</dcterms:created>
  <dcterms:modified xsi:type="dcterms:W3CDTF">2023-01-11T02:06:00Z</dcterms:modified>
</cp:coreProperties>
</file>