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6B9" w14:textId="77777777" w:rsidR="00426A7E" w:rsidRPr="005301CF" w:rsidRDefault="00426A7E" w:rsidP="00426A7E">
      <w:pPr>
        <w:spacing w:line="500" w:lineRule="exact"/>
        <w:rPr>
          <w:rFonts w:asciiTheme="minorEastAsia" w:hAnsiTheme="minorEastAsia"/>
          <w:b/>
          <w:sz w:val="36"/>
          <w:szCs w:val="36"/>
        </w:rPr>
      </w:pPr>
      <w:r w:rsidRPr="005301CF">
        <w:rPr>
          <w:rFonts w:asciiTheme="minorEastAsia" w:hAnsiTheme="minorEastAsia" w:cs="Times New Roman"/>
          <w:noProof/>
        </w:rPr>
        <w:drawing>
          <wp:inline distT="0" distB="0" distL="0" distR="0" wp14:anchorId="4282A002" wp14:editId="28414465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F1E9" w14:textId="77777777" w:rsidR="002E16DF" w:rsidRPr="0087349F" w:rsidRDefault="002E16DF" w:rsidP="002E16DF">
      <w:pPr>
        <w:widowControl/>
        <w:spacing w:afterLines="100" w:after="360" w:line="540" w:lineRule="exact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87349F"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  <w:t>國家發展委員會 新聞稿</w:t>
      </w:r>
    </w:p>
    <w:p w14:paraId="504F0041" w14:textId="77777777" w:rsidR="00AE7E6E" w:rsidRDefault="00215F97" w:rsidP="0081620E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rightChars="-58" w:right="-139"/>
        <w:jc w:val="center"/>
        <w:textAlignment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215F97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歐洲商會發表</w:t>
      </w:r>
      <w:r w:rsidR="002219FD"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  <w:t>2023</w:t>
      </w:r>
      <w:r w:rsidR="00F22AB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建議</w:t>
      </w:r>
      <w:r w:rsidRPr="00215F97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書</w:t>
      </w:r>
      <w:r w:rsidR="0081620E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 xml:space="preserve">  </w:t>
      </w:r>
    </w:p>
    <w:p w14:paraId="794CAD61" w14:textId="1132435D" w:rsidR="00B341D3" w:rsidRPr="0087349F" w:rsidRDefault="002219FD" w:rsidP="0081620E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rightChars="-58" w:right="-139"/>
        <w:jc w:val="center"/>
        <w:textAlignment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shd w:val="pct15" w:color="auto" w:fill="FFFFFF"/>
          <w:lang w:bidi="ta-IN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國發會</w:t>
      </w:r>
      <w:r w:rsidR="00611640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：</w:t>
      </w:r>
      <w:r w:rsidR="00AE7E6E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台歐攜手掌握動盪世局中轉型契機</w:t>
      </w:r>
    </w:p>
    <w:p w14:paraId="0DA457E1" w14:textId="4C585201" w:rsidR="002E16DF" w:rsidRPr="0087349F" w:rsidRDefault="002E16DF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發布日期：1</w:t>
      </w:r>
      <w:r w:rsidR="00B341D3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 w:rsidR="00AF03B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年1</w:t>
      </w:r>
      <w:r w:rsidR="00363DF8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</w:t>
      </w:r>
      <w:r w:rsidR="00B341D3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25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日</w:t>
      </w:r>
    </w:p>
    <w:p w14:paraId="74CC0D1B" w14:textId="6C297DEC" w:rsidR="002E16DF" w:rsidRPr="0087349F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發布單位：法制協調</w:t>
      </w:r>
      <w:r w:rsidR="00AF03B8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處</w:t>
      </w:r>
    </w:p>
    <w:p w14:paraId="531FB1C1" w14:textId="6E491BA3" w:rsidR="00E5060A" w:rsidRPr="0087349F" w:rsidRDefault="002F5A10" w:rsidP="00282291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0C7F9A">
        <w:rPr>
          <w:rFonts w:asciiTheme="minorEastAsia" w:hAnsiTheme="minorEastAsia" w:cs="Times New Roman"/>
          <w:sz w:val="32"/>
          <w:szCs w:val="32"/>
        </w:rPr>
        <w:t>國發會</w:t>
      </w:r>
      <w:r w:rsidRPr="000C7F9A">
        <w:rPr>
          <w:rFonts w:asciiTheme="minorEastAsia" w:hAnsiTheme="minorEastAsia" w:cs="Times New Roman" w:hint="eastAsia"/>
          <w:sz w:val="32"/>
          <w:szCs w:val="32"/>
        </w:rPr>
        <w:t>高副主委仙桂</w:t>
      </w:r>
      <w:r w:rsidR="00541190" w:rsidRPr="000C7F9A">
        <w:rPr>
          <w:rFonts w:asciiTheme="minorEastAsia" w:hAnsiTheme="minorEastAsia" w:cs="Times New Roman"/>
          <w:sz w:val="32"/>
          <w:szCs w:val="32"/>
        </w:rPr>
        <w:t>今</w:t>
      </w:r>
      <w:r w:rsidR="00D83E5D" w:rsidRPr="000C7F9A">
        <w:rPr>
          <w:rFonts w:asciiTheme="minorEastAsia" w:hAnsiTheme="minorEastAsia" w:cs="Times New Roman"/>
          <w:sz w:val="32"/>
          <w:szCs w:val="32"/>
        </w:rPr>
        <w:t>(25</w:t>
      </w:r>
      <w:r w:rsidR="00D83E5D" w:rsidRPr="000C7F9A">
        <w:rPr>
          <w:rFonts w:asciiTheme="minorEastAsia" w:hAnsiTheme="minorEastAsia" w:cs="Times New Roman" w:hint="eastAsia"/>
          <w:sz w:val="32"/>
          <w:szCs w:val="32"/>
        </w:rPr>
        <w:t>)日</w:t>
      </w:r>
      <w:r w:rsidRPr="000C7F9A">
        <w:rPr>
          <w:rFonts w:asciiTheme="minorEastAsia" w:hAnsiTheme="minorEastAsia" w:cs="Times New Roman"/>
          <w:sz w:val="32"/>
          <w:szCs w:val="32"/>
        </w:rPr>
        <w:t>受邀出席</w:t>
      </w:r>
      <w:r w:rsidRPr="000C7F9A">
        <w:rPr>
          <w:rFonts w:asciiTheme="minorEastAsia" w:hAnsiTheme="minorEastAsia" w:cs="Times New Roman" w:hint="eastAsia"/>
          <w:sz w:val="32"/>
          <w:szCs w:val="32"/>
        </w:rPr>
        <w:t>歐洲商會</w:t>
      </w:r>
      <w:r w:rsidR="00541190" w:rsidRPr="000C7F9A">
        <w:rPr>
          <w:rFonts w:asciiTheme="minorEastAsia" w:hAnsiTheme="minorEastAsia" w:cs="Times New Roman"/>
          <w:sz w:val="32"/>
          <w:szCs w:val="32"/>
        </w:rPr>
        <w:t>「20</w:t>
      </w:r>
      <w:r w:rsidR="0024532D" w:rsidRPr="000C7F9A">
        <w:rPr>
          <w:rFonts w:asciiTheme="minorEastAsia" w:hAnsiTheme="minorEastAsia" w:cs="Times New Roman" w:hint="eastAsia"/>
          <w:sz w:val="32"/>
          <w:szCs w:val="32"/>
        </w:rPr>
        <w:t>2</w:t>
      </w:r>
      <w:r w:rsidR="00AF03B8" w:rsidRPr="000C7F9A">
        <w:rPr>
          <w:rFonts w:asciiTheme="minorEastAsia" w:hAnsiTheme="minorEastAsia" w:cs="Times New Roman" w:hint="eastAsia"/>
          <w:sz w:val="32"/>
          <w:szCs w:val="32"/>
        </w:rPr>
        <w:t>3</w:t>
      </w:r>
      <w:r w:rsidR="00363DF8" w:rsidRPr="000C7F9A">
        <w:rPr>
          <w:rFonts w:asciiTheme="minorEastAsia" w:hAnsiTheme="minorEastAsia" w:cs="Times New Roman" w:hint="eastAsia"/>
          <w:sz w:val="32"/>
          <w:szCs w:val="32"/>
        </w:rPr>
        <w:t>建議</w:t>
      </w:r>
      <w:r w:rsidR="00541190" w:rsidRPr="000C7F9A">
        <w:rPr>
          <w:rFonts w:asciiTheme="minorEastAsia" w:hAnsiTheme="minorEastAsia" w:cs="Times New Roman"/>
          <w:sz w:val="32"/>
          <w:szCs w:val="32"/>
        </w:rPr>
        <w:t>書」</w:t>
      </w:r>
      <w:r w:rsidR="00E961D2" w:rsidRPr="000C7F9A">
        <w:rPr>
          <w:rFonts w:asciiTheme="minorEastAsia" w:hAnsiTheme="minorEastAsia" w:cs="Times New Roman"/>
          <w:sz w:val="32"/>
          <w:szCs w:val="32"/>
        </w:rPr>
        <w:t>發</w:t>
      </w:r>
      <w:r w:rsidR="00E961D2" w:rsidRPr="000C7F9A">
        <w:rPr>
          <w:rFonts w:asciiTheme="minorEastAsia" w:hAnsiTheme="minorEastAsia" w:cs="Times New Roman" w:hint="eastAsia"/>
          <w:sz w:val="32"/>
          <w:szCs w:val="32"/>
        </w:rPr>
        <w:t>布</w:t>
      </w:r>
      <w:r w:rsidR="00D1061F" w:rsidRPr="000C7F9A">
        <w:rPr>
          <w:rFonts w:asciiTheme="minorEastAsia" w:hAnsiTheme="minorEastAsia" w:cs="Times New Roman" w:hint="eastAsia"/>
          <w:sz w:val="32"/>
          <w:szCs w:val="32"/>
        </w:rPr>
        <w:t>會</w:t>
      </w:r>
      <w:r w:rsidRPr="000C7F9A">
        <w:rPr>
          <w:rFonts w:asciiTheme="minorEastAsia" w:hAnsiTheme="minorEastAsia" w:cs="Times New Roman" w:hint="eastAsia"/>
          <w:sz w:val="32"/>
          <w:szCs w:val="32"/>
        </w:rPr>
        <w:t>，並</w:t>
      </w:r>
      <w:r w:rsidR="00541190" w:rsidRPr="000C7F9A">
        <w:rPr>
          <w:rFonts w:asciiTheme="minorEastAsia" w:hAnsiTheme="minorEastAsia" w:cs="Times New Roman"/>
          <w:sz w:val="32"/>
          <w:szCs w:val="32"/>
        </w:rPr>
        <w:t>代表政府接受</w:t>
      </w:r>
      <w:r w:rsidR="00D1061F" w:rsidRPr="000C7F9A">
        <w:rPr>
          <w:rFonts w:asciiTheme="minorEastAsia" w:hAnsiTheme="minorEastAsia" w:cs="Times New Roman" w:hint="eastAsia"/>
          <w:sz w:val="32"/>
          <w:szCs w:val="32"/>
        </w:rPr>
        <w:t>遞交</w:t>
      </w:r>
      <w:r w:rsidR="005B003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C22376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致詞時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特別感謝商會長期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努力促進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台歐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雙邊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關係，並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表示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在今年地緣政治風險升高之際，歐洲議會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表達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對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積極支持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各國高階官員相繼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來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訪，讓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台灣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深受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鼓勵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蔡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總統今年元旦演說揭示「強化歐洲鏈結計畫」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，行政團隊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亦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今年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1月提出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12億美元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的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中東歐投資與融資基金，顯示台歐經貿關係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已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邁向新里程碑。</w:t>
      </w:r>
    </w:p>
    <w:p w14:paraId="1F87BC71" w14:textId="7AA53D22" w:rsidR="00DF113B" w:rsidRDefault="001E6544" w:rsidP="00DF113B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    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歐洲商會今年建議書以「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灣致勝之道，動盪世局中掌握契機」為主軸，從能源轉型、人才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延攬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、科技創新與產業等面向提出建議，表達願與台灣攜手掌握變局中的契機。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高副主委指出，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面對全球疫後新局，政府刻正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全力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推動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淨零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」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與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數位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」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雙轉型，並與</w:t>
      </w:r>
      <w:r w:rsidR="00B5010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歐盟等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友好國家建立具韌性的全球供應鏈，商會建議方向與當前施政主軸不謀而合。</w:t>
      </w:r>
    </w:p>
    <w:p w14:paraId="1D0DD878" w14:textId="60EE7BD6" w:rsidR="00187B2D" w:rsidRPr="00187B2D" w:rsidRDefault="00DF113B" w:rsidP="00187B2D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    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在淨零轉型方面，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能源轉型是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政府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首要任務，</w:t>
      </w:r>
      <w:r w:rsidR="0096424E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我國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已於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今年3月底公布「2050淨零排放路徑」，設定階段性里程碑，年底將提出「十二項關鍵戰略」具體執行計畫，</w:t>
      </w:r>
      <w:r w:rsidR="009052B7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涵蓋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商會關切的</w:t>
      </w:r>
      <w:r w:rsidR="009052B7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風電、光電等再生能源，以及儲能、</w:t>
      </w:r>
      <w:r w:rsidR="005B484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電力系統與運具電動化等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議題</w:t>
      </w:r>
      <w:r w:rsidR="005B484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高副主委表示，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明年政府已編列淨零相關預算682億元，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此外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為期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lastRenderedPageBreak/>
        <w:t>1</w:t>
      </w:r>
      <w:r w:rsidR="00850EAB">
        <w:rPr>
          <w:rFonts w:asciiTheme="minorEastAsia" w:hAnsiTheme="minorEastAsia" w:cs="Times New Roman"/>
          <w:color w:val="000000" w:themeColor="text1"/>
          <w:sz w:val="32"/>
          <w:szCs w:val="32"/>
        </w:rPr>
        <w:t>0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年5,645億元的「強化電網韌性建設計畫」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亦已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正式啟動，感謝歐商在台灣再生能源的投入，也歡迎歐商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繼續參與台</w:t>
      </w:r>
      <w:r w:rsidR="00187B2D"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灣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能源相關建設，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掌握</w:t>
      </w:r>
      <w:r w:rsidR="003171DC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灣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綠色</w:t>
      </w:r>
      <w:r w:rsidR="005401B8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轉型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商機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14:paraId="37362C2A" w14:textId="63969056" w:rsidR="00187B2D" w:rsidRPr="00187B2D" w:rsidRDefault="00187B2D" w:rsidP="00187B2D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    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有關推動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數位轉型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，啟動台灣下一世代產業方面，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高副主委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指出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政府在5＋2產業創新基礎下，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正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積極推動「六大核心戰略產業」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。其中，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為持續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鞏固半導體產業競爭優勢，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行政院已提出</w:t>
      </w:r>
      <w:r w:rsidR="00850EAB" w:rsidRP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產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業創新</w:t>
      </w:r>
      <w:r w:rsidR="00850EAB" w:rsidRP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條例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第10條之</w:t>
      </w:r>
      <w:r w:rsidR="00850EAB" w:rsidRP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2修正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草案；</w:t>
      </w:r>
      <w:r w:rsidR="00F058F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此外也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藉由AI、5G等相關創新技術，帶動</w:t>
      </w:r>
      <w:r w:rsidR="00850EAB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生醫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、金融、傳統製造與服務等產業數位轉型。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而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商會關注的人才延攬、雙語政策等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相關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議題，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各部會亦</w:t>
      </w:r>
      <w:r w:rsidR="004F4E2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全力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推動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中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。以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專業人才延攬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為例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國發會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已成立「就業金卡辦公室」，</w:t>
      </w:r>
      <w:r w:rsidR="00AE7E6E" w:rsidRP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持續擴大提供國際人才從工作到生活的全方位一條龍服務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936D40" w:rsidRP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迄10月底就業金卡有效張數已近6千2百張</w:t>
      </w:r>
      <w:r w:rsidR="004502D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14:paraId="6611CB14" w14:textId="1244ACDA" w:rsidR="00DF113B" w:rsidRPr="0087349F" w:rsidRDefault="00187B2D" w:rsidP="00187B2D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     在打造韌性供應鏈方面，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高副主委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呼應商會所提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面對當前世局挑戰，</w:t>
      </w:r>
      <w:r w:rsidR="004F4E2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各國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均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在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進行供應鏈重組，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灣</w:t>
      </w:r>
      <w:r w:rsidR="004F4E22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具備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半導體與資通訊優勢，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與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歐盟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共享民主、法治理念，是供應鏈重組中彼此最值得信賴的夥伴，台歐未來在新興</w:t>
      </w:r>
      <w:r w:rsidR="00AE7E6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戰略</w:t>
      </w:r>
      <w:r w:rsidR="006E6C75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產業領域有極大合作空間。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艾司摩爾(ASML)</w:t>
      </w:r>
      <w:r w:rsidR="00936D40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上週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宣布，明年將啟動該公司有史以來在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灣最大的投資案，一起打造更安全且具有韌性的全球供應鏈，就是最佳案例。</w:t>
      </w:r>
    </w:p>
    <w:p w14:paraId="17F75018" w14:textId="4FD391F1" w:rsidR="009F5F71" w:rsidRPr="0087349F" w:rsidRDefault="00187B2D" w:rsidP="00FF17B0">
      <w:pPr>
        <w:tabs>
          <w:tab w:val="left" w:pos="4253"/>
        </w:tabs>
        <w:adjustRightInd w:val="0"/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高副</w:t>
      </w:r>
      <w:r w:rsidR="009F5F71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主委感謝</w:t>
      </w:r>
      <w:r w:rsidR="008772F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歐洲</w:t>
      </w:r>
      <w:r w:rsidR="009F5F71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商會</w:t>
      </w:r>
      <w:r w:rsidR="00634F1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長期在</w:t>
      </w:r>
      <w:r w:rsidR="0096424E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</w:t>
      </w:r>
      <w:r w:rsidR="00634F11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深耕</w:t>
      </w:r>
      <w:r w:rsidR="009F5F71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面對疫後世界新變局，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期許商會</w:t>
      </w:r>
      <w:r w:rsidRPr="00187B2D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能秉持過去對台灣的支持，與台灣共同掌握疫後世界新局轉型的契機。</w:t>
      </w:r>
    </w:p>
    <w:p w14:paraId="05C858FA" w14:textId="24D2F713" w:rsidR="00D91E54" w:rsidRPr="0087349F" w:rsidRDefault="00D91E54" w:rsidP="00FF17B0">
      <w:pPr>
        <w:tabs>
          <w:tab w:val="left" w:pos="4253"/>
        </w:tabs>
        <w:adjustRightInd w:val="0"/>
        <w:snapToGrid w:val="0"/>
        <w:spacing w:beforeLines="50" w:before="180" w:line="50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聯絡人：法制協調</w:t>
      </w:r>
      <w:r w:rsidR="00A5086C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處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楊淑玲</w:t>
      </w:r>
      <w:r w:rsidR="00A5086C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處長</w:t>
      </w:r>
    </w:p>
    <w:p w14:paraId="09B010D6" w14:textId="67DD0D8F" w:rsidR="000E74DE" w:rsidRPr="009B4226" w:rsidRDefault="00D91E54" w:rsidP="00FF17B0">
      <w:pPr>
        <w:tabs>
          <w:tab w:val="left" w:pos="4253"/>
        </w:tabs>
        <w:adjustRightInd w:val="0"/>
        <w:snapToGrid w:val="0"/>
        <w:spacing w:line="50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辦公室電話：（02）2316-5929</w:t>
      </w:r>
    </w:p>
    <w:sectPr w:rsidR="000E74DE" w:rsidRPr="009B4226" w:rsidSect="0025362A">
      <w:footerReference w:type="default" r:id="rId9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AEE3" w14:textId="77777777" w:rsidR="006E27BA" w:rsidRDefault="006E27BA" w:rsidP="0065187A">
      <w:r>
        <w:separator/>
      </w:r>
    </w:p>
  </w:endnote>
  <w:endnote w:type="continuationSeparator" w:id="0">
    <w:p w14:paraId="3A6B032A" w14:textId="77777777" w:rsidR="006E27BA" w:rsidRDefault="006E27BA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77918"/>
      <w:docPartObj>
        <w:docPartGallery w:val="Page Numbers (Bottom of Page)"/>
        <w:docPartUnique/>
      </w:docPartObj>
    </w:sdtPr>
    <w:sdtEndPr/>
    <w:sdtContent>
      <w:p w14:paraId="45F8B7B1" w14:textId="77777777" w:rsidR="0092390B" w:rsidRDefault="00923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B1" w:rsidRPr="00F22AB1">
          <w:rPr>
            <w:noProof/>
            <w:lang w:val="zh-TW"/>
          </w:rPr>
          <w:t>1</w:t>
        </w:r>
        <w:r>
          <w:fldChar w:fldCharType="end"/>
        </w:r>
      </w:p>
    </w:sdtContent>
  </w:sdt>
  <w:p w14:paraId="71ABCA21" w14:textId="77777777" w:rsidR="0092390B" w:rsidRDefault="00923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7083" w14:textId="77777777" w:rsidR="006E27BA" w:rsidRDefault="006E27BA" w:rsidP="0065187A">
      <w:r>
        <w:separator/>
      </w:r>
    </w:p>
  </w:footnote>
  <w:footnote w:type="continuationSeparator" w:id="0">
    <w:p w14:paraId="4A53A62B" w14:textId="77777777" w:rsidR="006E27BA" w:rsidRDefault="006E27BA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7E"/>
    <w:rsid w:val="00003D70"/>
    <w:rsid w:val="00010B70"/>
    <w:rsid w:val="000224ED"/>
    <w:rsid w:val="00022D80"/>
    <w:rsid w:val="00024046"/>
    <w:rsid w:val="0002499C"/>
    <w:rsid w:val="00035D61"/>
    <w:rsid w:val="00036C96"/>
    <w:rsid w:val="0004005A"/>
    <w:rsid w:val="00043116"/>
    <w:rsid w:val="00060018"/>
    <w:rsid w:val="000604D1"/>
    <w:rsid w:val="00061B50"/>
    <w:rsid w:val="0006211E"/>
    <w:rsid w:val="000735CE"/>
    <w:rsid w:val="00074B7B"/>
    <w:rsid w:val="0009412F"/>
    <w:rsid w:val="000A05BF"/>
    <w:rsid w:val="000B143F"/>
    <w:rsid w:val="000B33A9"/>
    <w:rsid w:val="000B6E16"/>
    <w:rsid w:val="000C5CBF"/>
    <w:rsid w:val="000C6149"/>
    <w:rsid w:val="000C7B4F"/>
    <w:rsid w:val="000C7F9A"/>
    <w:rsid w:val="000D1C13"/>
    <w:rsid w:val="000D3FD7"/>
    <w:rsid w:val="000D4303"/>
    <w:rsid w:val="000D68F5"/>
    <w:rsid w:val="000E005D"/>
    <w:rsid w:val="000E5A2D"/>
    <w:rsid w:val="000E74DE"/>
    <w:rsid w:val="000F545F"/>
    <w:rsid w:val="00105063"/>
    <w:rsid w:val="00113DC7"/>
    <w:rsid w:val="001150CC"/>
    <w:rsid w:val="001166CE"/>
    <w:rsid w:val="0012527E"/>
    <w:rsid w:val="001271D9"/>
    <w:rsid w:val="00143376"/>
    <w:rsid w:val="00163065"/>
    <w:rsid w:val="0016641A"/>
    <w:rsid w:val="00166554"/>
    <w:rsid w:val="00166ABE"/>
    <w:rsid w:val="00167CF1"/>
    <w:rsid w:val="00170BC7"/>
    <w:rsid w:val="00176907"/>
    <w:rsid w:val="00182D13"/>
    <w:rsid w:val="00185A56"/>
    <w:rsid w:val="00186905"/>
    <w:rsid w:val="00187B2D"/>
    <w:rsid w:val="0019269E"/>
    <w:rsid w:val="00192ABB"/>
    <w:rsid w:val="00193BEF"/>
    <w:rsid w:val="001A3AB6"/>
    <w:rsid w:val="001A560C"/>
    <w:rsid w:val="001A6D08"/>
    <w:rsid w:val="001B6D33"/>
    <w:rsid w:val="001C40ED"/>
    <w:rsid w:val="001C5105"/>
    <w:rsid w:val="001D04A0"/>
    <w:rsid w:val="001D46EB"/>
    <w:rsid w:val="001D5D9E"/>
    <w:rsid w:val="001D5E28"/>
    <w:rsid w:val="001E4643"/>
    <w:rsid w:val="001E4705"/>
    <w:rsid w:val="001E4F2F"/>
    <w:rsid w:val="001E6544"/>
    <w:rsid w:val="001F1699"/>
    <w:rsid w:val="001F336D"/>
    <w:rsid w:val="00201193"/>
    <w:rsid w:val="00215F97"/>
    <w:rsid w:val="00216165"/>
    <w:rsid w:val="0021754E"/>
    <w:rsid w:val="002219FD"/>
    <w:rsid w:val="00226397"/>
    <w:rsid w:val="00226817"/>
    <w:rsid w:val="00227E2E"/>
    <w:rsid w:val="00237050"/>
    <w:rsid w:val="0024532D"/>
    <w:rsid w:val="002503BE"/>
    <w:rsid w:val="0025362A"/>
    <w:rsid w:val="00265D52"/>
    <w:rsid w:val="00274121"/>
    <w:rsid w:val="00274AC1"/>
    <w:rsid w:val="00275B1E"/>
    <w:rsid w:val="00282291"/>
    <w:rsid w:val="00284C9E"/>
    <w:rsid w:val="00295333"/>
    <w:rsid w:val="00297A45"/>
    <w:rsid w:val="002A5943"/>
    <w:rsid w:val="002A5BCC"/>
    <w:rsid w:val="002B050A"/>
    <w:rsid w:val="002B0565"/>
    <w:rsid w:val="002B5986"/>
    <w:rsid w:val="002C12BF"/>
    <w:rsid w:val="002C2A5D"/>
    <w:rsid w:val="002C5D3D"/>
    <w:rsid w:val="002D5222"/>
    <w:rsid w:val="002E16DF"/>
    <w:rsid w:val="002F15AD"/>
    <w:rsid w:val="002F5A10"/>
    <w:rsid w:val="002F5C46"/>
    <w:rsid w:val="002F5CAA"/>
    <w:rsid w:val="003015CF"/>
    <w:rsid w:val="00310687"/>
    <w:rsid w:val="00311749"/>
    <w:rsid w:val="003171DC"/>
    <w:rsid w:val="00317230"/>
    <w:rsid w:val="0032083F"/>
    <w:rsid w:val="00324BB9"/>
    <w:rsid w:val="003457A1"/>
    <w:rsid w:val="00363DF8"/>
    <w:rsid w:val="00367110"/>
    <w:rsid w:val="0037791E"/>
    <w:rsid w:val="003820FE"/>
    <w:rsid w:val="00396D56"/>
    <w:rsid w:val="003A2A82"/>
    <w:rsid w:val="003B051C"/>
    <w:rsid w:val="003B29AD"/>
    <w:rsid w:val="003B7A43"/>
    <w:rsid w:val="003C08EE"/>
    <w:rsid w:val="003D0C00"/>
    <w:rsid w:val="003D47B6"/>
    <w:rsid w:val="003E0FB3"/>
    <w:rsid w:val="003E291B"/>
    <w:rsid w:val="003F69A2"/>
    <w:rsid w:val="00402212"/>
    <w:rsid w:val="0040276B"/>
    <w:rsid w:val="004202FB"/>
    <w:rsid w:val="004225B2"/>
    <w:rsid w:val="00426A7E"/>
    <w:rsid w:val="00431324"/>
    <w:rsid w:val="00436224"/>
    <w:rsid w:val="0043734E"/>
    <w:rsid w:val="00444C81"/>
    <w:rsid w:val="004502D5"/>
    <w:rsid w:val="004528C1"/>
    <w:rsid w:val="00452B36"/>
    <w:rsid w:val="00457287"/>
    <w:rsid w:val="004639A3"/>
    <w:rsid w:val="004658A8"/>
    <w:rsid w:val="00466E2C"/>
    <w:rsid w:val="004817F5"/>
    <w:rsid w:val="004818FA"/>
    <w:rsid w:val="00481B9B"/>
    <w:rsid w:val="00482694"/>
    <w:rsid w:val="004853F6"/>
    <w:rsid w:val="00487B16"/>
    <w:rsid w:val="004906F4"/>
    <w:rsid w:val="00492626"/>
    <w:rsid w:val="00495699"/>
    <w:rsid w:val="0049698C"/>
    <w:rsid w:val="004A1900"/>
    <w:rsid w:val="004A4EE3"/>
    <w:rsid w:val="004A7A77"/>
    <w:rsid w:val="004C2A0C"/>
    <w:rsid w:val="004C5959"/>
    <w:rsid w:val="004D6E57"/>
    <w:rsid w:val="004D722B"/>
    <w:rsid w:val="004E25DB"/>
    <w:rsid w:val="004E2DFC"/>
    <w:rsid w:val="004E3226"/>
    <w:rsid w:val="004F00DB"/>
    <w:rsid w:val="004F0860"/>
    <w:rsid w:val="004F4E22"/>
    <w:rsid w:val="004F5BE9"/>
    <w:rsid w:val="004F6C81"/>
    <w:rsid w:val="00505A05"/>
    <w:rsid w:val="00507A84"/>
    <w:rsid w:val="00507B39"/>
    <w:rsid w:val="00513EED"/>
    <w:rsid w:val="0052051F"/>
    <w:rsid w:val="00527B98"/>
    <w:rsid w:val="005301CF"/>
    <w:rsid w:val="005401B8"/>
    <w:rsid w:val="00541190"/>
    <w:rsid w:val="005426D4"/>
    <w:rsid w:val="00561A8D"/>
    <w:rsid w:val="00564D14"/>
    <w:rsid w:val="005651A0"/>
    <w:rsid w:val="005737C5"/>
    <w:rsid w:val="00583770"/>
    <w:rsid w:val="00586711"/>
    <w:rsid w:val="00592DD7"/>
    <w:rsid w:val="00595072"/>
    <w:rsid w:val="005A3FE4"/>
    <w:rsid w:val="005A764B"/>
    <w:rsid w:val="005B003F"/>
    <w:rsid w:val="005B484F"/>
    <w:rsid w:val="005C5A25"/>
    <w:rsid w:val="005C693A"/>
    <w:rsid w:val="005D750C"/>
    <w:rsid w:val="005E22CC"/>
    <w:rsid w:val="005E450E"/>
    <w:rsid w:val="005E6B0A"/>
    <w:rsid w:val="005F0F2C"/>
    <w:rsid w:val="005F2231"/>
    <w:rsid w:val="00611640"/>
    <w:rsid w:val="006158AC"/>
    <w:rsid w:val="006252ED"/>
    <w:rsid w:val="0063077D"/>
    <w:rsid w:val="006347E5"/>
    <w:rsid w:val="00634F11"/>
    <w:rsid w:val="00636217"/>
    <w:rsid w:val="00641D60"/>
    <w:rsid w:val="0064600A"/>
    <w:rsid w:val="00647866"/>
    <w:rsid w:val="0065187A"/>
    <w:rsid w:val="00653D91"/>
    <w:rsid w:val="006579EB"/>
    <w:rsid w:val="00662E08"/>
    <w:rsid w:val="00667326"/>
    <w:rsid w:val="00682872"/>
    <w:rsid w:val="00682882"/>
    <w:rsid w:val="006919E8"/>
    <w:rsid w:val="006959EE"/>
    <w:rsid w:val="006A48BD"/>
    <w:rsid w:val="006A564E"/>
    <w:rsid w:val="006C084B"/>
    <w:rsid w:val="006C525D"/>
    <w:rsid w:val="006E27BA"/>
    <w:rsid w:val="006E6C75"/>
    <w:rsid w:val="006F0C3A"/>
    <w:rsid w:val="006F68BA"/>
    <w:rsid w:val="00717B05"/>
    <w:rsid w:val="0072665E"/>
    <w:rsid w:val="007378CD"/>
    <w:rsid w:val="00744121"/>
    <w:rsid w:val="00747231"/>
    <w:rsid w:val="007540BC"/>
    <w:rsid w:val="00754845"/>
    <w:rsid w:val="0075497D"/>
    <w:rsid w:val="00755E70"/>
    <w:rsid w:val="00760516"/>
    <w:rsid w:val="0076261E"/>
    <w:rsid w:val="00765263"/>
    <w:rsid w:val="007674B1"/>
    <w:rsid w:val="007724DD"/>
    <w:rsid w:val="00773FC3"/>
    <w:rsid w:val="00780766"/>
    <w:rsid w:val="00790D6B"/>
    <w:rsid w:val="007B2E37"/>
    <w:rsid w:val="007B5BB1"/>
    <w:rsid w:val="007B5C5E"/>
    <w:rsid w:val="007C7220"/>
    <w:rsid w:val="007E669B"/>
    <w:rsid w:val="007E6D74"/>
    <w:rsid w:val="007F0B7C"/>
    <w:rsid w:val="007F29B8"/>
    <w:rsid w:val="007F5253"/>
    <w:rsid w:val="00802C0D"/>
    <w:rsid w:val="00814976"/>
    <w:rsid w:val="008149B2"/>
    <w:rsid w:val="0081620E"/>
    <w:rsid w:val="0081799B"/>
    <w:rsid w:val="00824F16"/>
    <w:rsid w:val="00832728"/>
    <w:rsid w:val="008411A4"/>
    <w:rsid w:val="00842591"/>
    <w:rsid w:val="008439FD"/>
    <w:rsid w:val="00850EAB"/>
    <w:rsid w:val="00863E03"/>
    <w:rsid w:val="0087349F"/>
    <w:rsid w:val="008772FD"/>
    <w:rsid w:val="00877F5F"/>
    <w:rsid w:val="0088161B"/>
    <w:rsid w:val="008861E2"/>
    <w:rsid w:val="008A7844"/>
    <w:rsid w:val="008B320B"/>
    <w:rsid w:val="008B60C7"/>
    <w:rsid w:val="008C085E"/>
    <w:rsid w:val="008C09F2"/>
    <w:rsid w:val="008C191D"/>
    <w:rsid w:val="008D25A6"/>
    <w:rsid w:val="008E49EC"/>
    <w:rsid w:val="008F0BBD"/>
    <w:rsid w:val="008F5576"/>
    <w:rsid w:val="008F6574"/>
    <w:rsid w:val="008F742F"/>
    <w:rsid w:val="00902902"/>
    <w:rsid w:val="00903380"/>
    <w:rsid w:val="009052B7"/>
    <w:rsid w:val="00911AF4"/>
    <w:rsid w:val="00915F23"/>
    <w:rsid w:val="0092390B"/>
    <w:rsid w:val="00931C59"/>
    <w:rsid w:val="00935CB3"/>
    <w:rsid w:val="00936D40"/>
    <w:rsid w:val="009430EF"/>
    <w:rsid w:val="00954A18"/>
    <w:rsid w:val="00960528"/>
    <w:rsid w:val="0096424E"/>
    <w:rsid w:val="00986E38"/>
    <w:rsid w:val="009A0ED3"/>
    <w:rsid w:val="009A0F27"/>
    <w:rsid w:val="009A22A9"/>
    <w:rsid w:val="009A40AB"/>
    <w:rsid w:val="009B4226"/>
    <w:rsid w:val="009C2AA3"/>
    <w:rsid w:val="009C6CB4"/>
    <w:rsid w:val="009C7722"/>
    <w:rsid w:val="009D4357"/>
    <w:rsid w:val="009D4F2A"/>
    <w:rsid w:val="009D5BA0"/>
    <w:rsid w:val="009F0BB6"/>
    <w:rsid w:val="009F2616"/>
    <w:rsid w:val="009F515E"/>
    <w:rsid w:val="009F5F71"/>
    <w:rsid w:val="00A00E00"/>
    <w:rsid w:val="00A05E0F"/>
    <w:rsid w:val="00A0764A"/>
    <w:rsid w:val="00A1710E"/>
    <w:rsid w:val="00A174A0"/>
    <w:rsid w:val="00A246E0"/>
    <w:rsid w:val="00A31B1A"/>
    <w:rsid w:val="00A41B8B"/>
    <w:rsid w:val="00A43E38"/>
    <w:rsid w:val="00A5086C"/>
    <w:rsid w:val="00A55FB4"/>
    <w:rsid w:val="00A66B8E"/>
    <w:rsid w:val="00A72132"/>
    <w:rsid w:val="00A72D4E"/>
    <w:rsid w:val="00A74E15"/>
    <w:rsid w:val="00A761B5"/>
    <w:rsid w:val="00A87324"/>
    <w:rsid w:val="00A91231"/>
    <w:rsid w:val="00AB21AC"/>
    <w:rsid w:val="00AB3F3C"/>
    <w:rsid w:val="00AB4672"/>
    <w:rsid w:val="00AC5449"/>
    <w:rsid w:val="00AD36D0"/>
    <w:rsid w:val="00AE1F2A"/>
    <w:rsid w:val="00AE769B"/>
    <w:rsid w:val="00AE7E6E"/>
    <w:rsid w:val="00AF03B8"/>
    <w:rsid w:val="00B0084B"/>
    <w:rsid w:val="00B01012"/>
    <w:rsid w:val="00B01818"/>
    <w:rsid w:val="00B11F0E"/>
    <w:rsid w:val="00B121D3"/>
    <w:rsid w:val="00B1404A"/>
    <w:rsid w:val="00B30D79"/>
    <w:rsid w:val="00B3341E"/>
    <w:rsid w:val="00B33F0D"/>
    <w:rsid w:val="00B341D3"/>
    <w:rsid w:val="00B34ACE"/>
    <w:rsid w:val="00B34CF8"/>
    <w:rsid w:val="00B424C1"/>
    <w:rsid w:val="00B42BE4"/>
    <w:rsid w:val="00B5010D"/>
    <w:rsid w:val="00B502DD"/>
    <w:rsid w:val="00B52805"/>
    <w:rsid w:val="00B57972"/>
    <w:rsid w:val="00B57E75"/>
    <w:rsid w:val="00B64952"/>
    <w:rsid w:val="00B650AD"/>
    <w:rsid w:val="00B657BB"/>
    <w:rsid w:val="00B92068"/>
    <w:rsid w:val="00B94E8F"/>
    <w:rsid w:val="00B95CAA"/>
    <w:rsid w:val="00BA3790"/>
    <w:rsid w:val="00BA501A"/>
    <w:rsid w:val="00BB05ED"/>
    <w:rsid w:val="00BC0B15"/>
    <w:rsid w:val="00BC33E1"/>
    <w:rsid w:val="00BC36B2"/>
    <w:rsid w:val="00BC3F8D"/>
    <w:rsid w:val="00BC61A5"/>
    <w:rsid w:val="00BD0D6E"/>
    <w:rsid w:val="00BD56D2"/>
    <w:rsid w:val="00BD7F5A"/>
    <w:rsid w:val="00BE132F"/>
    <w:rsid w:val="00BE5F3A"/>
    <w:rsid w:val="00BF10EB"/>
    <w:rsid w:val="00BF26D4"/>
    <w:rsid w:val="00C0045D"/>
    <w:rsid w:val="00C14FE8"/>
    <w:rsid w:val="00C15E7E"/>
    <w:rsid w:val="00C222C6"/>
    <w:rsid w:val="00C22376"/>
    <w:rsid w:val="00C259BF"/>
    <w:rsid w:val="00C34FF5"/>
    <w:rsid w:val="00C41410"/>
    <w:rsid w:val="00C5505B"/>
    <w:rsid w:val="00C64611"/>
    <w:rsid w:val="00C70B87"/>
    <w:rsid w:val="00C74943"/>
    <w:rsid w:val="00C75171"/>
    <w:rsid w:val="00C82929"/>
    <w:rsid w:val="00C838D7"/>
    <w:rsid w:val="00C96B89"/>
    <w:rsid w:val="00CB503F"/>
    <w:rsid w:val="00CB67B6"/>
    <w:rsid w:val="00CC5B4C"/>
    <w:rsid w:val="00CD1EA7"/>
    <w:rsid w:val="00CD2EFA"/>
    <w:rsid w:val="00CD3640"/>
    <w:rsid w:val="00CD5A06"/>
    <w:rsid w:val="00CE0935"/>
    <w:rsid w:val="00CE5B90"/>
    <w:rsid w:val="00CF06BF"/>
    <w:rsid w:val="00CF14D2"/>
    <w:rsid w:val="00CF7B4B"/>
    <w:rsid w:val="00D06ECA"/>
    <w:rsid w:val="00D07011"/>
    <w:rsid w:val="00D1061F"/>
    <w:rsid w:val="00D1389E"/>
    <w:rsid w:val="00D23F71"/>
    <w:rsid w:val="00D25199"/>
    <w:rsid w:val="00D26AB7"/>
    <w:rsid w:val="00D301FF"/>
    <w:rsid w:val="00D3570E"/>
    <w:rsid w:val="00D41A24"/>
    <w:rsid w:val="00D43EA0"/>
    <w:rsid w:val="00D56D2E"/>
    <w:rsid w:val="00D62524"/>
    <w:rsid w:val="00D75126"/>
    <w:rsid w:val="00D77061"/>
    <w:rsid w:val="00D7729B"/>
    <w:rsid w:val="00D83878"/>
    <w:rsid w:val="00D83E5D"/>
    <w:rsid w:val="00D91E54"/>
    <w:rsid w:val="00D9350E"/>
    <w:rsid w:val="00D93761"/>
    <w:rsid w:val="00D943F8"/>
    <w:rsid w:val="00D95A0E"/>
    <w:rsid w:val="00D97CB0"/>
    <w:rsid w:val="00DB0BDB"/>
    <w:rsid w:val="00DC2D2D"/>
    <w:rsid w:val="00DC3C58"/>
    <w:rsid w:val="00DE4072"/>
    <w:rsid w:val="00DE50E5"/>
    <w:rsid w:val="00DF113B"/>
    <w:rsid w:val="00DF1D08"/>
    <w:rsid w:val="00DF332F"/>
    <w:rsid w:val="00DF4560"/>
    <w:rsid w:val="00E013EC"/>
    <w:rsid w:val="00E0404F"/>
    <w:rsid w:val="00E0480B"/>
    <w:rsid w:val="00E13B31"/>
    <w:rsid w:val="00E334AF"/>
    <w:rsid w:val="00E5060A"/>
    <w:rsid w:val="00E50BF1"/>
    <w:rsid w:val="00E61C64"/>
    <w:rsid w:val="00E6766B"/>
    <w:rsid w:val="00E70EE9"/>
    <w:rsid w:val="00E7468B"/>
    <w:rsid w:val="00E74761"/>
    <w:rsid w:val="00E9343B"/>
    <w:rsid w:val="00E94DF5"/>
    <w:rsid w:val="00E957A4"/>
    <w:rsid w:val="00E961D2"/>
    <w:rsid w:val="00EB4A07"/>
    <w:rsid w:val="00EB5CFF"/>
    <w:rsid w:val="00EC3393"/>
    <w:rsid w:val="00EC3B34"/>
    <w:rsid w:val="00EC5654"/>
    <w:rsid w:val="00EC7F7A"/>
    <w:rsid w:val="00EE058E"/>
    <w:rsid w:val="00EF0FAA"/>
    <w:rsid w:val="00EF30FC"/>
    <w:rsid w:val="00EF7411"/>
    <w:rsid w:val="00EF7455"/>
    <w:rsid w:val="00F045DC"/>
    <w:rsid w:val="00F0488D"/>
    <w:rsid w:val="00F04B88"/>
    <w:rsid w:val="00F058FE"/>
    <w:rsid w:val="00F05EBF"/>
    <w:rsid w:val="00F11C2D"/>
    <w:rsid w:val="00F15BDB"/>
    <w:rsid w:val="00F22AB1"/>
    <w:rsid w:val="00F238E7"/>
    <w:rsid w:val="00F24E13"/>
    <w:rsid w:val="00F31CDB"/>
    <w:rsid w:val="00F424C2"/>
    <w:rsid w:val="00F42BCB"/>
    <w:rsid w:val="00F464E1"/>
    <w:rsid w:val="00F51A82"/>
    <w:rsid w:val="00F5775B"/>
    <w:rsid w:val="00F74AA2"/>
    <w:rsid w:val="00F80FFE"/>
    <w:rsid w:val="00F814E3"/>
    <w:rsid w:val="00FA4FBF"/>
    <w:rsid w:val="00FB5308"/>
    <w:rsid w:val="00FC13BA"/>
    <w:rsid w:val="00FD0001"/>
    <w:rsid w:val="00FD4E4E"/>
    <w:rsid w:val="00FD7C29"/>
    <w:rsid w:val="00FE4492"/>
    <w:rsid w:val="00FF17B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2437"/>
  <w15:docId w15:val="{D6F7484F-805B-4DC5-AB97-3E6A81E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815F-EE39-4A07-A651-73DE958B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謝雅芬</dc:creator>
  <cp:lastModifiedBy>特級系統管理員</cp:lastModifiedBy>
  <cp:revision>12</cp:revision>
  <cp:lastPrinted>2022-11-25T07:54:00Z</cp:lastPrinted>
  <dcterms:created xsi:type="dcterms:W3CDTF">2022-11-25T07:54:00Z</dcterms:created>
  <dcterms:modified xsi:type="dcterms:W3CDTF">2022-11-25T08:57:00Z</dcterms:modified>
</cp:coreProperties>
</file>