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74FE" w14:textId="35E7155F" w:rsidR="00E32D2B" w:rsidRPr="00E32D2B" w:rsidRDefault="00E32D2B" w:rsidP="00E32D2B">
      <w:pPr>
        <w:spacing w:beforeLines="50" w:before="180" w:line="440" w:lineRule="exact"/>
        <w:jc w:val="center"/>
        <w:rPr>
          <w:rFonts w:ascii="微軟正黑體" w:eastAsia="微軟正黑體" w:hAnsi="微軟正黑體"/>
          <w:b/>
          <w:bCs/>
          <w:sz w:val="32"/>
          <w:szCs w:val="32"/>
        </w:rPr>
      </w:pPr>
      <w:r w:rsidRPr="00E32D2B">
        <w:rPr>
          <w:rFonts w:ascii="微軟正黑體" w:eastAsia="微軟正黑體" w:hAnsi="微軟正黑體"/>
          <w:b/>
          <w:bCs/>
          <w:noProof/>
          <w:sz w:val="32"/>
          <w:szCs w:val="32"/>
        </w:rPr>
        <w:drawing>
          <wp:anchor distT="0" distB="0" distL="114300" distR="114300" simplePos="0" relativeHeight="251658240" behindDoc="0" locked="0" layoutInCell="1" allowOverlap="1" wp14:anchorId="5D49DEFF" wp14:editId="18E9A40E">
            <wp:simplePos x="0" y="0"/>
            <wp:positionH relativeFrom="column">
              <wp:posOffset>-810714</wp:posOffset>
            </wp:positionH>
            <wp:positionV relativeFrom="paragraph">
              <wp:posOffset>-495027</wp:posOffset>
            </wp:positionV>
            <wp:extent cx="2082337" cy="413657"/>
            <wp:effectExtent l="0" t="0" r="0"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337" cy="413657"/>
                    </a:xfrm>
                    <a:prstGeom prst="rect">
                      <a:avLst/>
                    </a:prstGeom>
                    <a:noFill/>
                  </pic:spPr>
                </pic:pic>
              </a:graphicData>
            </a:graphic>
            <wp14:sizeRelH relativeFrom="page">
              <wp14:pctWidth>0</wp14:pctWidth>
            </wp14:sizeRelH>
            <wp14:sizeRelV relativeFrom="page">
              <wp14:pctHeight>0</wp14:pctHeight>
            </wp14:sizeRelV>
          </wp:anchor>
        </w:drawing>
      </w:r>
      <w:r w:rsidRPr="00E32D2B">
        <w:rPr>
          <w:rFonts w:ascii="微軟正黑體" w:eastAsia="微軟正黑體" w:hAnsi="微軟正黑體" w:hint="eastAsia"/>
          <w:b/>
          <w:bCs/>
          <w:sz w:val="32"/>
          <w:szCs w:val="32"/>
        </w:rPr>
        <w:t>國家發展委員會 新聞稿</w:t>
      </w:r>
    </w:p>
    <w:p w14:paraId="7D9271C8" w14:textId="2D579CF6" w:rsidR="005611C9" w:rsidRDefault="000A5EBD" w:rsidP="00FE2752">
      <w:pPr>
        <w:spacing w:beforeLines="50" w:before="180" w:line="440" w:lineRule="exact"/>
        <w:jc w:val="center"/>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再次說明</w:t>
      </w:r>
      <w:proofErr w:type="gramStart"/>
      <w:r w:rsidR="000D1E36" w:rsidRPr="00E32D2B">
        <w:rPr>
          <w:rFonts w:ascii="微軟正黑體" w:eastAsia="微軟正黑體" w:hAnsi="微軟正黑體" w:hint="eastAsia"/>
          <w:b/>
          <w:bCs/>
          <w:sz w:val="28"/>
          <w:szCs w:val="28"/>
        </w:rPr>
        <w:t>如興案</w:t>
      </w:r>
      <w:r w:rsidRPr="00E32D2B">
        <w:rPr>
          <w:rFonts w:ascii="微軟正黑體" w:eastAsia="微軟正黑體" w:hAnsi="微軟正黑體" w:hint="eastAsia"/>
          <w:b/>
          <w:bCs/>
          <w:sz w:val="28"/>
          <w:szCs w:val="28"/>
        </w:rPr>
        <w:t>投資</w:t>
      </w:r>
      <w:proofErr w:type="gramEnd"/>
      <w:r w:rsidRPr="00E32D2B">
        <w:rPr>
          <w:rFonts w:ascii="微軟正黑體" w:eastAsia="微軟正黑體" w:hAnsi="微軟正黑體" w:hint="eastAsia"/>
          <w:b/>
          <w:bCs/>
          <w:sz w:val="28"/>
          <w:szCs w:val="28"/>
        </w:rPr>
        <w:t xml:space="preserve">過程嚴謹　</w:t>
      </w:r>
      <w:r w:rsidR="006902AE" w:rsidRPr="00E32D2B">
        <w:rPr>
          <w:rFonts w:ascii="微軟正黑體" w:eastAsia="微軟正黑體" w:hAnsi="微軟正黑體" w:hint="eastAsia"/>
          <w:b/>
          <w:bCs/>
          <w:sz w:val="28"/>
          <w:szCs w:val="28"/>
        </w:rPr>
        <w:t>期公司爭議能早日落幕</w:t>
      </w:r>
    </w:p>
    <w:p w14:paraId="0C17F0CC" w14:textId="717BF42C" w:rsidR="00E32D2B" w:rsidRPr="00E32D2B" w:rsidRDefault="00E32D2B" w:rsidP="00E32D2B">
      <w:pPr>
        <w:spacing w:beforeLines="50" w:before="180" w:line="440" w:lineRule="exact"/>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發布日期：</w:t>
      </w:r>
      <w:r>
        <w:rPr>
          <w:rFonts w:ascii="微軟正黑體" w:eastAsia="微軟正黑體" w:hAnsi="微軟正黑體" w:hint="eastAsia"/>
          <w:b/>
          <w:bCs/>
          <w:sz w:val="28"/>
          <w:szCs w:val="28"/>
        </w:rPr>
        <w:t>111</w:t>
      </w:r>
      <w:r w:rsidRPr="00E32D2B">
        <w:rPr>
          <w:rFonts w:ascii="微軟正黑體" w:eastAsia="微軟正黑體" w:hAnsi="微軟正黑體" w:hint="eastAsia"/>
          <w:b/>
          <w:bCs/>
          <w:sz w:val="28"/>
          <w:szCs w:val="28"/>
        </w:rPr>
        <w:t>年</w:t>
      </w:r>
      <w:r>
        <w:rPr>
          <w:rFonts w:ascii="微軟正黑體" w:eastAsia="微軟正黑體" w:hAnsi="微軟正黑體" w:hint="eastAsia"/>
          <w:b/>
          <w:bCs/>
          <w:sz w:val="28"/>
          <w:szCs w:val="28"/>
        </w:rPr>
        <w:t>7</w:t>
      </w:r>
      <w:r w:rsidRPr="00E32D2B">
        <w:rPr>
          <w:rFonts w:ascii="微軟正黑體" w:eastAsia="微軟正黑體" w:hAnsi="微軟正黑體" w:hint="eastAsia"/>
          <w:b/>
          <w:bCs/>
          <w:sz w:val="28"/>
          <w:szCs w:val="28"/>
        </w:rPr>
        <w:t>月</w:t>
      </w:r>
      <w:r>
        <w:rPr>
          <w:rFonts w:ascii="微軟正黑體" w:eastAsia="微軟正黑體" w:hAnsi="微軟正黑體" w:hint="eastAsia"/>
          <w:b/>
          <w:bCs/>
          <w:sz w:val="28"/>
          <w:szCs w:val="28"/>
        </w:rPr>
        <w:t>26</w:t>
      </w:r>
      <w:r w:rsidRPr="00E32D2B">
        <w:rPr>
          <w:rFonts w:ascii="微軟正黑體" w:eastAsia="微軟正黑體" w:hAnsi="微軟正黑體" w:hint="eastAsia"/>
          <w:b/>
          <w:bCs/>
          <w:sz w:val="28"/>
          <w:szCs w:val="28"/>
        </w:rPr>
        <w:t>日</w:t>
      </w:r>
    </w:p>
    <w:p w14:paraId="152D611C" w14:textId="122CC2BB" w:rsidR="00E32D2B" w:rsidRPr="00E32D2B" w:rsidRDefault="00E32D2B" w:rsidP="00E32D2B">
      <w:pPr>
        <w:spacing w:beforeLines="50" w:before="180" w:line="440" w:lineRule="exact"/>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發布單位：</w:t>
      </w:r>
      <w:r>
        <w:rPr>
          <w:rFonts w:ascii="微軟正黑體" w:eastAsia="微軟正黑體" w:hAnsi="微軟正黑體" w:hint="eastAsia"/>
          <w:b/>
          <w:bCs/>
          <w:sz w:val="28"/>
          <w:szCs w:val="28"/>
        </w:rPr>
        <w:t>國發基金</w:t>
      </w:r>
    </w:p>
    <w:p w14:paraId="2FD2E793" w14:textId="7C842070" w:rsidR="006C17CB" w:rsidRPr="00E32D2B" w:rsidRDefault="006C17CB" w:rsidP="00E902C3">
      <w:pPr>
        <w:pStyle w:val="ac"/>
        <w:numPr>
          <w:ilvl w:val="0"/>
          <w:numId w:val="1"/>
        </w:numPr>
        <w:spacing w:beforeLines="50" w:before="180" w:line="440" w:lineRule="exact"/>
        <w:ind w:leftChars="0"/>
        <w:jc w:val="both"/>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國發基金投資如興公司</w:t>
      </w:r>
      <w:r w:rsidR="00180D93" w:rsidRPr="00E32D2B">
        <w:rPr>
          <w:rFonts w:ascii="微軟正黑體" w:eastAsia="微軟正黑體" w:hAnsi="微軟正黑體" w:hint="eastAsia"/>
          <w:b/>
          <w:bCs/>
          <w:sz w:val="28"/>
          <w:szCs w:val="28"/>
        </w:rPr>
        <w:t>過程</w:t>
      </w:r>
      <w:r w:rsidR="000A5EBD" w:rsidRPr="00E32D2B">
        <w:rPr>
          <w:rFonts w:ascii="微軟正黑體" w:eastAsia="微軟正黑體" w:hAnsi="微軟正黑體" w:hint="eastAsia"/>
          <w:b/>
          <w:bCs/>
          <w:sz w:val="28"/>
          <w:szCs w:val="28"/>
        </w:rPr>
        <w:t>嚴謹</w:t>
      </w:r>
    </w:p>
    <w:p w14:paraId="60A64C71" w14:textId="6023596D" w:rsidR="0060054A" w:rsidRPr="00E32D2B" w:rsidRDefault="00D41040" w:rsidP="000A5EBD">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國發基金投資如興公司案，依既定程序提請政策評估會審議通過，並委託專業機構辦理財務、稅務、法務與企業價值評估後，由學者專家組成之「投資評估審議會」，就計畫可行性及未來發展性進行審議通過後，再提請管理會討論通過，三階段程序完成後始配合民間資金共同參與投資，過程嚴謹</w:t>
      </w:r>
      <w:r w:rsidR="00641E17" w:rsidRPr="00E32D2B">
        <w:rPr>
          <w:rFonts w:ascii="微軟正黑體" w:eastAsia="微軟正黑體" w:hAnsi="微軟正黑體" w:hint="eastAsia"/>
          <w:sz w:val="28"/>
          <w:szCs w:val="28"/>
        </w:rPr>
        <w:t>。</w:t>
      </w:r>
      <w:r w:rsidR="00B66FED" w:rsidRPr="00E32D2B">
        <w:rPr>
          <w:rFonts w:ascii="微軟正黑體" w:eastAsia="微軟正黑體" w:hAnsi="微軟正黑體" w:hint="eastAsia"/>
          <w:sz w:val="28"/>
          <w:szCs w:val="28"/>
        </w:rPr>
        <w:t>該公司來向國發基金申請</w:t>
      </w:r>
      <w:r w:rsidR="002C0488" w:rsidRPr="00E32D2B">
        <w:rPr>
          <w:rFonts w:ascii="微軟正黑體" w:eastAsia="微軟正黑體" w:hAnsi="微軟正黑體" w:hint="eastAsia"/>
          <w:sz w:val="28"/>
          <w:szCs w:val="28"/>
        </w:rPr>
        <w:t>投</w:t>
      </w:r>
      <w:r w:rsidR="00B66FED" w:rsidRPr="00E32D2B">
        <w:rPr>
          <w:rFonts w:ascii="微軟正黑體" w:eastAsia="微軟正黑體" w:hAnsi="微軟正黑體" w:hint="eastAsia"/>
          <w:sz w:val="28"/>
          <w:szCs w:val="28"/>
        </w:rPr>
        <w:t>資時，</w:t>
      </w:r>
      <w:proofErr w:type="gramStart"/>
      <w:r w:rsidR="00B66FED" w:rsidRPr="00E32D2B">
        <w:rPr>
          <w:rFonts w:ascii="微軟正黑體" w:eastAsia="微軟正黑體" w:hAnsi="微軟正黑體" w:hint="eastAsia"/>
          <w:sz w:val="28"/>
          <w:szCs w:val="28"/>
        </w:rPr>
        <w:t>該輪募資</w:t>
      </w:r>
      <w:proofErr w:type="gramEnd"/>
      <w:r w:rsidR="002C0488" w:rsidRPr="00E32D2B">
        <w:rPr>
          <w:rFonts w:ascii="微軟正黑體" w:eastAsia="微軟正黑體" w:hAnsi="微軟正黑體" w:hint="eastAsia"/>
          <w:sz w:val="28"/>
          <w:szCs w:val="28"/>
        </w:rPr>
        <w:t>總額</w:t>
      </w:r>
      <w:r w:rsidR="00B66FED" w:rsidRPr="00E32D2B">
        <w:rPr>
          <w:rFonts w:ascii="微軟正黑體" w:eastAsia="微軟正黑體" w:hAnsi="微軟正黑體" w:hint="eastAsia"/>
          <w:sz w:val="28"/>
          <w:szCs w:val="28"/>
        </w:rPr>
        <w:t>約130億，如興公司獲得</w:t>
      </w:r>
      <w:r w:rsidR="002C0488" w:rsidRPr="00E32D2B">
        <w:rPr>
          <w:rFonts w:ascii="微軟正黑體" w:eastAsia="微軟正黑體" w:hAnsi="微軟正黑體" w:hint="eastAsia"/>
          <w:sz w:val="28"/>
          <w:szCs w:val="28"/>
        </w:rPr>
        <w:t>的應募金額已</w:t>
      </w:r>
      <w:r w:rsidR="00B66FED" w:rsidRPr="00E32D2B">
        <w:rPr>
          <w:rFonts w:ascii="微軟正黑體" w:eastAsia="微軟正黑體" w:hAnsi="微軟正黑體" w:hint="eastAsia"/>
          <w:sz w:val="28"/>
          <w:szCs w:val="28"/>
        </w:rPr>
        <w:t>超過</w:t>
      </w:r>
      <w:r w:rsidR="00A429C6" w:rsidRPr="00E32D2B">
        <w:rPr>
          <w:rFonts w:ascii="微軟正黑體" w:eastAsia="微軟正黑體" w:hAnsi="微軟正黑體"/>
          <w:sz w:val="28"/>
          <w:szCs w:val="28"/>
        </w:rPr>
        <w:t>70</w:t>
      </w:r>
      <w:r w:rsidR="00B66FED" w:rsidRPr="00E32D2B">
        <w:rPr>
          <w:rFonts w:ascii="微軟正黑體" w:eastAsia="微軟正黑體" w:hAnsi="微軟正黑體" w:hint="eastAsia"/>
          <w:sz w:val="28"/>
          <w:szCs w:val="28"/>
        </w:rPr>
        <w:t>億元</w:t>
      </w:r>
      <w:r w:rsidR="00A429C6" w:rsidRPr="00E32D2B">
        <w:rPr>
          <w:rFonts w:ascii="微軟正黑體" w:eastAsia="微軟正黑體" w:hAnsi="微軟正黑體" w:hint="eastAsia"/>
          <w:sz w:val="28"/>
          <w:szCs w:val="28"/>
        </w:rPr>
        <w:t>投資承諾</w:t>
      </w:r>
      <w:r w:rsidR="00B66FED" w:rsidRPr="00E32D2B">
        <w:rPr>
          <w:rFonts w:ascii="微軟正黑體" w:eastAsia="微軟正黑體" w:hAnsi="微軟正黑體" w:hint="eastAsia"/>
          <w:sz w:val="28"/>
          <w:szCs w:val="28"/>
        </w:rPr>
        <w:t>。</w:t>
      </w:r>
    </w:p>
    <w:p w14:paraId="60B9E3ED" w14:textId="4BB59541" w:rsidR="000A5EBD" w:rsidRDefault="00641E17" w:rsidP="000A5EBD">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投資如興公司案等相關程序及細節，國發基金自2018年4月以來已多次澄清</w:t>
      </w:r>
      <w:r w:rsidR="00D41040" w:rsidRPr="00E32D2B">
        <w:rPr>
          <w:rFonts w:ascii="微軟正黑體" w:eastAsia="微軟正黑體" w:hAnsi="微軟正黑體" w:hint="eastAsia"/>
          <w:sz w:val="28"/>
          <w:szCs w:val="28"/>
        </w:rPr>
        <w:t>、積極向外界說明，並配合監察院及檢調單位的調查。</w:t>
      </w:r>
      <w:bookmarkStart w:id="0" w:name="_Hlk109199777"/>
      <w:r w:rsidR="00A70200" w:rsidRPr="00E32D2B">
        <w:rPr>
          <w:rFonts w:ascii="微軟正黑體" w:eastAsia="微軟正黑體" w:hAnsi="微軟正黑體" w:hint="eastAsia"/>
          <w:sz w:val="28"/>
          <w:szCs w:val="28"/>
        </w:rPr>
        <w:t>國發基金已向投資人保護中心登記，對如興公司、陳仕修董事長及相關人等，進行投資損失集體求償程序，以保障國發基金合法投資權益。</w:t>
      </w:r>
    </w:p>
    <w:p w14:paraId="102BCF02" w14:textId="77777777" w:rsidR="00E32D2B" w:rsidRPr="00E32D2B" w:rsidRDefault="00E32D2B" w:rsidP="000A5EBD">
      <w:pPr>
        <w:pStyle w:val="ac"/>
        <w:spacing w:beforeLines="50" w:before="180" w:line="440" w:lineRule="exact"/>
        <w:ind w:leftChars="0"/>
        <w:jc w:val="both"/>
        <w:rPr>
          <w:rFonts w:ascii="微軟正黑體" w:eastAsia="微軟正黑體" w:hAnsi="微軟正黑體"/>
          <w:b/>
          <w:bCs/>
          <w:sz w:val="28"/>
          <w:szCs w:val="28"/>
        </w:rPr>
      </w:pPr>
    </w:p>
    <w:p w14:paraId="32C7EC84" w14:textId="60E5FC2A" w:rsidR="000A5EBD" w:rsidRPr="00E32D2B" w:rsidRDefault="000A5EBD" w:rsidP="000A5EBD">
      <w:pPr>
        <w:pStyle w:val="ac"/>
        <w:numPr>
          <w:ilvl w:val="0"/>
          <w:numId w:val="1"/>
        </w:numPr>
        <w:spacing w:beforeLines="50" w:before="180" w:line="440" w:lineRule="exact"/>
        <w:ind w:leftChars="0"/>
        <w:jc w:val="both"/>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如興公司董事長異動經該公司董事會通過</w:t>
      </w:r>
    </w:p>
    <w:p w14:paraId="3AC960F1" w14:textId="77777777" w:rsidR="000A5EBD" w:rsidRPr="00E32D2B" w:rsidRDefault="000A5EBD" w:rsidP="000A5EBD">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本次董事長異動是來自於，原董事長張水江</w:t>
      </w:r>
      <w:proofErr w:type="gramStart"/>
      <w:r w:rsidRPr="00E32D2B">
        <w:rPr>
          <w:rFonts w:ascii="微軟正黑體" w:eastAsia="微軟正黑體" w:hAnsi="微軟正黑體" w:hint="eastAsia"/>
          <w:sz w:val="28"/>
          <w:szCs w:val="28"/>
        </w:rPr>
        <w:t>先生係如興</w:t>
      </w:r>
      <w:proofErr w:type="gramEnd"/>
      <w:r w:rsidRPr="00E32D2B">
        <w:rPr>
          <w:rFonts w:ascii="微軟正黑體" w:eastAsia="微軟正黑體" w:hAnsi="微軟正黑體" w:hint="eastAsia"/>
          <w:sz w:val="28"/>
          <w:szCs w:val="28"/>
        </w:rPr>
        <w:t>公司法人股東偉豪投資公司派任之董事代表。因偉豪投資公司改派其法人董事代表，由翁紹華先生替代張水江先生，</w:t>
      </w:r>
      <w:r w:rsidRPr="00E32D2B">
        <w:rPr>
          <w:rFonts w:ascii="微軟正黑體" w:eastAsia="微軟正黑體" w:hAnsi="微軟正黑體"/>
          <w:sz w:val="28"/>
          <w:szCs w:val="28"/>
        </w:rPr>
        <w:t>張水江</w:t>
      </w:r>
      <w:r w:rsidRPr="00E32D2B">
        <w:rPr>
          <w:rFonts w:ascii="微軟正黑體" w:eastAsia="微軟正黑體" w:hAnsi="微軟正黑體" w:hint="eastAsia"/>
          <w:sz w:val="28"/>
          <w:szCs w:val="28"/>
        </w:rPr>
        <w:t>先生</w:t>
      </w:r>
      <w:r w:rsidRPr="00E32D2B">
        <w:rPr>
          <w:rFonts w:ascii="微軟正黑體" w:eastAsia="微軟正黑體" w:hAnsi="微軟正黑體"/>
          <w:sz w:val="28"/>
          <w:szCs w:val="28"/>
        </w:rPr>
        <w:t>卸任董事</w:t>
      </w:r>
      <w:r w:rsidRPr="00E32D2B">
        <w:rPr>
          <w:rFonts w:ascii="微軟正黑體" w:eastAsia="微軟正黑體" w:hAnsi="微軟正黑體" w:hint="eastAsia"/>
          <w:sz w:val="28"/>
          <w:szCs w:val="28"/>
        </w:rPr>
        <w:t>及董事長</w:t>
      </w:r>
      <w:r w:rsidRPr="00E32D2B">
        <w:rPr>
          <w:rFonts w:ascii="微軟正黑體" w:eastAsia="微軟正黑體" w:hAnsi="微軟正黑體"/>
          <w:sz w:val="28"/>
          <w:szCs w:val="28"/>
        </w:rPr>
        <w:t>職</w:t>
      </w:r>
      <w:r w:rsidRPr="00E32D2B">
        <w:rPr>
          <w:rFonts w:ascii="微軟正黑體" w:eastAsia="微軟正黑體" w:hAnsi="微軟正黑體" w:hint="eastAsia"/>
          <w:sz w:val="28"/>
          <w:szCs w:val="28"/>
        </w:rPr>
        <w:t>務。</w:t>
      </w:r>
    </w:p>
    <w:p w14:paraId="4A0B2254" w14:textId="77777777" w:rsidR="00F46350" w:rsidRPr="00E32D2B" w:rsidRDefault="000A5EBD" w:rsidP="000A5EBD">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如興公司於111年7月15日上午通知國發基金，將於該日下午召開董事會</w:t>
      </w:r>
      <w:bookmarkEnd w:id="0"/>
      <w:r w:rsidRPr="00E32D2B">
        <w:rPr>
          <w:rFonts w:ascii="微軟正黑體" w:eastAsia="微軟正黑體" w:hAnsi="微軟正黑體" w:hint="eastAsia"/>
          <w:sz w:val="28"/>
          <w:szCs w:val="28"/>
        </w:rPr>
        <w:t>，</w:t>
      </w:r>
      <w:r w:rsidR="00F46350" w:rsidRPr="00E32D2B">
        <w:rPr>
          <w:rFonts w:ascii="微軟正黑體" w:eastAsia="微軟正黑體" w:hAnsi="微軟正黑體" w:hint="eastAsia"/>
          <w:sz w:val="28"/>
          <w:szCs w:val="28"/>
        </w:rPr>
        <w:t>會議將</w:t>
      </w:r>
      <w:r w:rsidRPr="00E32D2B">
        <w:rPr>
          <w:rFonts w:ascii="微軟正黑體" w:eastAsia="微軟正黑體" w:hAnsi="微軟正黑體" w:hint="eastAsia"/>
          <w:sz w:val="28"/>
          <w:szCs w:val="28"/>
        </w:rPr>
        <w:t>改選公司董事長及總經理。國發基金於當時才與其他如興公司的董事一同得知偉豪公司</w:t>
      </w:r>
      <w:r w:rsidR="00F46350" w:rsidRPr="00E32D2B">
        <w:rPr>
          <w:rFonts w:ascii="微軟正黑體" w:eastAsia="微軟正黑體" w:hAnsi="微軟正黑體" w:hint="eastAsia"/>
          <w:sz w:val="28"/>
          <w:szCs w:val="28"/>
        </w:rPr>
        <w:t>已</w:t>
      </w:r>
      <w:r w:rsidRPr="00E32D2B">
        <w:rPr>
          <w:rFonts w:ascii="微軟正黑體" w:eastAsia="微軟正黑體" w:hAnsi="微軟正黑體" w:hint="eastAsia"/>
          <w:sz w:val="28"/>
          <w:szCs w:val="28"/>
        </w:rPr>
        <w:t>於</w:t>
      </w:r>
      <w:r w:rsidRPr="00E32D2B">
        <w:rPr>
          <w:rFonts w:ascii="微軟正黑體" w:eastAsia="微軟正黑體" w:hAnsi="微軟正黑體"/>
          <w:sz w:val="28"/>
          <w:szCs w:val="28"/>
        </w:rPr>
        <w:t>111</w:t>
      </w:r>
      <w:r w:rsidRPr="00E32D2B">
        <w:rPr>
          <w:rFonts w:ascii="微軟正黑體" w:eastAsia="微軟正黑體" w:hAnsi="微軟正黑體" w:hint="eastAsia"/>
          <w:sz w:val="28"/>
          <w:szCs w:val="28"/>
        </w:rPr>
        <w:t>年</w:t>
      </w:r>
      <w:r w:rsidRPr="00E32D2B">
        <w:rPr>
          <w:rFonts w:ascii="微軟正黑體" w:eastAsia="微軟正黑體" w:hAnsi="微軟正黑體"/>
          <w:sz w:val="28"/>
          <w:szCs w:val="28"/>
        </w:rPr>
        <w:t>2</w:t>
      </w:r>
      <w:r w:rsidRPr="00E32D2B">
        <w:rPr>
          <w:rFonts w:ascii="微軟正黑體" w:eastAsia="微軟正黑體" w:hAnsi="微軟正黑體" w:hint="eastAsia"/>
          <w:sz w:val="28"/>
          <w:szCs w:val="28"/>
        </w:rPr>
        <w:t>月</w:t>
      </w:r>
      <w:r w:rsidRPr="00E32D2B">
        <w:rPr>
          <w:rFonts w:ascii="微軟正黑體" w:eastAsia="微軟正黑體" w:hAnsi="微軟正黑體"/>
          <w:sz w:val="28"/>
          <w:szCs w:val="28"/>
        </w:rPr>
        <w:t>24</w:t>
      </w:r>
      <w:r w:rsidRPr="00E32D2B">
        <w:rPr>
          <w:rFonts w:ascii="微軟正黑體" w:eastAsia="微軟正黑體" w:hAnsi="微軟正黑體" w:hint="eastAsia"/>
          <w:sz w:val="28"/>
          <w:szCs w:val="28"/>
        </w:rPr>
        <w:t>日改派如興公司董事代表人。</w:t>
      </w:r>
    </w:p>
    <w:p w14:paraId="2DF6C911" w14:textId="40EC6704" w:rsidR="00B37E40" w:rsidRDefault="000A5EBD" w:rsidP="00E32D2B">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lastRenderedPageBreak/>
        <w:t>國發基金當時因通知過於匆促，</w:t>
      </w:r>
      <w:r w:rsidR="00523C51" w:rsidRPr="00E32D2B">
        <w:rPr>
          <w:rFonts w:ascii="微軟正黑體" w:eastAsia="微軟正黑體" w:hAnsi="微軟正黑體" w:hint="eastAsia"/>
          <w:sz w:val="28"/>
          <w:szCs w:val="28"/>
        </w:rPr>
        <w:t>基金1席代表表達</w:t>
      </w:r>
      <w:r w:rsidRPr="00E32D2B">
        <w:rPr>
          <w:rFonts w:ascii="微軟正黑體" w:eastAsia="微軟正黑體" w:hAnsi="微軟正黑體" w:hint="eastAsia"/>
          <w:sz w:val="28"/>
          <w:szCs w:val="28"/>
        </w:rPr>
        <w:t>希望</w:t>
      </w:r>
      <w:proofErr w:type="gramStart"/>
      <w:r w:rsidRPr="00E32D2B">
        <w:rPr>
          <w:rFonts w:ascii="微軟正黑體" w:eastAsia="微軟正黑體" w:hAnsi="微軟正黑體" w:hint="eastAsia"/>
          <w:sz w:val="28"/>
          <w:szCs w:val="28"/>
        </w:rPr>
        <w:t>緩議本案</w:t>
      </w:r>
      <w:proofErr w:type="gramEnd"/>
      <w:r w:rsidRPr="00E32D2B">
        <w:rPr>
          <w:rFonts w:ascii="微軟正黑體" w:eastAsia="微軟正黑體" w:hAnsi="微軟正黑體" w:hint="eastAsia"/>
          <w:sz w:val="28"/>
          <w:szCs w:val="28"/>
        </w:rPr>
        <w:t>，然如興公司董事會</w:t>
      </w:r>
      <w:r w:rsidR="00523C51" w:rsidRPr="00E32D2B">
        <w:rPr>
          <w:rFonts w:ascii="微軟正黑體" w:eastAsia="微軟正黑體" w:hAnsi="微軟正黑體" w:hint="eastAsia"/>
          <w:sz w:val="28"/>
          <w:szCs w:val="28"/>
        </w:rPr>
        <w:t>9席董事中，經三分之二</w:t>
      </w:r>
      <w:r w:rsidRPr="00E32D2B">
        <w:rPr>
          <w:rFonts w:ascii="微軟正黑體" w:eastAsia="微軟正黑體" w:hAnsi="微軟正黑體" w:hint="eastAsia"/>
          <w:sz w:val="28"/>
          <w:szCs w:val="28"/>
        </w:rPr>
        <w:t>以上董事出席，出席董事過半數同意，互選翁紹華董事為該公司董事長。</w:t>
      </w:r>
    </w:p>
    <w:p w14:paraId="4838DA78" w14:textId="77777777" w:rsidR="00E32D2B" w:rsidRPr="00E32D2B" w:rsidRDefault="00E32D2B" w:rsidP="00E32D2B">
      <w:pPr>
        <w:pStyle w:val="ac"/>
        <w:spacing w:beforeLines="50" w:before="180" w:line="440" w:lineRule="exact"/>
        <w:ind w:leftChars="0"/>
        <w:jc w:val="both"/>
        <w:rPr>
          <w:rFonts w:ascii="微軟正黑體" w:eastAsia="微軟正黑體" w:hAnsi="微軟正黑體"/>
          <w:sz w:val="28"/>
          <w:szCs w:val="28"/>
        </w:rPr>
      </w:pPr>
    </w:p>
    <w:p w14:paraId="1D8DF35B" w14:textId="0009B073" w:rsidR="006C17CB" w:rsidRPr="00E32D2B" w:rsidRDefault="006C17CB" w:rsidP="00FE2752">
      <w:pPr>
        <w:pStyle w:val="ac"/>
        <w:numPr>
          <w:ilvl w:val="0"/>
          <w:numId w:val="1"/>
        </w:numPr>
        <w:spacing w:beforeLines="50" w:before="180" w:line="440" w:lineRule="exact"/>
        <w:ind w:leftChars="0"/>
        <w:jc w:val="both"/>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國發基金</w:t>
      </w:r>
      <w:r w:rsidR="000A5EBD" w:rsidRPr="00E32D2B">
        <w:rPr>
          <w:rFonts w:ascii="微軟正黑體" w:eastAsia="微軟正黑體" w:hAnsi="微軟正黑體" w:hint="eastAsia"/>
          <w:b/>
          <w:bCs/>
          <w:sz w:val="28"/>
          <w:szCs w:val="28"/>
        </w:rPr>
        <w:t>以自有資金投資且</w:t>
      </w:r>
      <w:r w:rsidRPr="00E32D2B">
        <w:rPr>
          <w:rFonts w:ascii="微軟正黑體" w:eastAsia="微軟正黑體" w:hAnsi="微軟正黑體" w:hint="eastAsia"/>
          <w:b/>
          <w:bCs/>
          <w:sz w:val="28"/>
          <w:szCs w:val="28"/>
        </w:rPr>
        <w:t>獲利良好</w:t>
      </w:r>
    </w:p>
    <w:p w14:paraId="28DE885C" w14:textId="409130B9" w:rsidR="00AB22E4" w:rsidRDefault="00AB22E4" w:rsidP="006C17CB">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自國發基金成立以來，國庫歷年來撥交309.32億元，而國發基金投資獲利良好，至去年底淨值已達1兆3,339.54億元，加計歷年繳庫數及協助其他機關業務支出額已達</w:t>
      </w:r>
      <w:r w:rsidRPr="00E32D2B">
        <w:rPr>
          <w:rFonts w:ascii="微軟正黑體" w:eastAsia="微軟正黑體" w:hAnsi="微軟正黑體"/>
          <w:sz w:val="28"/>
          <w:szCs w:val="28"/>
        </w:rPr>
        <w:t>2</w:t>
      </w:r>
      <w:r w:rsidRPr="00E32D2B">
        <w:rPr>
          <w:rFonts w:ascii="微軟正黑體" w:eastAsia="微軟正黑體" w:hAnsi="微軟正黑體" w:hint="eastAsia"/>
          <w:sz w:val="28"/>
          <w:szCs w:val="28"/>
        </w:rPr>
        <w:t>,</w:t>
      </w:r>
      <w:r w:rsidRPr="00E32D2B">
        <w:rPr>
          <w:rFonts w:ascii="微軟正黑體" w:eastAsia="微軟正黑體" w:hAnsi="微軟正黑體"/>
          <w:sz w:val="28"/>
          <w:szCs w:val="28"/>
        </w:rPr>
        <w:t>894.</w:t>
      </w:r>
      <w:r w:rsidR="00E32D2B">
        <w:rPr>
          <w:rFonts w:ascii="微軟正黑體" w:eastAsia="微軟正黑體" w:hAnsi="微軟正黑體" w:hint="eastAsia"/>
          <w:sz w:val="28"/>
          <w:szCs w:val="28"/>
        </w:rPr>
        <w:t>86</w:t>
      </w:r>
      <w:r w:rsidRPr="00E32D2B">
        <w:rPr>
          <w:rFonts w:ascii="微軟正黑體" w:eastAsia="微軟正黑體" w:hAnsi="微軟正黑體" w:hint="eastAsia"/>
          <w:sz w:val="28"/>
          <w:szCs w:val="28"/>
        </w:rPr>
        <w:t>億元，合計更達1兆 6,234.40億元，增加金額已達原始撥交金額之51.48倍。目前所進行之產業投資的資金，皆來自國發基金自身的投資</w:t>
      </w:r>
      <w:r w:rsidR="00F46350" w:rsidRPr="00E32D2B">
        <w:rPr>
          <w:rFonts w:ascii="微軟正黑體" w:eastAsia="微軟正黑體" w:hAnsi="微軟正黑體" w:hint="eastAsia"/>
          <w:sz w:val="28"/>
          <w:szCs w:val="28"/>
        </w:rPr>
        <w:t>獲利</w:t>
      </w:r>
      <w:r w:rsidR="00180D93" w:rsidRPr="00E32D2B">
        <w:rPr>
          <w:rFonts w:ascii="微軟正黑體" w:eastAsia="微軟正黑體" w:hAnsi="微軟正黑體" w:hint="eastAsia"/>
          <w:sz w:val="28"/>
          <w:szCs w:val="28"/>
        </w:rPr>
        <w:t>。</w:t>
      </w:r>
    </w:p>
    <w:p w14:paraId="1D070F1D" w14:textId="77777777" w:rsidR="00E32D2B" w:rsidRPr="00E32D2B" w:rsidRDefault="00E32D2B" w:rsidP="006C17CB">
      <w:pPr>
        <w:pStyle w:val="ac"/>
        <w:spacing w:beforeLines="50" w:before="180" w:line="440" w:lineRule="exact"/>
        <w:ind w:leftChars="0"/>
        <w:jc w:val="both"/>
        <w:rPr>
          <w:rFonts w:ascii="微軟正黑體" w:eastAsia="微軟正黑體" w:hAnsi="微軟正黑體"/>
          <w:sz w:val="28"/>
          <w:szCs w:val="28"/>
        </w:rPr>
      </w:pPr>
    </w:p>
    <w:p w14:paraId="0BFFDFE7" w14:textId="44AAD2C0" w:rsidR="006C17CB" w:rsidRPr="00E32D2B" w:rsidRDefault="006C17CB" w:rsidP="00FE2752">
      <w:pPr>
        <w:pStyle w:val="ac"/>
        <w:numPr>
          <w:ilvl w:val="0"/>
          <w:numId w:val="1"/>
        </w:numPr>
        <w:spacing w:beforeLines="50" w:before="180" w:line="440" w:lineRule="exact"/>
        <w:ind w:leftChars="0"/>
        <w:jc w:val="both"/>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國發基金</w:t>
      </w:r>
      <w:r w:rsidR="00AD524C" w:rsidRPr="00E32D2B">
        <w:rPr>
          <w:rFonts w:ascii="微軟正黑體" w:eastAsia="微軟正黑體" w:hAnsi="微軟正黑體" w:hint="eastAsia"/>
          <w:b/>
          <w:bCs/>
          <w:sz w:val="28"/>
          <w:szCs w:val="28"/>
        </w:rPr>
        <w:t>已</w:t>
      </w:r>
      <w:r w:rsidRPr="00E32D2B">
        <w:rPr>
          <w:rFonts w:ascii="微軟正黑體" w:eastAsia="微軟正黑體" w:hAnsi="微軟正黑體" w:hint="eastAsia"/>
          <w:b/>
          <w:bCs/>
          <w:sz w:val="28"/>
          <w:szCs w:val="28"/>
        </w:rPr>
        <w:t>適時採取必要措施，維護本基金投資權益</w:t>
      </w:r>
    </w:p>
    <w:p w14:paraId="3FAB2BFF" w14:textId="32DB8036" w:rsidR="005825D6" w:rsidRDefault="006C17CB" w:rsidP="006C17CB">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如</w:t>
      </w:r>
      <w:r w:rsidR="00D41040" w:rsidRPr="00E32D2B">
        <w:rPr>
          <w:rFonts w:ascii="微軟正黑體" w:eastAsia="微軟正黑體" w:hAnsi="微軟正黑體" w:hint="eastAsia"/>
          <w:sz w:val="28"/>
          <w:szCs w:val="28"/>
        </w:rPr>
        <w:t>興公司為上市櫃公司，公司重要決議及變動需依照相關法令及證交所規範進行，</w:t>
      </w:r>
      <w:r w:rsidR="005825D6" w:rsidRPr="00E32D2B">
        <w:rPr>
          <w:rFonts w:ascii="微軟正黑體" w:eastAsia="微軟正黑體" w:hAnsi="微軟正黑體" w:hint="eastAsia"/>
          <w:sz w:val="28"/>
          <w:szCs w:val="28"/>
        </w:rPr>
        <w:t>國發基金</w:t>
      </w:r>
      <w:r w:rsidR="00D41040" w:rsidRPr="00E32D2B">
        <w:rPr>
          <w:rFonts w:ascii="微軟正黑體" w:eastAsia="微軟正黑體" w:hAnsi="微軟正黑體" w:hint="eastAsia"/>
          <w:sz w:val="28"/>
          <w:szCs w:val="28"/>
        </w:rPr>
        <w:t>並非主管機關，</w:t>
      </w:r>
      <w:r w:rsidR="00E62C89" w:rsidRPr="00E32D2B">
        <w:rPr>
          <w:rFonts w:ascii="微軟正黑體" w:eastAsia="微軟正黑體" w:hAnsi="微軟正黑體" w:hint="eastAsia"/>
          <w:sz w:val="28"/>
          <w:szCs w:val="28"/>
        </w:rPr>
        <w:t>相關單位也已進行調查。國發基金</w:t>
      </w:r>
      <w:r w:rsidR="00AC32CE" w:rsidRPr="00E32D2B">
        <w:rPr>
          <w:rFonts w:ascii="微軟正黑體" w:eastAsia="微軟正黑體" w:hAnsi="微軟正黑體" w:hint="eastAsia"/>
          <w:sz w:val="28"/>
          <w:szCs w:val="28"/>
        </w:rPr>
        <w:t>後續將</w:t>
      </w:r>
      <w:r w:rsidR="00B94662" w:rsidRPr="00E32D2B">
        <w:rPr>
          <w:rFonts w:ascii="微軟正黑體" w:eastAsia="微軟正黑體" w:hAnsi="微軟正黑體" w:hint="eastAsia"/>
          <w:sz w:val="28"/>
          <w:szCs w:val="28"/>
        </w:rPr>
        <w:t>持續密切注意本案後續發展，適時採取必要</w:t>
      </w:r>
      <w:r w:rsidR="00B37E40" w:rsidRPr="00E32D2B">
        <w:rPr>
          <w:rFonts w:ascii="微軟正黑體" w:eastAsia="微軟正黑體" w:hAnsi="微軟正黑體" w:hint="eastAsia"/>
          <w:sz w:val="28"/>
          <w:szCs w:val="28"/>
        </w:rPr>
        <w:t>法律</w:t>
      </w:r>
      <w:r w:rsidR="00B94662" w:rsidRPr="00E32D2B">
        <w:rPr>
          <w:rFonts w:ascii="微軟正黑體" w:eastAsia="微軟正黑體" w:hAnsi="微軟正黑體" w:hint="eastAsia"/>
          <w:sz w:val="28"/>
          <w:szCs w:val="28"/>
        </w:rPr>
        <w:t>措施</w:t>
      </w:r>
      <w:r w:rsidR="005825D6" w:rsidRPr="00E32D2B">
        <w:rPr>
          <w:rFonts w:ascii="微軟正黑體" w:eastAsia="微軟正黑體" w:hAnsi="微軟正黑體" w:hint="eastAsia"/>
          <w:sz w:val="28"/>
          <w:szCs w:val="28"/>
        </w:rPr>
        <w:t>，以維護本基金投資權益。</w:t>
      </w:r>
    </w:p>
    <w:p w14:paraId="29D265B2" w14:textId="77777777" w:rsidR="00E32D2B" w:rsidRPr="00E32D2B" w:rsidRDefault="00E32D2B" w:rsidP="006C17CB">
      <w:pPr>
        <w:pStyle w:val="ac"/>
        <w:spacing w:beforeLines="50" w:before="180" w:line="440" w:lineRule="exact"/>
        <w:ind w:leftChars="0"/>
        <w:jc w:val="both"/>
        <w:rPr>
          <w:rFonts w:ascii="微軟正黑體" w:eastAsia="微軟正黑體" w:hAnsi="微軟正黑體"/>
          <w:sz w:val="28"/>
          <w:szCs w:val="28"/>
        </w:rPr>
      </w:pPr>
    </w:p>
    <w:p w14:paraId="3C9E12C0" w14:textId="053F60BE" w:rsidR="006C17CB" w:rsidRPr="00E32D2B" w:rsidRDefault="0081274B" w:rsidP="00FE2752">
      <w:pPr>
        <w:pStyle w:val="ac"/>
        <w:numPr>
          <w:ilvl w:val="0"/>
          <w:numId w:val="1"/>
        </w:numPr>
        <w:spacing w:beforeLines="50" w:before="180" w:line="440" w:lineRule="exact"/>
        <w:ind w:leftChars="0"/>
        <w:jc w:val="both"/>
        <w:rPr>
          <w:rFonts w:ascii="微軟正黑體" w:eastAsia="微軟正黑體" w:hAnsi="微軟正黑體"/>
          <w:b/>
          <w:bCs/>
          <w:sz w:val="28"/>
          <w:szCs w:val="28"/>
        </w:rPr>
      </w:pPr>
      <w:r w:rsidRPr="00E32D2B">
        <w:rPr>
          <w:rFonts w:ascii="微軟正黑體" w:eastAsia="微軟正黑體" w:hAnsi="微軟正黑體" w:hint="eastAsia"/>
          <w:b/>
          <w:bCs/>
          <w:sz w:val="28"/>
          <w:szCs w:val="28"/>
        </w:rPr>
        <w:t>希望公司</w:t>
      </w:r>
      <w:r w:rsidR="006902AE" w:rsidRPr="00E32D2B">
        <w:rPr>
          <w:rFonts w:ascii="微軟正黑體" w:eastAsia="微軟正黑體" w:hAnsi="微軟正黑體" w:hint="eastAsia"/>
          <w:b/>
          <w:bCs/>
          <w:sz w:val="28"/>
          <w:szCs w:val="28"/>
        </w:rPr>
        <w:t>爭</w:t>
      </w:r>
      <w:r w:rsidR="004823B4" w:rsidRPr="00E32D2B">
        <w:rPr>
          <w:rFonts w:ascii="微軟正黑體" w:eastAsia="微軟正黑體" w:hAnsi="微軟正黑體" w:hint="eastAsia"/>
          <w:b/>
          <w:bCs/>
          <w:sz w:val="28"/>
          <w:szCs w:val="28"/>
        </w:rPr>
        <w:t>議</w:t>
      </w:r>
      <w:r w:rsidRPr="00E32D2B">
        <w:rPr>
          <w:rFonts w:ascii="微軟正黑體" w:eastAsia="微軟正黑體" w:hAnsi="微軟正黑體" w:hint="eastAsia"/>
          <w:b/>
          <w:bCs/>
          <w:sz w:val="28"/>
          <w:szCs w:val="28"/>
        </w:rPr>
        <w:t>能早日獲得解決</w:t>
      </w:r>
    </w:p>
    <w:p w14:paraId="7884FAD7" w14:textId="526A8CCB" w:rsidR="005825D6" w:rsidRPr="00E32D2B" w:rsidRDefault="00A75AC9" w:rsidP="006C17CB">
      <w:pPr>
        <w:pStyle w:val="ac"/>
        <w:spacing w:beforeLines="50" w:before="180" w:line="440" w:lineRule="exact"/>
        <w:ind w:leftChars="0"/>
        <w:jc w:val="both"/>
        <w:rPr>
          <w:rFonts w:ascii="微軟正黑體" w:eastAsia="微軟正黑體" w:hAnsi="微軟正黑體"/>
          <w:sz w:val="28"/>
          <w:szCs w:val="28"/>
        </w:rPr>
      </w:pPr>
      <w:r w:rsidRPr="00E32D2B">
        <w:rPr>
          <w:rFonts w:ascii="微軟正黑體" w:eastAsia="微軟正黑體" w:hAnsi="微軟正黑體" w:hint="eastAsia"/>
          <w:sz w:val="28"/>
          <w:szCs w:val="28"/>
        </w:rPr>
        <w:t>有關如興公司法人股東對於董事代表改派爭議，國發基金希望雙方皆能基於維持公司營運穩定及維護股東權益原則下，積極溝通與協商，讓本次爭議早日獲得解決，並遵循相關法令規定及公司治理原則，妥善處理公司營運管理</w:t>
      </w:r>
      <w:r w:rsidR="004823B4" w:rsidRPr="00E32D2B">
        <w:rPr>
          <w:rFonts w:ascii="微軟正黑體" w:eastAsia="微軟正黑體" w:hAnsi="微軟正黑體" w:hint="eastAsia"/>
          <w:sz w:val="28"/>
          <w:szCs w:val="28"/>
        </w:rPr>
        <w:t>。</w:t>
      </w:r>
    </w:p>
    <w:p w14:paraId="02045F24" w14:textId="2F42BF40" w:rsidR="005825D6" w:rsidRPr="00E32D2B" w:rsidRDefault="005825D6" w:rsidP="00FE2752">
      <w:pPr>
        <w:spacing w:beforeLines="50" w:before="180" w:line="440" w:lineRule="exact"/>
        <w:jc w:val="both"/>
        <w:rPr>
          <w:rFonts w:ascii="微軟正黑體" w:eastAsia="微軟正黑體" w:hAnsi="微軟正黑體"/>
          <w:sz w:val="28"/>
          <w:szCs w:val="28"/>
        </w:rPr>
      </w:pPr>
    </w:p>
    <w:p w14:paraId="0E7E4CE4" w14:textId="619736E6" w:rsidR="00E32D2B" w:rsidRPr="00E32D2B" w:rsidRDefault="00E32D2B" w:rsidP="00E32D2B">
      <w:pPr>
        <w:spacing w:beforeLines="50" w:before="180" w:line="440" w:lineRule="exact"/>
        <w:jc w:val="both"/>
        <w:rPr>
          <w:rFonts w:ascii="微軟正黑體" w:eastAsia="微軟正黑體" w:hAnsi="微軟正黑體"/>
          <w:sz w:val="28"/>
          <w:szCs w:val="28"/>
        </w:rPr>
      </w:pPr>
      <w:r w:rsidRPr="00E32D2B">
        <w:rPr>
          <w:rFonts w:ascii="微軟正黑體" w:eastAsia="微軟正黑體" w:hAnsi="微軟正黑體" w:hint="eastAsia"/>
          <w:sz w:val="28"/>
          <w:szCs w:val="28"/>
        </w:rPr>
        <w:t>聯絡人：</w:t>
      </w:r>
      <w:r>
        <w:rPr>
          <w:rFonts w:ascii="微軟正黑體" w:eastAsia="微軟正黑體" w:hAnsi="微軟正黑體" w:hint="eastAsia"/>
          <w:sz w:val="28"/>
          <w:szCs w:val="28"/>
        </w:rPr>
        <w:t>蘇執行秘書來守</w:t>
      </w:r>
    </w:p>
    <w:p w14:paraId="1021F806" w14:textId="2789DA4E" w:rsidR="00B94662" w:rsidRPr="00E32D2B" w:rsidRDefault="00E32D2B" w:rsidP="00E32D2B">
      <w:pPr>
        <w:spacing w:beforeLines="50" w:before="180" w:line="440" w:lineRule="exact"/>
        <w:jc w:val="both"/>
        <w:rPr>
          <w:rFonts w:ascii="微軟正黑體" w:eastAsia="微軟正黑體" w:hAnsi="微軟正黑體"/>
          <w:sz w:val="28"/>
          <w:szCs w:val="28"/>
        </w:rPr>
      </w:pPr>
      <w:r w:rsidRPr="00E32D2B">
        <w:rPr>
          <w:rFonts w:ascii="微軟正黑體" w:eastAsia="微軟正黑體" w:hAnsi="微軟正黑體" w:hint="eastAsia"/>
          <w:sz w:val="28"/>
          <w:szCs w:val="28"/>
        </w:rPr>
        <w:t>辦公室電話：</w:t>
      </w:r>
      <w:r>
        <w:rPr>
          <w:rFonts w:ascii="微軟正黑體" w:eastAsia="微軟正黑體" w:hAnsi="微軟正黑體" w:hint="eastAsia"/>
          <w:sz w:val="28"/>
          <w:szCs w:val="28"/>
        </w:rPr>
        <w:t>02-23168203</w:t>
      </w:r>
    </w:p>
    <w:sectPr w:rsidR="00B94662" w:rsidRPr="00E32D2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F0B3" w14:textId="77777777" w:rsidR="009F1693" w:rsidRDefault="009F1693" w:rsidP="005825D6">
      <w:r>
        <w:separator/>
      </w:r>
    </w:p>
  </w:endnote>
  <w:endnote w:type="continuationSeparator" w:id="0">
    <w:p w14:paraId="4DCADDFF" w14:textId="77777777" w:rsidR="009F1693" w:rsidRDefault="009F1693" w:rsidP="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36575"/>
      <w:docPartObj>
        <w:docPartGallery w:val="Page Numbers (Bottom of Page)"/>
        <w:docPartUnique/>
      </w:docPartObj>
    </w:sdtPr>
    <w:sdtEndPr>
      <w:rPr>
        <w:sz w:val="24"/>
        <w:szCs w:val="24"/>
      </w:rPr>
    </w:sdtEndPr>
    <w:sdtContent>
      <w:p w14:paraId="7905C7C8" w14:textId="1C7DD94E" w:rsidR="0083446A" w:rsidRPr="0083446A" w:rsidRDefault="0083446A" w:rsidP="0083446A">
        <w:pPr>
          <w:pStyle w:val="aa"/>
          <w:jc w:val="center"/>
          <w:rPr>
            <w:rFonts w:hint="eastAsia"/>
            <w:sz w:val="24"/>
            <w:szCs w:val="24"/>
          </w:rPr>
        </w:pPr>
        <w:r w:rsidRPr="0083446A">
          <w:rPr>
            <w:sz w:val="24"/>
            <w:szCs w:val="24"/>
          </w:rPr>
          <w:fldChar w:fldCharType="begin"/>
        </w:r>
        <w:r w:rsidRPr="0083446A">
          <w:rPr>
            <w:sz w:val="24"/>
            <w:szCs w:val="24"/>
          </w:rPr>
          <w:instrText>PAGE   \* MERGEFORMAT</w:instrText>
        </w:r>
        <w:r w:rsidRPr="0083446A">
          <w:rPr>
            <w:sz w:val="24"/>
            <w:szCs w:val="24"/>
          </w:rPr>
          <w:fldChar w:fldCharType="separate"/>
        </w:r>
        <w:r w:rsidRPr="0083446A">
          <w:rPr>
            <w:sz w:val="24"/>
            <w:szCs w:val="24"/>
            <w:lang w:val="zh-TW"/>
          </w:rPr>
          <w:t>2</w:t>
        </w:r>
        <w:r w:rsidRPr="0083446A">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C470" w14:textId="77777777" w:rsidR="009F1693" w:rsidRDefault="009F1693" w:rsidP="005825D6">
      <w:r>
        <w:separator/>
      </w:r>
    </w:p>
  </w:footnote>
  <w:footnote w:type="continuationSeparator" w:id="0">
    <w:p w14:paraId="03C4187C" w14:textId="77777777" w:rsidR="009F1693" w:rsidRDefault="009F1693" w:rsidP="00582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4BEE"/>
    <w:multiLevelType w:val="hybridMultilevel"/>
    <w:tmpl w:val="589A65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366BDA"/>
    <w:multiLevelType w:val="hybridMultilevel"/>
    <w:tmpl w:val="BD8419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1E1366"/>
    <w:multiLevelType w:val="hybridMultilevel"/>
    <w:tmpl w:val="0562FBAC"/>
    <w:lvl w:ilvl="0" w:tplc="E95AAE0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B7556B"/>
    <w:multiLevelType w:val="hybridMultilevel"/>
    <w:tmpl w:val="5F92F4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B1"/>
    <w:rsid w:val="000228CE"/>
    <w:rsid w:val="000456D1"/>
    <w:rsid w:val="000A4C5B"/>
    <w:rsid w:val="000A5EBD"/>
    <w:rsid w:val="000D1E36"/>
    <w:rsid w:val="00124031"/>
    <w:rsid w:val="001707F6"/>
    <w:rsid w:val="00180D93"/>
    <w:rsid w:val="0018469C"/>
    <w:rsid w:val="00203CCE"/>
    <w:rsid w:val="00290BEA"/>
    <w:rsid w:val="002C0488"/>
    <w:rsid w:val="002D65D6"/>
    <w:rsid w:val="003821CD"/>
    <w:rsid w:val="003A51C8"/>
    <w:rsid w:val="003B3413"/>
    <w:rsid w:val="003F6944"/>
    <w:rsid w:val="004823B4"/>
    <w:rsid w:val="00491F22"/>
    <w:rsid w:val="004F7D19"/>
    <w:rsid w:val="00523C51"/>
    <w:rsid w:val="005611C9"/>
    <w:rsid w:val="00572627"/>
    <w:rsid w:val="005825D6"/>
    <w:rsid w:val="0060054A"/>
    <w:rsid w:val="00610057"/>
    <w:rsid w:val="00641E17"/>
    <w:rsid w:val="006902AE"/>
    <w:rsid w:val="006C17CB"/>
    <w:rsid w:val="006C2887"/>
    <w:rsid w:val="006F4F37"/>
    <w:rsid w:val="007F2030"/>
    <w:rsid w:val="007F5394"/>
    <w:rsid w:val="0081274B"/>
    <w:rsid w:val="0083446A"/>
    <w:rsid w:val="00984033"/>
    <w:rsid w:val="009A07C7"/>
    <w:rsid w:val="009A1ECB"/>
    <w:rsid w:val="009F02FD"/>
    <w:rsid w:val="009F1693"/>
    <w:rsid w:val="00A06628"/>
    <w:rsid w:val="00A429C6"/>
    <w:rsid w:val="00A70200"/>
    <w:rsid w:val="00A75AC9"/>
    <w:rsid w:val="00AB22E4"/>
    <w:rsid w:val="00AC32CE"/>
    <w:rsid w:val="00AD524C"/>
    <w:rsid w:val="00B37E40"/>
    <w:rsid w:val="00B64E51"/>
    <w:rsid w:val="00B66FED"/>
    <w:rsid w:val="00B94662"/>
    <w:rsid w:val="00BF55D8"/>
    <w:rsid w:val="00C80299"/>
    <w:rsid w:val="00D41040"/>
    <w:rsid w:val="00D809E8"/>
    <w:rsid w:val="00E06619"/>
    <w:rsid w:val="00E32D2B"/>
    <w:rsid w:val="00E62C89"/>
    <w:rsid w:val="00E749B1"/>
    <w:rsid w:val="00EA2A71"/>
    <w:rsid w:val="00EE6EDF"/>
    <w:rsid w:val="00F46350"/>
    <w:rsid w:val="00FB0C0C"/>
    <w:rsid w:val="00FB2C68"/>
    <w:rsid w:val="00FE2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A578"/>
  <w15:chartTrackingRefBased/>
  <w15:docId w15:val="{36A4178D-FA19-4A24-8A08-90B09FC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11C9"/>
    <w:rPr>
      <w:sz w:val="18"/>
      <w:szCs w:val="18"/>
    </w:rPr>
  </w:style>
  <w:style w:type="paragraph" w:styleId="a4">
    <w:name w:val="annotation text"/>
    <w:basedOn w:val="a"/>
    <w:link w:val="a5"/>
    <w:uiPriority w:val="99"/>
    <w:semiHidden/>
    <w:unhideWhenUsed/>
    <w:rsid w:val="005611C9"/>
  </w:style>
  <w:style w:type="character" w:customStyle="1" w:styleId="a5">
    <w:name w:val="註解文字 字元"/>
    <w:basedOn w:val="a0"/>
    <w:link w:val="a4"/>
    <w:uiPriority w:val="99"/>
    <w:semiHidden/>
    <w:rsid w:val="005611C9"/>
  </w:style>
  <w:style w:type="paragraph" w:styleId="a6">
    <w:name w:val="annotation subject"/>
    <w:basedOn w:val="a4"/>
    <w:next w:val="a4"/>
    <w:link w:val="a7"/>
    <w:uiPriority w:val="99"/>
    <w:semiHidden/>
    <w:unhideWhenUsed/>
    <w:rsid w:val="005611C9"/>
    <w:rPr>
      <w:b/>
      <w:bCs/>
    </w:rPr>
  </w:style>
  <w:style w:type="character" w:customStyle="1" w:styleId="a7">
    <w:name w:val="註解主旨 字元"/>
    <w:basedOn w:val="a5"/>
    <w:link w:val="a6"/>
    <w:uiPriority w:val="99"/>
    <w:semiHidden/>
    <w:rsid w:val="005611C9"/>
    <w:rPr>
      <w:b/>
      <w:bCs/>
    </w:rPr>
  </w:style>
  <w:style w:type="paragraph" w:styleId="a8">
    <w:name w:val="header"/>
    <w:basedOn w:val="a"/>
    <w:link w:val="a9"/>
    <w:uiPriority w:val="99"/>
    <w:unhideWhenUsed/>
    <w:rsid w:val="005825D6"/>
    <w:pPr>
      <w:tabs>
        <w:tab w:val="center" w:pos="4153"/>
        <w:tab w:val="right" w:pos="8306"/>
      </w:tabs>
      <w:snapToGrid w:val="0"/>
    </w:pPr>
    <w:rPr>
      <w:sz w:val="20"/>
      <w:szCs w:val="20"/>
    </w:rPr>
  </w:style>
  <w:style w:type="character" w:customStyle="1" w:styleId="a9">
    <w:name w:val="頁首 字元"/>
    <w:basedOn w:val="a0"/>
    <w:link w:val="a8"/>
    <w:uiPriority w:val="99"/>
    <w:rsid w:val="005825D6"/>
    <w:rPr>
      <w:sz w:val="20"/>
      <w:szCs w:val="20"/>
    </w:rPr>
  </w:style>
  <w:style w:type="paragraph" w:styleId="aa">
    <w:name w:val="footer"/>
    <w:basedOn w:val="a"/>
    <w:link w:val="ab"/>
    <w:uiPriority w:val="99"/>
    <w:unhideWhenUsed/>
    <w:rsid w:val="005825D6"/>
    <w:pPr>
      <w:tabs>
        <w:tab w:val="center" w:pos="4153"/>
        <w:tab w:val="right" w:pos="8306"/>
      </w:tabs>
      <w:snapToGrid w:val="0"/>
    </w:pPr>
    <w:rPr>
      <w:sz w:val="20"/>
      <w:szCs w:val="20"/>
    </w:rPr>
  </w:style>
  <w:style w:type="character" w:customStyle="1" w:styleId="ab">
    <w:name w:val="頁尾 字元"/>
    <w:basedOn w:val="a0"/>
    <w:link w:val="aa"/>
    <w:uiPriority w:val="99"/>
    <w:rsid w:val="005825D6"/>
    <w:rPr>
      <w:sz w:val="20"/>
      <w:szCs w:val="20"/>
    </w:rPr>
  </w:style>
  <w:style w:type="paragraph" w:styleId="ac">
    <w:name w:val="List Paragraph"/>
    <w:basedOn w:val="a"/>
    <w:uiPriority w:val="34"/>
    <w:qFormat/>
    <w:rsid w:val="009840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李坤忠 Peter Lee</dc:creator>
  <cp:keywords/>
  <dc:description/>
  <cp:lastModifiedBy>特級系統管理員</cp:lastModifiedBy>
  <cp:revision>4</cp:revision>
  <cp:lastPrinted>2022-07-26T05:21:00Z</cp:lastPrinted>
  <dcterms:created xsi:type="dcterms:W3CDTF">2022-07-26T05:38:00Z</dcterms:created>
  <dcterms:modified xsi:type="dcterms:W3CDTF">2022-07-26T05:42:00Z</dcterms:modified>
</cp:coreProperties>
</file>