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3266" w14:textId="038E2532" w:rsidR="004547B8" w:rsidRPr="00717703" w:rsidRDefault="00D3711E" w:rsidP="0068480D">
      <w:pPr>
        <w:rPr>
          <w:rFonts w:ascii="Times New Roman" w:hAnsi="Times New Roman" w:cs="Times New Roman"/>
          <w:b/>
          <w:sz w:val="32"/>
          <w:szCs w:val="32"/>
        </w:rPr>
      </w:pPr>
      <w:r w:rsidRPr="0071770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F054249" wp14:editId="5C3E3FD8">
            <wp:extent cx="1574577" cy="314325"/>
            <wp:effectExtent l="0" t="0" r="698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74" cy="3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80D" w:rsidRPr="007177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5E25D00" w14:textId="77777777" w:rsidR="0068480D" w:rsidRPr="0053532D" w:rsidRDefault="0068480D" w:rsidP="004547B8">
      <w:pPr>
        <w:spacing w:line="28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14:paraId="0C6DFCEA" w14:textId="11E2E6E1" w:rsidR="0053532D" w:rsidRPr="00114BF6" w:rsidRDefault="0053532D" w:rsidP="0053532D">
      <w:pPr>
        <w:pStyle w:val="ab"/>
        <w:tabs>
          <w:tab w:val="left" w:pos="709"/>
        </w:tabs>
        <w:spacing w:afterLines="100" w:after="360"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r w:rsidRPr="00114BF6">
        <w:rPr>
          <w:rFonts w:ascii="Times New Roman" w:eastAsia="標楷體" w:hAnsi="Times New Roman" w:cs="Times New Roman"/>
          <w:b/>
          <w:bCs/>
          <w:sz w:val="36"/>
          <w:szCs w:val="36"/>
        </w:rPr>
        <w:t>國發會主委龔明鑫會見</w:t>
      </w:r>
      <w:r w:rsidR="005A0456" w:rsidRPr="00114BF6">
        <w:rPr>
          <w:rFonts w:ascii="Times New Roman" w:eastAsia="標楷體" w:hAnsi="Times New Roman" w:cs="Times New Roman"/>
          <w:b/>
          <w:bCs/>
          <w:sz w:val="36"/>
          <w:szCs w:val="36"/>
        </w:rPr>
        <w:t>立陶宛經濟暨創新部政務次長聶琉嫻娜等代表團一行</w:t>
      </w:r>
      <w:r w:rsidRPr="00114BF6">
        <w:rPr>
          <w:rFonts w:ascii="Times New Roman" w:eastAsia="標楷體" w:hAnsi="Times New Roman" w:cs="Times New Roman"/>
          <w:b/>
          <w:bCs/>
          <w:sz w:val="36"/>
          <w:szCs w:val="36"/>
        </w:rPr>
        <w:t>，</w:t>
      </w:r>
      <w:r w:rsidR="00114BF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共商</w:t>
      </w:r>
      <w:r w:rsidR="005A0456" w:rsidRPr="00114BF6">
        <w:rPr>
          <w:rFonts w:ascii="Times New Roman" w:eastAsia="標楷體" w:hAnsi="Times New Roman" w:cs="Times New Roman"/>
          <w:b/>
          <w:bCs/>
          <w:sz w:val="36"/>
          <w:szCs w:val="36"/>
        </w:rPr>
        <w:t>深化</w:t>
      </w:r>
      <w:r w:rsidR="00AC7803" w:rsidRPr="00114BF6">
        <w:rPr>
          <w:rFonts w:ascii="Times New Roman" w:eastAsia="標楷體" w:hAnsi="Times New Roman" w:cs="Times New Roman"/>
          <w:b/>
          <w:bCs/>
          <w:sz w:val="36"/>
          <w:szCs w:val="36"/>
        </w:rPr>
        <w:t>台</w:t>
      </w:r>
      <w:r w:rsidR="005A0456" w:rsidRPr="00114BF6">
        <w:rPr>
          <w:rFonts w:ascii="Times New Roman" w:eastAsia="標楷體" w:hAnsi="Times New Roman" w:cs="Times New Roman"/>
          <w:b/>
          <w:bCs/>
          <w:sz w:val="36"/>
          <w:szCs w:val="36"/>
        </w:rPr>
        <w:t>立雙邊</w:t>
      </w:r>
      <w:r w:rsidRPr="00114BF6">
        <w:rPr>
          <w:rFonts w:ascii="Times New Roman" w:eastAsia="標楷體" w:hAnsi="Times New Roman" w:cs="Times New Roman"/>
          <w:b/>
          <w:bCs/>
          <w:sz w:val="36"/>
          <w:szCs w:val="36"/>
        </w:rPr>
        <w:t>合作</w:t>
      </w:r>
      <w:r w:rsidR="00114BF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關係</w:t>
      </w:r>
      <w:bookmarkEnd w:id="0"/>
    </w:p>
    <w:p w14:paraId="6C45EC3D" w14:textId="365C1D1A" w:rsidR="001A21D5" w:rsidRPr="00114BF6" w:rsidRDefault="00EC36B1" w:rsidP="00EC36B1">
      <w:pPr>
        <w:spacing w:beforeLines="30" w:before="108" w:line="480" w:lineRule="exact"/>
        <w:ind w:right="8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發布日期：</w:t>
      </w:r>
      <w:r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</w:t>
      </w:r>
      <w:r w:rsidR="00643C2D"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</w:t>
      </w:r>
      <w:r w:rsidR="005A0456"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</w:t>
      </w:r>
      <w:r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="005A0456"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6</w:t>
      </w:r>
      <w:r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 w:rsidR="0053532D"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</w:t>
      </w:r>
      <w:r w:rsidR="005A0456"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5</w:t>
      </w:r>
      <w:r w:rsidR="001A21D5"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14:paraId="5184DF8A" w14:textId="2D245F89" w:rsidR="00D5656A" w:rsidRPr="00114BF6" w:rsidRDefault="00D5656A" w:rsidP="00AF636A">
      <w:pPr>
        <w:wordWrap w:val="0"/>
        <w:spacing w:afterLines="100" w:after="360" w:line="480" w:lineRule="exact"/>
        <w:ind w:right="8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發布單位：</w:t>
      </w:r>
      <w:r w:rsidR="0053532D" w:rsidRPr="00114BF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國家發展委員會</w:t>
      </w:r>
    </w:p>
    <w:p w14:paraId="4C24CA63" w14:textId="74C097B0" w:rsidR="005A0456" w:rsidRPr="00114BF6" w:rsidRDefault="003904DF" w:rsidP="003904DF">
      <w:pPr>
        <w:autoSpaceDE w:val="0"/>
        <w:autoSpaceDN w:val="0"/>
        <w:adjustRightInd w:val="0"/>
        <w:snapToGrid w:val="0"/>
        <w:spacing w:afterLines="70" w:after="252" w:line="400" w:lineRule="exact"/>
        <w:ind w:firstLineChars="221" w:firstLine="663"/>
        <w:jc w:val="both"/>
        <w:textAlignment w:val="baseline"/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</w:pPr>
      <w:r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0"/>
          <w:szCs w:val="30"/>
          <w:lang w:val="x-none"/>
        </w:rPr>
        <w:t>國發會主委龔明鑫於</w:t>
      </w:r>
      <w:r w:rsidR="009347D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0"/>
          <w:szCs w:val="30"/>
          <w:lang w:val="x-none"/>
        </w:rPr>
        <w:t>本</w:t>
      </w:r>
      <w:r w:rsidR="009347D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0"/>
          <w:szCs w:val="30"/>
          <w:lang w:val="x-none"/>
        </w:rPr>
        <w:t>(111)</w:t>
      </w:r>
      <w:r w:rsidR="009347D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0"/>
          <w:szCs w:val="30"/>
          <w:lang w:val="x-none"/>
        </w:rPr>
        <w:t>年</w:t>
      </w:r>
      <w:r w:rsidR="005A0456"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0"/>
          <w:szCs w:val="30"/>
          <w:lang w:val="x-none"/>
        </w:rPr>
        <w:t>6</w:t>
      </w:r>
      <w:r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0"/>
          <w:szCs w:val="30"/>
          <w:lang w:val="x-none"/>
        </w:rPr>
        <w:t>月</w:t>
      </w:r>
      <w:r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0"/>
          <w:szCs w:val="30"/>
          <w:lang w:val="x-none"/>
        </w:rPr>
        <w:t>1</w:t>
      </w:r>
      <w:r w:rsidR="005A0456"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0"/>
          <w:szCs w:val="30"/>
          <w:lang w:val="x-none"/>
        </w:rPr>
        <w:t>5</w:t>
      </w:r>
      <w:r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0"/>
          <w:szCs w:val="30"/>
          <w:lang w:val="x-none"/>
        </w:rPr>
        <w:t>日</w:t>
      </w:r>
      <w:r w:rsidR="00255CE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0"/>
          <w:szCs w:val="30"/>
          <w:lang w:val="x-none"/>
        </w:rPr>
        <w:t>接見</w:t>
      </w:r>
      <w:r w:rsidR="005A0456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立陶宛經濟暨創新部政務次長聶琉嫻娜</w:t>
      </w:r>
      <w:r w:rsidR="005A0456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(Jovita Neliupšienė)</w:t>
      </w:r>
      <w:r w:rsidR="005A0456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等一行</w:t>
      </w:r>
      <w:r w:rsidR="005A0456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6</w:t>
      </w:r>
      <w:r w:rsidR="005A0456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人訪</w:t>
      </w:r>
      <w:r w:rsidR="009347D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問團</w:t>
      </w:r>
      <w:r w:rsidR="005A0456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，</w:t>
      </w:r>
      <w:r w:rsidR="00A0716F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主委除歡迎</w:t>
      </w:r>
      <w:r w:rsidR="00A86054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「</w:t>
      </w:r>
      <w:r w:rsidR="00A0716F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老朋友</w:t>
      </w:r>
      <w:r w:rsidR="00A86054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」</w:t>
      </w:r>
      <w:r w:rsidR="00A0716F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來訪以</w:t>
      </w:r>
      <w:r w:rsidR="005A0456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延續去</w:t>
      </w:r>
      <w:r w:rsidR="005A0456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(110)</w:t>
      </w:r>
      <w:r w:rsidR="005A0456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年</w:t>
      </w:r>
      <w:r w:rsidR="000620D5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10</w:t>
      </w:r>
      <w:r w:rsidR="000620D5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月國發會率團訪問立國之友好情誼，雙方</w:t>
      </w:r>
      <w:r w:rsidR="00A0716F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並</w:t>
      </w:r>
      <w:r w:rsidR="000620D5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就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強化</w:t>
      </w:r>
      <w:r w:rsidR="00A0716F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落實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台立</w:t>
      </w:r>
      <w:r w:rsidR="00A0716F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產業及技術合作等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面向</w:t>
      </w:r>
      <w:r w:rsidR="00A86054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充分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交換</w:t>
      </w:r>
      <w:r w:rsidR="00A86054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意見</w:t>
      </w:r>
      <w:r w:rsidR="000620D5" w:rsidRPr="00114BF6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。</w:t>
      </w:r>
    </w:p>
    <w:p w14:paraId="4787CBB4" w14:textId="5B1FC8E8" w:rsidR="009347D2" w:rsidRDefault="003904DF" w:rsidP="003904DF">
      <w:pPr>
        <w:autoSpaceDE w:val="0"/>
        <w:autoSpaceDN w:val="0"/>
        <w:adjustRightInd w:val="0"/>
        <w:snapToGrid w:val="0"/>
        <w:spacing w:afterLines="70" w:after="252" w:line="400" w:lineRule="exact"/>
        <w:ind w:firstLineChars="221" w:firstLine="663"/>
        <w:jc w:val="both"/>
        <w:textAlignment w:val="baseline"/>
        <w:rPr>
          <w:rFonts w:ascii="Times New Roman" w:eastAsia="標楷體" w:hAnsi="Times New Roman" w:cs="Times New Roman"/>
          <w:color w:val="000000"/>
          <w:sz w:val="29"/>
          <w:szCs w:val="29"/>
          <w:shd w:val="clear" w:color="auto" w:fill="FFFFFF"/>
        </w:rPr>
      </w:pPr>
      <w:r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龔主委表示，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近年台灣與歐洲關係全面深化，</w:t>
      </w:r>
      <w:r w:rsidR="00A0716F" w:rsidRPr="009347D2">
        <w:rPr>
          <w:rFonts w:ascii="Times New Roman" w:eastAsia="標楷體" w:hAnsi="Times New Roman" w:cs="Times New Roman"/>
          <w:color w:val="000000"/>
          <w:sz w:val="29"/>
          <w:szCs w:val="29"/>
          <w:shd w:val="clear" w:color="auto" w:fill="FFFFFF"/>
        </w:rPr>
        <w:t>台立在半導體、雷射、金融科技等各項產業領域具有龐大合作潛力，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去年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10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月我國籌組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66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人經貿考察團訪問斯洛伐克、捷克、立陶宛等國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時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，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已</w:t>
      </w:r>
      <w:r w:rsidR="00A0716F" w:rsidRPr="009347D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與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立</w:t>
      </w:r>
      <w:r w:rsidR="00A0716F" w:rsidRPr="009347D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國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簽署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6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項合作備忘錄，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為雙方關係</w:t>
      </w:r>
      <w:r w:rsidR="00A0716F" w:rsidRPr="009347D2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奠定友好堅實的合作基礎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。</w:t>
      </w:r>
      <w:r w:rsidR="00A0716F" w:rsidRPr="009347D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我國重視對立陶宛的承諾，返國後</w:t>
      </w:r>
      <w:r w:rsidR="00A86054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隨即</w:t>
      </w:r>
      <w:r w:rsidR="00A0716F" w:rsidRPr="009347D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成立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相關</w:t>
      </w:r>
      <w:r w:rsidR="00A0716F" w:rsidRPr="009347D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專案小組，並建立各項貿易、技術合作的推動與管考機制，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此外，為</w:t>
      </w:r>
      <w:r w:rsidR="00724B9D" w:rsidRPr="00FE3B8B">
        <w:rPr>
          <w:rFonts w:ascii="Times New Roman" w:eastAsia="標楷體" w:hAnsi="Times New Roman" w:cs="Times New Roman" w:hint="eastAsia"/>
          <w:color w:val="000000"/>
          <w:sz w:val="29"/>
          <w:szCs w:val="29"/>
          <w:shd w:val="clear" w:color="auto" w:fill="FFFFFF"/>
        </w:rPr>
        <w:t>促進台灣、立陶宛廠商進行產業合作及投資</w:t>
      </w:r>
      <w:r w:rsidR="00724B9D">
        <w:rPr>
          <w:rFonts w:ascii="Times New Roman" w:eastAsia="標楷體" w:hAnsi="Times New Roman" w:cs="Times New Roman" w:hint="eastAsia"/>
          <w:color w:val="000000"/>
          <w:sz w:val="29"/>
          <w:szCs w:val="29"/>
          <w:shd w:val="clear" w:color="auto" w:fill="FFFFFF"/>
        </w:rPr>
        <w:t>，</w:t>
      </w:r>
      <w:r w:rsidR="00A86054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其業</w:t>
      </w:r>
      <w:r w:rsidR="00724B9D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在</w:t>
      </w:r>
      <w:r w:rsidR="009347D2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本年</w:t>
      </w:r>
      <w:r w:rsidR="009347D2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1</w:t>
      </w:r>
      <w:r w:rsidR="009347D2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月與立國</w:t>
      </w:r>
      <w:r w:rsidR="009347D2" w:rsidRPr="00AD382E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經濟暨創新部</w:t>
      </w:r>
      <w:r w:rsidR="009347D2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雅莫奈特</w:t>
      </w:r>
      <w:r w:rsidR="009347D2" w:rsidRPr="00AD382E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(Aušrinė Armonaitė)</w:t>
      </w:r>
      <w:r w:rsidR="00724B9D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部長</w:t>
      </w:r>
      <w:r w:rsidR="009347D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雙邊視訊會議時</w:t>
      </w:r>
      <w:r w:rsidR="00724B9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，</w:t>
      </w:r>
      <w:r w:rsidR="009347D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宣布</w:t>
      </w:r>
      <w:r w:rsidR="009347D2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成立</w:t>
      </w:r>
      <w:r w:rsidR="009347D2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2</w:t>
      </w:r>
      <w:r w:rsidR="009347D2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億美元中東歐投資基金、</w:t>
      </w:r>
      <w:r w:rsidR="009347D2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10</w:t>
      </w:r>
      <w:r w:rsidR="009347D2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億美元融資基金。</w:t>
      </w:r>
    </w:p>
    <w:p w14:paraId="21A8DA69" w14:textId="73F89B2F" w:rsidR="00452AA3" w:rsidRPr="00315A42" w:rsidRDefault="00452AA3" w:rsidP="00452AA3">
      <w:pPr>
        <w:autoSpaceDE w:val="0"/>
        <w:autoSpaceDN w:val="0"/>
        <w:adjustRightInd w:val="0"/>
        <w:snapToGrid w:val="0"/>
        <w:spacing w:afterLines="70" w:after="252" w:line="400" w:lineRule="exact"/>
        <w:ind w:firstLineChars="221" w:firstLine="663"/>
        <w:jc w:val="both"/>
        <w:textAlignment w:val="baseline"/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</w:pPr>
      <w:r w:rsidRPr="00452AA3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聶琉嫻娜</w:t>
      </w:r>
      <w:r w:rsidRPr="00452AA3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次長</w:t>
      </w:r>
      <w:r w:rsidR="0085059C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表示</w:t>
      </w:r>
      <w:r w:rsidRPr="00452AA3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台立雙方交流密切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且頻繁</w:t>
      </w:r>
      <w:r w:rsidRPr="00452AA3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，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並指出</w:t>
      </w:r>
      <w:r w:rsidRPr="00452AA3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台灣為立陶宛企業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企盼</w:t>
      </w:r>
      <w:r w:rsidRPr="00452AA3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合作</w:t>
      </w:r>
      <w:r w:rsidR="00B02A66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之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第</w:t>
      </w:r>
      <w:r w:rsidR="00B02A66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三大</w:t>
      </w:r>
      <w:r w:rsidR="00A86054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對象</w:t>
      </w:r>
      <w:r w:rsidR="00B02A66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(</w:t>
      </w:r>
      <w:r w:rsidR="00B02A66" w:rsidRPr="00452AA3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僅次</w:t>
      </w:r>
      <w:r w:rsidR="0081650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於</w:t>
      </w:r>
      <w:r w:rsidR="00B02A66" w:rsidRPr="00452AA3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德國與美國</w:t>
      </w:r>
      <w:r w:rsidR="00B02A66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)</w:t>
      </w:r>
      <w:r w:rsidRPr="00452AA3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期待台立雙方從半導體、農產品、生技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甚至液態天然氣接收站管理等面向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均能深化合作</w:t>
      </w:r>
      <w:r w:rsidR="00A86054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，</w:t>
      </w:r>
      <w:r w:rsidR="00B12D70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以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共</w:t>
      </w:r>
      <w:r w:rsidR="000F7D56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同探索亞</w:t>
      </w:r>
      <w:r w:rsidR="00B12D70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、</w:t>
      </w:r>
      <w:r w:rsidR="000F7D56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歐市場，</w:t>
      </w:r>
      <w:r w:rsidR="00B12D70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共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創產業發展商機</w:t>
      </w:r>
      <w:r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。</w:t>
      </w:r>
    </w:p>
    <w:p w14:paraId="57036BF8" w14:textId="160F7C24" w:rsidR="00380B89" w:rsidRDefault="009347D2" w:rsidP="003904DF">
      <w:pPr>
        <w:autoSpaceDE w:val="0"/>
        <w:autoSpaceDN w:val="0"/>
        <w:adjustRightInd w:val="0"/>
        <w:snapToGrid w:val="0"/>
        <w:spacing w:afterLines="70" w:after="252" w:line="400" w:lineRule="exact"/>
        <w:ind w:firstLineChars="221" w:firstLine="663"/>
        <w:jc w:val="both"/>
        <w:textAlignment w:val="baseline"/>
        <w:rPr>
          <w:rFonts w:ascii="Times New Roman" w:eastAsia="標楷體" w:hAnsi="Times New Roman" w:cs="Times New Roman"/>
          <w:sz w:val="30"/>
          <w:szCs w:val="30"/>
          <w:shd w:val="clear" w:color="auto" w:fill="FFFFFF"/>
        </w:rPr>
      </w:pP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針對立國</w:t>
      </w:r>
      <w:r w:rsidR="00A86054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感謝我國重視並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盼強化與我半導體產業合作，</w:t>
      </w:r>
      <w:r w:rsidR="00724B9D" w:rsidRPr="009347D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龔主委表示，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我國</w:t>
      </w:r>
      <w:r w:rsidR="00A86054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樂願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與堅定友好國家</w:t>
      </w:r>
      <w:r w:rsidR="00A86054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分享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半導體</w:t>
      </w:r>
      <w:r w:rsidR="00A86054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產業發展經驗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，本年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3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月已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派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專家團訪</w:t>
      </w:r>
      <w:r w:rsidR="00724B9D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問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立</w:t>
      </w:r>
      <w:r w:rsidR="00724B9D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國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，協助</w:t>
      </w:r>
      <w:r w:rsidR="00724B9D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立方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評估半導體產業</w:t>
      </w:r>
      <w:r w:rsidR="00A86054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量能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，同時，我國將從人才培育層面</w:t>
      </w:r>
      <w:r w:rsidR="00724B9D"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著手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，協助立國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培育專業人</w:t>
      </w:r>
      <w:r w:rsidRPr="00AD382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才。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龔主委續向</w:t>
      </w:r>
      <w:r w:rsidR="00255CE5" w:rsidRPr="00452AA3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聶琉嫻娜</w:t>
      </w:r>
      <w:r w:rsidR="00255CE5" w:rsidRPr="00452AA3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次長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表示，</w:t>
      </w:r>
      <w:r w:rsidR="0085059C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台灣人喜愛立陶宛食品，過往上架之立陶宛巧克力、</w:t>
      </w:r>
      <w:r w:rsidR="0034640D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啤酒及</w:t>
      </w:r>
      <w:r w:rsidR="0085059C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蘭姆酒，均銷售一空</w:t>
      </w:r>
      <w:r w:rsidR="00A86054" w:rsidRPr="00A33A9B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，</w:t>
      </w:r>
      <w:r w:rsidR="00306CB6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其</w:t>
      </w:r>
      <w:r w:rsidR="0085059C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亦</w:t>
      </w:r>
      <w:r w:rsidR="002B1E49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曾親自與財政部蘇建榮部長拍攝推廣立陶宛蘭姆酒影片</w:t>
      </w:r>
      <w:r w:rsidR="0003082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，而國發會推廣的</w:t>
      </w:r>
      <w:r w:rsidR="00D56F5E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立陶</w:t>
      </w:r>
      <w:r w:rsidR="00030822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宛蘭姆酒食譜更</w:t>
      </w:r>
      <w:r w:rsidR="002B1E49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登上</w:t>
      </w:r>
      <w:r w:rsidR="002B1E49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BBC</w:t>
      </w:r>
      <w:r w:rsidR="002B1E49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新聞</w:t>
      </w:r>
      <w:r w:rsidR="00306CB6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；</w:t>
      </w:r>
      <w:r w:rsidR="0085059C" w:rsidRPr="00A33A9B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立陶</w:t>
      </w:r>
      <w:r w:rsidR="0085059C" w:rsidRPr="00A33A9B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lastRenderedPageBreak/>
        <w:t>宛風景優美</w:t>
      </w:r>
      <w:r w:rsidR="0085059C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、</w:t>
      </w:r>
      <w:r w:rsidR="0085059C" w:rsidRPr="00A33A9B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美食多元豐富，</w:t>
      </w:r>
      <w:r w:rsidR="0085059C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且</w:t>
      </w:r>
      <w:r w:rsidR="0085059C" w:rsidRPr="00A33A9B">
        <w:rPr>
          <w:rFonts w:ascii="Times New Roman" w:eastAsia="標楷體" w:hAnsi="Times New Roman" w:cs="Times New Roman"/>
          <w:color w:val="000000"/>
          <w:sz w:val="30"/>
          <w:szCs w:val="30"/>
          <w:shd w:val="clear" w:color="auto" w:fill="FFFFFF"/>
        </w:rPr>
        <w:t>與台灣共享相同自由、民主、人權價值</w:t>
      </w:r>
      <w:r w:rsidR="0085059C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，</w:t>
      </w:r>
      <w:r w:rsidR="00255CE5">
        <w:rPr>
          <w:rFonts w:ascii="Times New Roman" w:eastAsia="標楷體" w:hAnsi="Times New Roman" w:cs="Times New Roman" w:hint="eastAsia"/>
          <w:color w:val="000000"/>
          <w:sz w:val="30"/>
          <w:szCs w:val="30"/>
          <w:shd w:val="clear" w:color="auto" w:fill="FFFFFF"/>
        </w:rPr>
        <w:t>盼疫情盡早結束，</w:t>
      </w:r>
      <w:r w:rsidR="002B1E49" w:rsidRPr="00BA718D">
        <w:rPr>
          <w:rFonts w:ascii="Times New Roman" w:eastAsia="標楷體" w:hAnsi="Times New Roman" w:cs="Times New Roman" w:hint="eastAsia"/>
          <w:sz w:val="30"/>
          <w:szCs w:val="30"/>
          <w:shd w:val="clear" w:color="auto" w:fill="FFFFFF"/>
        </w:rPr>
        <w:t>讓</w:t>
      </w:r>
      <w:r w:rsidR="00255CE5" w:rsidRPr="00BA718D">
        <w:rPr>
          <w:rFonts w:ascii="Times New Roman" w:eastAsia="標楷體" w:hAnsi="Times New Roman" w:cs="Times New Roman" w:hint="eastAsia"/>
          <w:sz w:val="30"/>
          <w:szCs w:val="30"/>
          <w:shd w:val="clear" w:color="auto" w:fill="FFFFFF"/>
        </w:rPr>
        <w:t>台灣民眾</w:t>
      </w:r>
      <w:r w:rsidR="0085059C" w:rsidRPr="00BA718D">
        <w:rPr>
          <w:rFonts w:ascii="Times New Roman" w:eastAsia="標楷體" w:hAnsi="Times New Roman" w:cs="Times New Roman" w:hint="eastAsia"/>
          <w:sz w:val="30"/>
          <w:szCs w:val="30"/>
          <w:shd w:val="clear" w:color="auto" w:fill="FFFFFF"/>
        </w:rPr>
        <w:t>也</w:t>
      </w:r>
      <w:r w:rsidR="00255CE5" w:rsidRPr="00BA718D">
        <w:rPr>
          <w:rFonts w:ascii="Times New Roman" w:eastAsia="標楷體" w:hAnsi="Times New Roman" w:cs="Times New Roman" w:hint="eastAsia"/>
          <w:sz w:val="30"/>
          <w:szCs w:val="30"/>
          <w:shd w:val="clear" w:color="auto" w:fill="FFFFFF"/>
        </w:rPr>
        <w:t>能親</w:t>
      </w:r>
      <w:r w:rsidR="009770C5" w:rsidRPr="00BA718D">
        <w:rPr>
          <w:rFonts w:ascii="Times New Roman" w:eastAsia="標楷體" w:hAnsi="Times New Roman" w:cs="Times New Roman" w:hint="eastAsia"/>
          <w:sz w:val="30"/>
          <w:szCs w:val="30"/>
          <w:shd w:val="clear" w:color="auto" w:fill="FFFFFF"/>
        </w:rPr>
        <w:t>身體驗</w:t>
      </w:r>
      <w:r w:rsidR="00255CE5" w:rsidRPr="00BA718D">
        <w:rPr>
          <w:rFonts w:ascii="Times New Roman" w:eastAsia="標楷體" w:hAnsi="Times New Roman" w:cs="Times New Roman" w:hint="eastAsia"/>
          <w:sz w:val="30"/>
          <w:szCs w:val="30"/>
          <w:shd w:val="clear" w:color="auto" w:fill="FFFFFF"/>
        </w:rPr>
        <w:t>立陶宛</w:t>
      </w:r>
      <w:r w:rsidR="009770C5" w:rsidRPr="00BA718D">
        <w:rPr>
          <w:rFonts w:ascii="Times New Roman" w:eastAsia="標楷體" w:hAnsi="Times New Roman" w:cs="Times New Roman" w:hint="eastAsia"/>
          <w:sz w:val="30"/>
          <w:szCs w:val="30"/>
          <w:shd w:val="clear" w:color="auto" w:fill="FFFFFF"/>
        </w:rPr>
        <w:t>的美與好</w:t>
      </w:r>
      <w:r w:rsidR="00380B89" w:rsidRPr="00BA718D">
        <w:rPr>
          <w:rFonts w:ascii="Times New Roman" w:eastAsia="標楷體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3E5F041B" w14:textId="77777777" w:rsidR="00E33A21" w:rsidRPr="00BA718D" w:rsidRDefault="00E33A21" w:rsidP="003904DF">
      <w:pPr>
        <w:autoSpaceDE w:val="0"/>
        <w:autoSpaceDN w:val="0"/>
        <w:adjustRightInd w:val="0"/>
        <w:snapToGrid w:val="0"/>
        <w:spacing w:afterLines="70" w:after="252" w:line="400" w:lineRule="exact"/>
        <w:ind w:firstLineChars="221" w:firstLine="663"/>
        <w:jc w:val="both"/>
        <w:textAlignment w:val="baseline"/>
        <w:rPr>
          <w:rFonts w:ascii="Times New Roman" w:eastAsia="標楷體" w:hAnsi="Times New Roman" w:cs="Times New Roman"/>
          <w:sz w:val="30"/>
          <w:szCs w:val="30"/>
          <w:shd w:val="clear" w:color="auto" w:fill="FFFFFF"/>
        </w:rPr>
      </w:pPr>
    </w:p>
    <w:p w14:paraId="1725654A" w14:textId="77777777" w:rsidR="00E33A21" w:rsidRDefault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EC36B1"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綜合規劃處張惠娟處長</w:t>
      </w:r>
    </w:p>
    <w:p w14:paraId="4CC0964C" w14:textId="4D38CD36" w:rsidR="003828EC" w:rsidRDefault="0068480D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電話：</w:t>
      </w:r>
      <w:r w:rsidR="009D7F0E"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(02)2316</w:t>
      </w:r>
      <w:r w:rsidR="00643C2D"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-</w:t>
      </w:r>
      <w:r w:rsidRPr="00114BF6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5910</w:t>
      </w:r>
    </w:p>
    <w:sectPr w:rsidR="003828EC" w:rsidSect="007B705C">
      <w:footerReference w:type="default" r:id="rId9"/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8184A" w14:textId="77777777" w:rsidR="00272721" w:rsidRDefault="00272721" w:rsidP="00AD17CF">
      <w:r>
        <w:separator/>
      </w:r>
    </w:p>
  </w:endnote>
  <w:endnote w:type="continuationSeparator" w:id="0">
    <w:p w14:paraId="2C8BFCB6" w14:textId="77777777" w:rsidR="00272721" w:rsidRDefault="00272721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752375"/>
      <w:docPartObj>
        <w:docPartGallery w:val="Page Numbers (Bottom of Page)"/>
        <w:docPartUnique/>
      </w:docPartObj>
    </w:sdtPr>
    <w:sdtEndPr/>
    <w:sdtContent>
      <w:p w14:paraId="00523AFD" w14:textId="43556ACC" w:rsidR="00A141AA" w:rsidRDefault="00A141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5E" w:rsidRPr="00D56F5E">
          <w:rPr>
            <w:noProof/>
            <w:lang w:val="zh-TW"/>
          </w:rPr>
          <w:t>1</w:t>
        </w:r>
        <w:r>
          <w:fldChar w:fldCharType="end"/>
        </w:r>
      </w:p>
    </w:sdtContent>
  </w:sdt>
  <w:p w14:paraId="6DADBC45" w14:textId="77777777" w:rsidR="00A141AA" w:rsidRDefault="00A141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2D03" w14:textId="77777777" w:rsidR="00272721" w:rsidRDefault="00272721" w:rsidP="00AD17CF">
      <w:r>
        <w:separator/>
      </w:r>
    </w:p>
  </w:footnote>
  <w:footnote w:type="continuationSeparator" w:id="0">
    <w:p w14:paraId="61E04F21" w14:textId="77777777" w:rsidR="00272721" w:rsidRDefault="00272721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175AF"/>
    <w:rsid w:val="000176EA"/>
    <w:rsid w:val="00022FA4"/>
    <w:rsid w:val="00030822"/>
    <w:rsid w:val="0003447E"/>
    <w:rsid w:val="00057DC1"/>
    <w:rsid w:val="000620D5"/>
    <w:rsid w:val="00074532"/>
    <w:rsid w:val="00080021"/>
    <w:rsid w:val="00091542"/>
    <w:rsid w:val="000A1652"/>
    <w:rsid w:val="000A1765"/>
    <w:rsid w:val="000C68BB"/>
    <w:rsid w:val="000D498C"/>
    <w:rsid w:val="000F6CF0"/>
    <w:rsid w:val="000F7D56"/>
    <w:rsid w:val="00100844"/>
    <w:rsid w:val="00112DD0"/>
    <w:rsid w:val="00114BF6"/>
    <w:rsid w:val="00114CDC"/>
    <w:rsid w:val="00130CA2"/>
    <w:rsid w:val="00136F54"/>
    <w:rsid w:val="00152D31"/>
    <w:rsid w:val="001700F2"/>
    <w:rsid w:val="00193613"/>
    <w:rsid w:val="001A21D5"/>
    <w:rsid w:val="001A2B80"/>
    <w:rsid w:val="001A3E8D"/>
    <w:rsid w:val="001A3F05"/>
    <w:rsid w:val="001A5E65"/>
    <w:rsid w:val="001B4187"/>
    <w:rsid w:val="001D1284"/>
    <w:rsid w:val="00207DFF"/>
    <w:rsid w:val="00213303"/>
    <w:rsid w:val="00230407"/>
    <w:rsid w:val="00233E12"/>
    <w:rsid w:val="002433F6"/>
    <w:rsid w:val="00244DCB"/>
    <w:rsid w:val="00253A1B"/>
    <w:rsid w:val="00255CE5"/>
    <w:rsid w:val="00267FD7"/>
    <w:rsid w:val="00271282"/>
    <w:rsid w:val="00272721"/>
    <w:rsid w:val="002A10E2"/>
    <w:rsid w:val="002B1E49"/>
    <w:rsid w:val="002B2F41"/>
    <w:rsid w:val="002B5265"/>
    <w:rsid w:val="002C54A6"/>
    <w:rsid w:val="002D3FDF"/>
    <w:rsid w:val="002D7B1B"/>
    <w:rsid w:val="002F61D8"/>
    <w:rsid w:val="00306CB6"/>
    <w:rsid w:val="00315A42"/>
    <w:rsid w:val="0034640D"/>
    <w:rsid w:val="00353829"/>
    <w:rsid w:val="00370889"/>
    <w:rsid w:val="00380B89"/>
    <w:rsid w:val="003828EC"/>
    <w:rsid w:val="003904DF"/>
    <w:rsid w:val="003D4953"/>
    <w:rsid w:val="003E4417"/>
    <w:rsid w:val="003F3254"/>
    <w:rsid w:val="00405DCA"/>
    <w:rsid w:val="00416AD1"/>
    <w:rsid w:val="004320BC"/>
    <w:rsid w:val="00452AA3"/>
    <w:rsid w:val="004547B8"/>
    <w:rsid w:val="0046059B"/>
    <w:rsid w:val="00497FC1"/>
    <w:rsid w:val="004C3D52"/>
    <w:rsid w:val="004E2075"/>
    <w:rsid w:val="005041C1"/>
    <w:rsid w:val="0053268A"/>
    <w:rsid w:val="0053532D"/>
    <w:rsid w:val="00584F66"/>
    <w:rsid w:val="005877C0"/>
    <w:rsid w:val="00593480"/>
    <w:rsid w:val="005A0456"/>
    <w:rsid w:val="005C05C8"/>
    <w:rsid w:val="005C6813"/>
    <w:rsid w:val="005D68C6"/>
    <w:rsid w:val="0062117B"/>
    <w:rsid w:val="006278E1"/>
    <w:rsid w:val="00643C2D"/>
    <w:rsid w:val="00655680"/>
    <w:rsid w:val="00660713"/>
    <w:rsid w:val="00665836"/>
    <w:rsid w:val="00683B17"/>
    <w:rsid w:val="0068437D"/>
    <w:rsid w:val="0068480D"/>
    <w:rsid w:val="006B29BC"/>
    <w:rsid w:val="00717703"/>
    <w:rsid w:val="00721C9B"/>
    <w:rsid w:val="007230CF"/>
    <w:rsid w:val="00724B9D"/>
    <w:rsid w:val="00726292"/>
    <w:rsid w:val="00740FC1"/>
    <w:rsid w:val="007A211F"/>
    <w:rsid w:val="007B705C"/>
    <w:rsid w:val="007C6351"/>
    <w:rsid w:val="007D7B7C"/>
    <w:rsid w:val="007E0810"/>
    <w:rsid w:val="00810C04"/>
    <w:rsid w:val="0081650D"/>
    <w:rsid w:val="008246BC"/>
    <w:rsid w:val="00826C9D"/>
    <w:rsid w:val="0085059C"/>
    <w:rsid w:val="00865949"/>
    <w:rsid w:val="00883FB8"/>
    <w:rsid w:val="008C77B7"/>
    <w:rsid w:val="008E0A39"/>
    <w:rsid w:val="008F0EE5"/>
    <w:rsid w:val="00906F86"/>
    <w:rsid w:val="009347D2"/>
    <w:rsid w:val="0093512F"/>
    <w:rsid w:val="009430BD"/>
    <w:rsid w:val="00954A13"/>
    <w:rsid w:val="009725E1"/>
    <w:rsid w:val="009770C5"/>
    <w:rsid w:val="0098309E"/>
    <w:rsid w:val="009A0F77"/>
    <w:rsid w:val="009A1609"/>
    <w:rsid w:val="009B0A2E"/>
    <w:rsid w:val="009B528D"/>
    <w:rsid w:val="009C193C"/>
    <w:rsid w:val="009D456E"/>
    <w:rsid w:val="009D7F0E"/>
    <w:rsid w:val="009F6D12"/>
    <w:rsid w:val="009F7974"/>
    <w:rsid w:val="00A01683"/>
    <w:rsid w:val="00A0340C"/>
    <w:rsid w:val="00A0716F"/>
    <w:rsid w:val="00A111D7"/>
    <w:rsid w:val="00A141AA"/>
    <w:rsid w:val="00A26428"/>
    <w:rsid w:val="00A33A9B"/>
    <w:rsid w:val="00A86054"/>
    <w:rsid w:val="00A87D44"/>
    <w:rsid w:val="00AC7803"/>
    <w:rsid w:val="00AD17CF"/>
    <w:rsid w:val="00AD382E"/>
    <w:rsid w:val="00AD54AA"/>
    <w:rsid w:val="00AF5B98"/>
    <w:rsid w:val="00AF636A"/>
    <w:rsid w:val="00AF6BE6"/>
    <w:rsid w:val="00B02A66"/>
    <w:rsid w:val="00B05B0B"/>
    <w:rsid w:val="00B12D70"/>
    <w:rsid w:val="00B13BEC"/>
    <w:rsid w:val="00B13E54"/>
    <w:rsid w:val="00B161EC"/>
    <w:rsid w:val="00B312DA"/>
    <w:rsid w:val="00B56F3D"/>
    <w:rsid w:val="00B803AC"/>
    <w:rsid w:val="00B87F13"/>
    <w:rsid w:val="00BA718D"/>
    <w:rsid w:val="00BD78F4"/>
    <w:rsid w:val="00C73A30"/>
    <w:rsid w:val="00C752B0"/>
    <w:rsid w:val="00C835F5"/>
    <w:rsid w:val="00C907B5"/>
    <w:rsid w:val="00CA7772"/>
    <w:rsid w:val="00CB60F7"/>
    <w:rsid w:val="00CD6DFE"/>
    <w:rsid w:val="00CE3958"/>
    <w:rsid w:val="00CF037C"/>
    <w:rsid w:val="00CF2674"/>
    <w:rsid w:val="00CF7FA8"/>
    <w:rsid w:val="00D3711E"/>
    <w:rsid w:val="00D5656A"/>
    <w:rsid w:val="00D56F5E"/>
    <w:rsid w:val="00D67BFF"/>
    <w:rsid w:val="00DA2D48"/>
    <w:rsid w:val="00DE5B35"/>
    <w:rsid w:val="00DF7E1E"/>
    <w:rsid w:val="00E14398"/>
    <w:rsid w:val="00E33A21"/>
    <w:rsid w:val="00E36E11"/>
    <w:rsid w:val="00E60EA5"/>
    <w:rsid w:val="00E71356"/>
    <w:rsid w:val="00E76936"/>
    <w:rsid w:val="00E8579C"/>
    <w:rsid w:val="00E90F3B"/>
    <w:rsid w:val="00EC36B1"/>
    <w:rsid w:val="00EE7F4E"/>
    <w:rsid w:val="00EF33A7"/>
    <w:rsid w:val="00F24565"/>
    <w:rsid w:val="00F44BAA"/>
    <w:rsid w:val="00F93A4F"/>
    <w:rsid w:val="00FD2A0B"/>
    <w:rsid w:val="00FE2A89"/>
    <w:rsid w:val="00FE2DC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17200"/>
  <w15:docId w15:val="{2EC4397E-E4D6-477B-B79A-3619AAF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FollowedHyperlink"/>
    <w:basedOn w:val="a0"/>
    <w:uiPriority w:val="99"/>
    <w:semiHidden/>
    <w:unhideWhenUsed/>
    <w:rsid w:val="007B7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5ED6-19D2-4E73-AB5E-97FF25C8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葉旭霖</cp:lastModifiedBy>
  <cp:revision>2</cp:revision>
  <cp:lastPrinted>2022-06-15T08:39:00Z</cp:lastPrinted>
  <dcterms:created xsi:type="dcterms:W3CDTF">2022-06-15T13:30:00Z</dcterms:created>
  <dcterms:modified xsi:type="dcterms:W3CDTF">2022-06-15T13:30:00Z</dcterms:modified>
</cp:coreProperties>
</file>