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6F2B" w14:textId="1BA6F1FD" w:rsidR="001168A9" w:rsidRPr="00544A75" w:rsidRDefault="001168A9" w:rsidP="001168A9">
      <w:pPr>
        <w:rPr>
          <w:rFonts w:ascii="Times New Roman" w:eastAsia="微軟正黑體" w:hAnsi="Times New Roman" w:cs="Times New Roman"/>
          <w:b/>
          <w:sz w:val="28"/>
          <w:szCs w:val="28"/>
        </w:rPr>
      </w:pPr>
      <w:r w:rsidRPr="00544A75">
        <w:rPr>
          <w:rFonts w:ascii="Times New Roman" w:eastAsia="微軟正黑體" w:hAnsi="Times New Roman" w:cs="Times New Roman"/>
          <w:noProof/>
          <w:sz w:val="28"/>
          <w:szCs w:val="28"/>
        </w:rPr>
        <w:drawing>
          <wp:inline distT="0" distB="0" distL="0" distR="0" wp14:anchorId="47EB156E" wp14:editId="20A205A3">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39C8B550" w14:textId="289AA1BB" w:rsidR="001168A9" w:rsidRPr="00E9393D" w:rsidRDefault="001168A9" w:rsidP="001168A9">
      <w:pPr>
        <w:spacing w:line="520" w:lineRule="exact"/>
        <w:jc w:val="center"/>
        <w:rPr>
          <w:rFonts w:ascii="微軟正黑體" w:eastAsia="微軟正黑體" w:hAnsi="微軟正黑體" w:hint="eastAsia"/>
          <w:b/>
          <w:bCs/>
          <w:sz w:val="36"/>
          <w:szCs w:val="36"/>
        </w:rPr>
      </w:pPr>
      <w:r w:rsidRPr="00E9393D">
        <w:rPr>
          <w:rFonts w:ascii="微軟正黑體" w:eastAsia="微軟正黑體" w:hAnsi="微軟正黑體" w:hint="eastAsia"/>
          <w:b/>
          <w:bCs/>
          <w:sz w:val="36"/>
          <w:szCs w:val="36"/>
        </w:rPr>
        <w:t>國家發展</w:t>
      </w:r>
      <w:r w:rsidRPr="00E9393D">
        <w:rPr>
          <w:rFonts w:ascii="微軟正黑體" w:eastAsia="微軟正黑體" w:hAnsi="微軟正黑體"/>
          <w:b/>
          <w:bCs/>
          <w:sz w:val="36"/>
          <w:szCs w:val="36"/>
        </w:rPr>
        <w:t>委員會</w:t>
      </w:r>
      <w:r w:rsidR="00966D55" w:rsidRPr="00E9393D">
        <w:rPr>
          <w:rFonts w:ascii="微軟正黑體" w:eastAsia="微軟正黑體" w:hAnsi="微軟正黑體"/>
          <w:b/>
          <w:bCs/>
          <w:sz w:val="36"/>
          <w:szCs w:val="36"/>
        </w:rPr>
        <w:t xml:space="preserve"> </w:t>
      </w:r>
      <w:r w:rsidR="00966D55" w:rsidRPr="00E9393D">
        <w:rPr>
          <w:rFonts w:ascii="微軟正黑體" w:eastAsia="微軟正黑體" w:hAnsi="微軟正黑體" w:hint="eastAsia"/>
          <w:b/>
          <w:bCs/>
          <w:sz w:val="36"/>
          <w:szCs w:val="36"/>
        </w:rPr>
        <w:t>澄清</w:t>
      </w:r>
      <w:r w:rsidRPr="00E9393D">
        <w:rPr>
          <w:rFonts w:ascii="微軟正黑體" w:eastAsia="微軟正黑體" w:hAnsi="微軟正黑體"/>
          <w:b/>
          <w:bCs/>
          <w:sz w:val="36"/>
          <w:szCs w:val="36"/>
        </w:rPr>
        <w:t>稿</w:t>
      </w:r>
    </w:p>
    <w:p w14:paraId="1EA04C79" w14:textId="7CC52170" w:rsidR="00E9393D" w:rsidRPr="00E9393D" w:rsidRDefault="00E9393D" w:rsidP="00E9393D">
      <w:pPr>
        <w:spacing w:beforeLines="100" w:before="360" w:line="520" w:lineRule="exact"/>
        <w:jc w:val="center"/>
        <w:rPr>
          <w:rFonts w:ascii="微軟正黑體" w:eastAsia="微軟正黑體" w:hAnsi="微軟正黑體"/>
          <w:b/>
          <w:bCs/>
          <w:sz w:val="36"/>
          <w:szCs w:val="36"/>
        </w:rPr>
      </w:pPr>
      <w:bookmarkStart w:id="0" w:name="_GoBack"/>
      <w:r>
        <w:rPr>
          <w:rFonts w:ascii="微軟正黑體" w:eastAsia="微軟正黑體" w:hAnsi="微軟正黑體" w:hint="eastAsia"/>
          <w:b/>
          <w:bCs/>
          <w:sz w:val="36"/>
          <w:szCs w:val="36"/>
        </w:rPr>
        <w:t xml:space="preserve">以模型評估效益為國際通用作法 </w:t>
      </w:r>
      <w:r w:rsidRPr="00E9393D">
        <w:rPr>
          <w:rFonts w:ascii="微軟正黑體" w:eastAsia="微軟正黑體" w:hAnsi="微軟正黑體" w:hint="eastAsia"/>
          <w:b/>
          <w:bCs/>
          <w:sz w:val="36"/>
          <w:szCs w:val="36"/>
        </w:rPr>
        <w:t>三倍</w:t>
      </w:r>
      <w:proofErr w:type="gramStart"/>
      <w:r w:rsidRPr="00E9393D">
        <w:rPr>
          <w:rFonts w:ascii="微軟正黑體" w:eastAsia="微軟正黑體" w:hAnsi="微軟正黑體" w:hint="eastAsia"/>
          <w:b/>
          <w:bCs/>
          <w:sz w:val="36"/>
          <w:szCs w:val="36"/>
        </w:rPr>
        <w:t>券</w:t>
      </w:r>
      <w:proofErr w:type="gramEnd"/>
      <w:r w:rsidRPr="00E9393D">
        <w:rPr>
          <w:rFonts w:ascii="微軟正黑體" w:eastAsia="微軟正黑體" w:hAnsi="微軟正黑體" w:hint="eastAsia"/>
          <w:b/>
          <w:bCs/>
          <w:sz w:val="36"/>
          <w:szCs w:val="36"/>
        </w:rPr>
        <w:t>實際發揮點火效益</w:t>
      </w:r>
      <w:bookmarkEnd w:id="0"/>
    </w:p>
    <w:p w14:paraId="63E09F18" w14:textId="77777777" w:rsidR="001168A9" w:rsidRPr="00544A75" w:rsidRDefault="001168A9" w:rsidP="001168A9">
      <w:pPr>
        <w:spacing w:line="280" w:lineRule="exact"/>
        <w:rPr>
          <w:rFonts w:ascii="Times New Roman" w:eastAsia="微軟正黑體" w:hAnsi="Times New Roman" w:cs="Times New Roman"/>
          <w:b/>
          <w:bCs/>
          <w:sz w:val="28"/>
          <w:szCs w:val="28"/>
        </w:rPr>
      </w:pPr>
    </w:p>
    <w:p w14:paraId="441211C0" w14:textId="25C3D16C" w:rsidR="001168A9" w:rsidRPr="00783C8B" w:rsidRDefault="001168A9" w:rsidP="001168A9">
      <w:pPr>
        <w:spacing w:line="480" w:lineRule="exact"/>
        <w:ind w:right="84"/>
        <w:rPr>
          <w:rFonts w:ascii="微軟正黑體" w:eastAsia="微軟正黑體" w:hAnsi="微軟正黑體"/>
          <w:bCs/>
          <w:sz w:val="28"/>
          <w:szCs w:val="28"/>
        </w:rPr>
      </w:pPr>
      <w:r w:rsidRPr="00783C8B">
        <w:rPr>
          <w:rFonts w:ascii="微軟正黑體" w:eastAsia="微軟正黑體" w:hAnsi="微軟正黑體" w:hint="eastAsia"/>
          <w:bCs/>
          <w:sz w:val="28"/>
          <w:szCs w:val="28"/>
        </w:rPr>
        <w:t>發布日期：1</w:t>
      </w:r>
      <w:r w:rsidR="00E62F51" w:rsidRPr="00783C8B">
        <w:rPr>
          <w:rFonts w:ascii="微軟正黑體" w:eastAsia="微軟正黑體" w:hAnsi="微軟正黑體" w:hint="eastAsia"/>
          <w:bCs/>
          <w:sz w:val="28"/>
          <w:szCs w:val="28"/>
        </w:rPr>
        <w:t>10</w:t>
      </w:r>
      <w:r w:rsidRPr="00783C8B">
        <w:rPr>
          <w:rFonts w:ascii="微軟正黑體" w:eastAsia="微軟正黑體" w:hAnsi="微軟正黑體" w:hint="eastAsia"/>
          <w:bCs/>
          <w:sz w:val="28"/>
          <w:szCs w:val="28"/>
        </w:rPr>
        <w:t>年</w:t>
      </w:r>
      <w:r w:rsidR="00522E3E">
        <w:rPr>
          <w:rFonts w:ascii="微軟正黑體" w:eastAsia="微軟正黑體" w:hAnsi="微軟正黑體" w:hint="eastAsia"/>
          <w:bCs/>
          <w:sz w:val="28"/>
          <w:szCs w:val="28"/>
        </w:rPr>
        <w:t>8</w:t>
      </w:r>
      <w:r w:rsidRPr="00783C8B">
        <w:rPr>
          <w:rFonts w:ascii="微軟正黑體" w:eastAsia="微軟正黑體" w:hAnsi="微軟正黑體" w:hint="eastAsia"/>
          <w:bCs/>
          <w:sz w:val="28"/>
          <w:szCs w:val="28"/>
        </w:rPr>
        <w:t>月</w:t>
      </w:r>
      <w:r w:rsidR="00522E3E">
        <w:rPr>
          <w:rFonts w:ascii="微軟正黑體" w:eastAsia="微軟正黑體" w:hAnsi="微軟正黑體" w:hint="eastAsia"/>
          <w:bCs/>
          <w:sz w:val="28"/>
          <w:szCs w:val="28"/>
        </w:rPr>
        <w:t>2</w:t>
      </w:r>
      <w:r w:rsidRPr="00783C8B">
        <w:rPr>
          <w:rFonts w:ascii="微軟正黑體" w:eastAsia="微軟正黑體" w:hAnsi="微軟正黑體" w:hint="eastAsia"/>
          <w:bCs/>
          <w:sz w:val="28"/>
          <w:szCs w:val="28"/>
        </w:rPr>
        <w:t>日</w:t>
      </w:r>
    </w:p>
    <w:p w14:paraId="043FBE95" w14:textId="205D821B" w:rsidR="001168A9" w:rsidRPr="00783C8B" w:rsidRDefault="001168A9" w:rsidP="001168A9">
      <w:pPr>
        <w:wordWrap w:val="0"/>
        <w:spacing w:line="480" w:lineRule="exact"/>
        <w:ind w:right="-766"/>
        <w:rPr>
          <w:rFonts w:ascii="微軟正黑體" w:eastAsia="微軟正黑體" w:hAnsi="微軟正黑體"/>
          <w:bCs/>
          <w:sz w:val="28"/>
          <w:szCs w:val="28"/>
        </w:rPr>
      </w:pPr>
      <w:r w:rsidRPr="00783C8B">
        <w:rPr>
          <w:rFonts w:ascii="微軟正黑體" w:eastAsia="微軟正黑體" w:hAnsi="微軟正黑體" w:hint="eastAsia"/>
          <w:bCs/>
          <w:sz w:val="28"/>
          <w:szCs w:val="28"/>
        </w:rPr>
        <w:t>發布單位：</w:t>
      </w:r>
      <w:r w:rsidR="00984A0C">
        <w:rPr>
          <w:rFonts w:ascii="微軟正黑體" w:eastAsia="微軟正黑體" w:hAnsi="微軟正黑體" w:hint="eastAsia"/>
          <w:bCs/>
          <w:sz w:val="28"/>
          <w:szCs w:val="28"/>
        </w:rPr>
        <w:t>經濟</w:t>
      </w:r>
      <w:r w:rsidR="00E62F51" w:rsidRPr="00783C8B">
        <w:rPr>
          <w:rFonts w:ascii="微軟正黑體" w:eastAsia="微軟正黑體" w:hAnsi="微軟正黑體" w:hint="eastAsia"/>
          <w:bCs/>
          <w:sz w:val="28"/>
          <w:szCs w:val="28"/>
        </w:rPr>
        <w:t>發展處</w:t>
      </w:r>
    </w:p>
    <w:p w14:paraId="503150E1" w14:textId="2C270635" w:rsidR="001168A9" w:rsidRPr="00783C8B" w:rsidRDefault="00E62F51" w:rsidP="00F70628">
      <w:pPr>
        <w:autoSpaceDE w:val="0"/>
        <w:autoSpaceDN w:val="0"/>
        <w:adjustRightInd w:val="0"/>
        <w:snapToGrid w:val="0"/>
        <w:spacing w:beforeLines="50" w:before="180" w:line="480" w:lineRule="exact"/>
        <w:textAlignment w:val="baseline"/>
        <w:rPr>
          <w:rFonts w:ascii="微軟正黑體" w:eastAsia="微軟正黑體" w:hAnsi="微軟正黑體"/>
          <w:bCs/>
          <w:sz w:val="28"/>
          <w:szCs w:val="28"/>
        </w:rPr>
      </w:pPr>
      <w:r w:rsidRPr="00783C8B">
        <w:rPr>
          <w:rFonts w:ascii="微軟正黑體" w:eastAsia="微軟正黑體" w:hAnsi="微軟正黑體" w:hint="eastAsia"/>
          <w:bCs/>
          <w:sz w:val="28"/>
          <w:szCs w:val="28"/>
        </w:rPr>
        <w:t>針對</w:t>
      </w:r>
      <w:r w:rsidR="00984A0C" w:rsidRPr="00984A0C">
        <w:rPr>
          <w:rFonts w:ascii="微軟正黑體" w:eastAsia="微軟正黑體" w:hAnsi="微軟正黑體" w:hint="eastAsia"/>
          <w:bCs/>
          <w:sz w:val="28"/>
          <w:szCs w:val="28"/>
        </w:rPr>
        <w:t>有關</w:t>
      </w:r>
      <w:r w:rsidR="00984A0C">
        <w:rPr>
          <w:rFonts w:ascii="微軟正黑體" w:eastAsia="微軟正黑體" w:hAnsi="微軟正黑體" w:hint="eastAsia"/>
          <w:bCs/>
          <w:sz w:val="28"/>
          <w:szCs w:val="28"/>
        </w:rPr>
        <w:t>中國時報報導「</w:t>
      </w:r>
      <w:r w:rsidR="00522E3E" w:rsidRPr="00522E3E">
        <w:rPr>
          <w:rFonts w:ascii="微軟正黑體" w:eastAsia="微軟正黑體" w:hAnsi="微軟正黑體" w:hint="eastAsia"/>
          <w:bCs/>
          <w:sz w:val="28"/>
          <w:szCs w:val="28"/>
        </w:rPr>
        <w:t>政院稱三倍</w:t>
      </w:r>
      <w:proofErr w:type="gramStart"/>
      <w:r w:rsidR="00522E3E" w:rsidRPr="00522E3E">
        <w:rPr>
          <w:rFonts w:ascii="微軟正黑體" w:eastAsia="微軟正黑體" w:hAnsi="微軟正黑體" w:hint="eastAsia"/>
          <w:bCs/>
          <w:sz w:val="28"/>
          <w:szCs w:val="28"/>
        </w:rPr>
        <w:t>券</w:t>
      </w:r>
      <w:proofErr w:type="gramEnd"/>
      <w:r w:rsidR="00522E3E" w:rsidRPr="00522E3E">
        <w:rPr>
          <w:rFonts w:ascii="微軟正黑體" w:eastAsia="微軟正黑體" w:hAnsi="微軟正黑體" w:hint="eastAsia"/>
          <w:bCs/>
          <w:sz w:val="28"/>
          <w:szCs w:val="28"/>
        </w:rPr>
        <w:t xml:space="preserve">效益千億 </w:t>
      </w:r>
      <w:proofErr w:type="gramStart"/>
      <w:r w:rsidR="00522E3E" w:rsidRPr="00522E3E">
        <w:rPr>
          <w:rFonts w:ascii="微軟正黑體" w:eastAsia="微軟正黑體" w:hAnsi="微軟正黑體" w:hint="eastAsia"/>
          <w:bCs/>
          <w:sz w:val="28"/>
          <w:szCs w:val="28"/>
        </w:rPr>
        <w:t>審計部打臉</w:t>
      </w:r>
      <w:proofErr w:type="gramEnd"/>
      <w:r w:rsidR="00984A0C">
        <w:rPr>
          <w:rFonts w:ascii="微軟正黑體" w:eastAsia="微軟正黑體" w:hAnsi="微軟正黑體" w:hint="eastAsia"/>
          <w:bCs/>
          <w:sz w:val="28"/>
          <w:szCs w:val="28"/>
        </w:rPr>
        <w:t>」</w:t>
      </w:r>
      <w:r w:rsidR="00984A0C" w:rsidRPr="00783C8B">
        <w:rPr>
          <w:rFonts w:ascii="微軟正黑體" w:eastAsia="微軟正黑體" w:hAnsi="微軟正黑體" w:hint="eastAsia"/>
          <w:bCs/>
          <w:sz w:val="28"/>
          <w:szCs w:val="28"/>
        </w:rPr>
        <w:t>，本會回應說明如下：</w:t>
      </w:r>
      <w:r w:rsidRPr="00783C8B">
        <w:rPr>
          <w:rFonts w:ascii="微軟正黑體" w:eastAsia="微軟正黑體" w:hAnsi="微軟正黑體"/>
          <w:bCs/>
          <w:sz w:val="28"/>
          <w:szCs w:val="28"/>
        </w:rPr>
        <w:t xml:space="preserve"> </w:t>
      </w:r>
    </w:p>
    <w:p w14:paraId="5CD0B06F" w14:textId="0E5376AD" w:rsidR="00BC2FFB" w:rsidRPr="00BC2FFB" w:rsidRDefault="00BC2FFB" w:rsidP="007E41DB">
      <w:pPr>
        <w:pStyle w:val="a3"/>
        <w:numPr>
          <w:ilvl w:val="0"/>
          <w:numId w:val="2"/>
        </w:numPr>
        <w:spacing w:line="480" w:lineRule="exact"/>
        <w:ind w:leftChars="0"/>
        <w:jc w:val="both"/>
        <w:rPr>
          <w:rFonts w:ascii="微軟正黑體" w:eastAsia="微軟正黑體" w:hAnsi="微軟正黑體"/>
          <w:bCs/>
          <w:sz w:val="28"/>
          <w:szCs w:val="28"/>
        </w:rPr>
      </w:pPr>
      <w:r w:rsidRPr="00BC2FFB">
        <w:rPr>
          <w:rFonts w:ascii="微軟正黑體" w:eastAsia="微軟正黑體" w:hAnsi="微軟正黑體" w:hint="eastAsia"/>
          <w:bCs/>
          <w:sz w:val="28"/>
          <w:szCs w:val="28"/>
        </w:rPr>
        <w:t>智庫</w:t>
      </w:r>
      <w:r w:rsidR="0062401D">
        <w:rPr>
          <w:rFonts w:ascii="微軟正黑體" w:eastAsia="微軟正黑體" w:hAnsi="微軟正黑體" w:hint="eastAsia"/>
          <w:bCs/>
          <w:sz w:val="28"/>
          <w:szCs w:val="28"/>
        </w:rPr>
        <w:t>的</w:t>
      </w:r>
      <w:r w:rsidRPr="00BC2FFB">
        <w:rPr>
          <w:rFonts w:ascii="微軟正黑體" w:eastAsia="微軟正黑體" w:hAnsi="微軟正黑體" w:hint="eastAsia"/>
          <w:bCs/>
          <w:sz w:val="28"/>
          <w:szCs w:val="28"/>
        </w:rPr>
        <w:t>政策</w:t>
      </w:r>
      <w:r w:rsidR="0062401D">
        <w:rPr>
          <w:rFonts w:ascii="微軟正黑體" w:eastAsia="微軟正黑體" w:hAnsi="微軟正黑體" w:hint="eastAsia"/>
          <w:bCs/>
          <w:sz w:val="28"/>
          <w:szCs w:val="28"/>
        </w:rPr>
        <w:t>效益</w:t>
      </w:r>
      <w:r w:rsidR="00036198">
        <w:rPr>
          <w:rFonts w:ascii="微軟正黑體" w:eastAsia="微軟正黑體" w:hAnsi="微軟正黑體" w:hint="eastAsia"/>
          <w:bCs/>
          <w:sz w:val="28"/>
          <w:szCs w:val="28"/>
        </w:rPr>
        <w:t>評估，過程嚴謹周延且透過模型評估政策效益為國際通用作法</w:t>
      </w:r>
    </w:p>
    <w:p w14:paraId="76ED1690" w14:textId="7920072E" w:rsidR="00036198" w:rsidRPr="00036198" w:rsidRDefault="00522E3E" w:rsidP="007E41DB">
      <w:pPr>
        <w:pStyle w:val="a3"/>
        <w:spacing w:line="480" w:lineRule="exact"/>
        <w:ind w:leftChars="295" w:left="708" w:firstLineChars="284" w:firstLine="795"/>
        <w:jc w:val="both"/>
        <w:rPr>
          <w:rFonts w:ascii="微軟正黑體" w:eastAsia="微軟正黑體" w:hAnsi="微軟正黑體"/>
          <w:bCs/>
          <w:sz w:val="28"/>
          <w:szCs w:val="28"/>
        </w:rPr>
      </w:pPr>
      <w:r w:rsidRPr="00BC2FFB">
        <w:rPr>
          <w:rFonts w:ascii="微軟正黑體" w:eastAsia="微軟正黑體" w:hAnsi="微軟正黑體" w:hint="eastAsia"/>
          <w:bCs/>
          <w:sz w:val="28"/>
          <w:szCs w:val="28"/>
        </w:rPr>
        <w:t>本會委託財</w:t>
      </w:r>
      <w:r w:rsidRPr="00036198">
        <w:rPr>
          <w:rFonts w:ascii="微軟正黑體" w:eastAsia="微軟正黑體" w:hAnsi="微軟正黑體" w:hint="eastAsia"/>
          <w:bCs/>
          <w:sz w:val="28"/>
          <w:szCs w:val="28"/>
        </w:rPr>
        <w:t>團法人中華經濟研究院及台灣經濟研究院辦理「振興三倍</w:t>
      </w:r>
      <w:proofErr w:type="gramStart"/>
      <w:r w:rsidRPr="00036198">
        <w:rPr>
          <w:rFonts w:ascii="微軟正黑體" w:eastAsia="微軟正黑體" w:hAnsi="微軟正黑體" w:hint="eastAsia"/>
          <w:bCs/>
          <w:sz w:val="28"/>
          <w:szCs w:val="28"/>
        </w:rPr>
        <w:t>券</w:t>
      </w:r>
      <w:proofErr w:type="gramEnd"/>
      <w:r w:rsidRPr="00036198">
        <w:rPr>
          <w:rFonts w:ascii="微軟正黑體" w:eastAsia="微軟正黑體" w:hAnsi="微軟正黑體" w:hint="eastAsia"/>
          <w:bCs/>
          <w:sz w:val="28"/>
          <w:szCs w:val="28"/>
        </w:rPr>
        <w:t>之經濟效益評估</w:t>
      </w:r>
      <w:r w:rsidR="00A42DA8" w:rsidRPr="00036198">
        <w:rPr>
          <w:rFonts w:ascii="微軟正黑體" w:eastAsia="微軟正黑體" w:hAnsi="微軟正黑體" w:hint="eastAsia"/>
          <w:bCs/>
          <w:sz w:val="28"/>
          <w:szCs w:val="28"/>
        </w:rPr>
        <w:t>」</w:t>
      </w:r>
      <w:r w:rsidRPr="00036198">
        <w:rPr>
          <w:rFonts w:ascii="微軟正黑體" w:eastAsia="微軟正黑體" w:hAnsi="微軟正黑體" w:hint="eastAsia"/>
          <w:bCs/>
          <w:sz w:val="28"/>
          <w:szCs w:val="28"/>
        </w:rPr>
        <w:t>，兩智庫參酌相關文獻及統計，設定不同的模擬情境，利用總體計量模型、產業關聯模型等，進行政策效益評估</w:t>
      </w:r>
      <w:r w:rsidR="0049070C" w:rsidRPr="00036198">
        <w:rPr>
          <w:rFonts w:ascii="微軟正黑體" w:eastAsia="微軟正黑體" w:hAnsi="微軟正黑體" w:hint="eastAsia"/>
          <w:bCs/>
          <w:sz w:val="28"/>
          <w:szCs w:val="28"/>
        </w:rPr>
        <w:t>，評估過程嚴謹周延</w:t>
      </w:r>
      <w:r w:rsidR="00A42DA8" w:rsidRPr="00036198">
        <w:rPr>
          <w:rFonts w:ascii="微軟正黑體" w:eastAsia="微軟正黑體" w:hAnsi="微軟正黑體" w:hint="eastAsia"/>
          <w:bCs/>
          <w:sz w:val="28"/>
          <w:szCs w:val="28"/>
        </w:rPr>
        <w:t>。</w:t>
      </w:r>
      <w:r w:rsidR="00BC2FFB" w:rsidRPr="00036198">
        <w:rPr>
          <w:rFonts w:ascii="微軟正黑體" w:eastAsia="微軟正黑體" w:hAnsi="微軟正黑體"/>
          <w:bCs/>
          <w:sz w:val="28"/>
          <w:szCs w:val="28"/>
        </w:rPr>
        <w:t>即使採</w:t>
      </w:r>
      <w:r w:rsidR="007850DA" w:rsidRPr="00036198">
        <w:rPr>
          <w:rFonts w:ascii="微軟正黑體" w:eastAsia="微軟正黑體" w:hAnsi="微軟正黑體"/>
          <w:bCs/>
          <w:sz w:val="28"/>
          <w:szCs w:val="28"/>
        </w:rPr>
        <w:t>取</w:t>
      </w:r>
      <w:r w:rsidR="00BC2FFB" w:rsidRPr="00036198">
        <w:rPr>
          <w:rFonts w:ascii="微軟正黑體" w:eastAsia="微軟正黑體" w:hAnsi="微軟正黑體"/>
          <w:bCs/>
          <w:sz w:val="28"/>
          <w:szCs w:val="28"/>
        </w:rPr>
        <w:t>最嚴苛</w:t>
      </w:r>
      <w:r w:rsidR="00E912B7">
        <w:rPr>
          <w:rFonts w:ascii="微軟正黑體" w:eastAsia="微軟正黑體" w:hAnsi="微軟正黑體"/>
          <w:bCs/>
          <w:sz w:val="28"/>
          <w:szCs w:val="28"/>
        </w:rPr>
        <w:t>到最寬鬆</w:t>
      </w:r>
      <w:r w:rsidR="00BC2FFB" w:rsidRPr="00036198">
        <w:rPr>
          <w:rFonts w:ascii="微軟正黑體" w:eastAsia="微軟正黑體" w:hAnsi="微軟正黑體"/>
          <w:bCs/>
          <w:sz w:val="28"/>
          <w:szCs w:val="28"/>
        </w:rPr>
        <w:t>的假設，</w:t>
      </w:r>
      <w:r w:rsidR="00036198" w:rsidRPr="00036198">
        <w:rPr>
          <w:rFonts w:ascii="微軟正黑體" w:eastAsia="微軟正黑體" w:hAnsi="微軟正黑體"/>
          <w:bCs/>
          <w:sz w:val="28"/>
          <w:szCs w:val="28"/>
        </w:rPr>
        <w:t>對於實質</w:t>
      </w:r>
      <w:r w:rsidR="00036198">
        <w:rPr>
          <w:rFonts w:ascii="微軟正黑體" w:eastAsia="微軟正黑體" w:hAnsi="微軟正黑體"/>
          <w:bCs/>
          <w:sz w:val="28"/>
          <w:szCs w:val="28"/>
        </w:rPr>
        <w:t>GDP</w:t>
      </w:r>
      <w:r w:rsidR="00036198" w:rsidRPr="00036198">
        <w:rPr>
          <w:rFonts w:ascii="微軟正黑體" w:eastAsia="微軟正黑體" w:hAnsi="微軟正黑體"/>
          <w:bCs/>
          <w:sz w:val="28"/>
          <w:szCs w:val="28"/>
        </w:rPr>
        <w:t>都可增加</w:t>
      </w:r>
      <w:r w:rsidR="00036198" w:rsidRPr="00036198">
        <w:rPr>
          <w:rFonts w:ascii="微軟正黑體" w:eastAsia="微軟正黑體" w:hAnsi="微軟正黑體" w:hint="eastAsia"/>
          <w:bCs/>
          <w:sz w:val="28"/>
          <w:szCs w:val="28"/>
        </w:rPr>
        <w:t>201-1,016億元之效益。</w:t>
      </w:r>
    </w:p>
    <w:p w14:paraId="0B7FC670" w14:textId="44BC2315" w:rsidR="007D5222" w:rsidRPr="00036198" w:rsidRDefault="00A53ECC" w:rsidP="007E41DB">
      <w:pPr>
        <w:pStyle w:val="a3"/>
        <w:spacing w:line="480" w:lineRule="exact"/>
        <w:ind w:leftChars="295" w:left="708" w:firstLineChars="284" w:firstLine="795"/>
        <w:jc w:val="both"/>
        <w:rPr>
          <w:rFonts w:ascii="微軟正黑體" w:eastAsia="微軟正黑體" w:hAnsi="微軟正黑體"/>
          <w:bCs/>
          <w:sz w:val="28"/>
          <w:szCs w:val="28"/>
        </w:rPr>
      </w:pPr>
      <w:r w:rsidRPr="00036198">
        <w:rPr>
          <w:rFonts w:ascii="微軟正黑體" w:eastAsia="微軟正黑體" w:hAnsi="微軟正黑體"/>
          <w:bCs/>
          <w:sz w:val="28"/>
          <w:szCs w:val="28"/>
        </w:rPr>
        <w:t>假設</w:t>
      </w:r>
      <w:r w:rsidR="007D5222" w:rsidRPr="00036198">
        <w:rPr>
          <w:rFonts w:ascii="微軟正黑體" w:eastAsia="微軟正黑體" w:hAnsi="微軟正黑體" w:hint="eastAsia"/>
          <w:bCs/>
          <w:sz w:val="28"/>
          <w:szCs w:val="28"/>
        </w:rPr>
        <w:t>不同情境</w:t>
      </w:r>
      <w:r w:rsidRPr="00036198">
        <w:rPr>
          <w:rFonts w:ascii="微軟正黑體" w:eastAsia="微軟正黑體" w:hAnsi="微軟正黑體" w:hint="eastAsia"/>
          <w:bCs/>
          <w:sz w:val="28"/>
          <w:szCs w:val="28"/>
        </w:rPr>
        <w:t>，以模型</w:t>
      </w:r>
      <w:r w:rsidR="00485F61" w:rsidRPr="00036198">
        <w:rPr>
          <w:rFonts w:ascii="微軟正黑體" w:eastAsia="微軟正黑體" w:hAnsi="微軟正黑體" w:hint="eastAsia"/>
          <w:bCs/>
          <w:sz w:val="28"/>
          <w:szCs w:val="28"/>
        </w:rPr>
        <w:t>進行</w:t>
      </w:r>
      <w:r w:rsidR="00485D4A" w:rsidRPr="00036198">
        <w:rPr>
          <w:rFonts w:ascii="微軟正黑體" w:eastAsia="微軟正黑體" w:hAnsi="微軟正黑體" w:hint="eastAsia"/>
          <w:bCs/>
          <w:sz w:val="28"/>
          <w:szCs w:val="28"/>
        </w:rPr>
        <w:t>政策效益</w:t>
      </w:r>
      <w:r w:rsidR="007D5222" w:rsidRPr="00036198">
        <w:rPr>
          <w:rFonts w:ascii="微軟正黑體" w:eastAsia="微軟正黑體" w:hAnsi="微軟正黑體" w:hint="eastAsia"/>
          <w:bCs/>
          <w:sz w:val="28"/>
          <w:szCs w:val="28"/>
        </w:rPr>
        <w:t>推估，此為世界通用之作法，並無特殊之處。</w:t>
      </w:r>
      <w:r w:rsidR="00485D4A" w:rsidRPr="00036198">
        <w:rPr>
          <w:rFonts w:ascii="微軟正黑體" w:eastAsia="微軟正黑體" w:hAnsi="微軟正黑體" w:hint="eastAsia"/>
          <w:bCs/>
          <w:sz w:val="28"/>
          <w:szCs w:val="28"/>
        </w:rPr>
        <w:t>如：IMF</w:t>
      </w:r>
      <w:r w:rsidR="00CD25CE" w:rsidRPr="00036198">
        <w:rPr>
          <w:rFonts w:ascii="微軟正黑體" w:eastAsia="微軟正黑體" w:hAnsi="微軟正黑體" w:hint="eastAsia"/>
          <w:bCs/>
          <w:sz w:val="28"/>
          <w:szCs w:val="28"/>
        </w:rPr>
        <w:t>(2020)</w:t>
      </w:r>
      <w:r w:rsidR="00103149" w:rsidRPr="00036198">
        <w:rPr>
          <w:rStyle w:val="af3"/>
          <w:rFonts w:ascii="微軟正黑體" w:eastAsia="微軟正黑體" w:hAnsi="微軟正黑體"/>
          <w:bCs/>
          <w:sz w:val="28"/>
          <w:szCs w:val="28"/>
        </w:rPr>
        <w:footnoteReference w:id="1"/>
      </w:r>
      <w:r w:rsidR="00485F61" w:rsidRPr="00036198">
        <w:rPr>
          <w:rFonts w:ascii="微軟正黑體" w:eastAsia="微軟正黑體" w:hAnsi="微軟正黑體" w:hint="eastAsia"/>
          <w:bCs/>
          <w:sz w:val="28"/>
          <w:szCs w:val="28"/>
        </w:rPr>
        <w:t xml:space="preserve"> </w:t>
      </w:r>
      <w:r w:rsidR="00CD25CE" w:rsidRPr="00036198">
        <w:rPr>
          <w:rFonts w:ascii="微軟正黑體" w:eastAsia="微軟正黑體" w:hAnsi="微軟正黑體" w:hint="eastAsia"/>
          <w:bCs/>
          <w:sz w:val="28"/>
          <w:szCs w:val="28"/>
        </w:rPr>
        <w:t>評估政府擴大公共</w:t>
      </w:r>
      <w:r w:rsidR="00341CC7" w:rsidRPr="00036198">
        <w:rPr>
          <w:rFonts w:ascii="微軟正黑體" w:eastAsia="微軟正黑體" w:hAnsi="微軟正黑體" w:hint="eastAsia"/>
          <w:bCs/>
          <w:sz w:val="28"/>
          <w:szCs w:val="28"/>
        </w:rPr>
        <w:t>投資對</w:t>
      </w:r>
      <w:proofErr w:type="gramStart"/>
      <w:r w:rsidR="00341CC7" w:rsidRPr="00036198">
        <w:rPr>
          <w:rFonts w:ascii="微軟正黑體" w:eastAsia="微軟正黑體" w:hAnsi="微軟正黑體" w:hint="eastAsia"/>
          <w:bCs/>
          <w:sz w:val="28"/>
          <w:szCs w:val="28"/>
        </w:rPr>
        <w:t>疫</w:t>
      </w:r>
      <w:proofErr w:type="gramEnd"/>
      <w:r w:rsidR="00341CC7" w:rsidRPr="00036198">
        <w:rPr>
          <w:rFonts w:ascii="微軟正黑體" w:eastAsia="微軟正黑體" w:hAnsi="微軟正黑體" w:hint="eastAsia"/>
          <w:bCs/>
          <w:sz w:val="28"/>
          <w:szCs w:val="28"/>
        </w:rPr>
        <w:t>後</w:t>
      </w:r>
      <w:r w:rsidR="00485F61" w:rsidRPr="00036198">
        <w:rPr>
          <w:rFonts w:ascii="微軟正黑體" w:eastAsia="微軟正黑體" w:hAnsi="微軟正黑體" w:hint="eastAsia"/>
          <w:bCs/>
          <w:sz w:val="28"/>
          <w:szCs w:val="28"/>
        </w:rPr>
        <w:t>經濟</w:t>
      </w:r>
      <w:r w:rsidR="00341CC7" w:rsidRPr="00036198">
        <w:rPr>
          <w:rFonts w:ascii="微軟正黑體" w:eastAsia="微軟正黑體" w:hAnsi="微軟正黑體" w:hint="eastAsia"/>
          <w:bCs/>
          <w:sz w:val="28"/>
          <w:szCs w:val="28"/>
        </w:rPr>
        <w:t>復甦的</w:t>
      </w:r>
      <w:r w:rsidR="00CD25CE" w:rsidRPr="00036198">
        <w:rPr>
          <w:rFonts w:ascii="微軟正黑體" w:eastAsia="微軟正黑體" w:hAnsi="微軟正黑體" w:hint="eastAsia"/>
          <w:bCs/>
          <w:sz w:val="28"/>
          <w:szCs w:val="28"/>
        </w:rPr>
        <w:t>效益</w:t>
      </w:r>
      <w:r w:rsidR="00341CC7" w:rsidRPr="00036198">
        <w:rPr>
          <w:rFonts w:ascii="微軟正黑體" w:eastAsia="微軟正黑體" w:hAnsi="微軟正黑體" w:hint="eastAsia"/>
          <w:bCs/>
          <w:sz w:val="28"/>
          <w:szCs w:val="28"/>
        </w:rPr>
        <w:t>，皆係採用經濟計量模型進行推估</w:t>
      </w:r>
      <w:r w:rsidR="00CD25CE" w:rsidRPr="00036198">
        <w:rPr>
          <w:rFonts w:ascii="微軟正黑體" w:eastAsia="微軟正黑體" w:hAnsi="微軟正黑體" w:hint="eastAsia"/>
          <w:bCs/>
          <w:sz w:val="28"/>
          <w:szCs w:val="28"/>
        </w:rPr>
        <w:t>。</w:t>
      </w:r>
    </w:p>
    <w:p w14:paraId="569717BE" w14:textId="15376C77" w:rsidR="008300AB" w:rsidRPr="00036198" w:rsidRDefault="00485D4A" w:rsidP="007E41DB">
      <w:pPr>
        <w:pStyle w:val="a3"/>
        <w:widowControl/>
        <w:numPr>
          <w:ilvl w:val="0"/>
          <w:numId w:val="2"/>
        </w:numPr>
        <w:spacing w:line="480" w:lineRule="exact"/>
        <w:ind w:leftChars="0"/>
        <w:jc w:val="both"/>
        <w:rPr>
          <w:rFonts w:ascii="微軟正黑體" w:eastAsia="微軟正黑體" w:hAnsi="微軟正黑體"/>
          <w:bCs/>
          <w:sz w:val="28"/>
          <w:szCs w:val="28"/>
        </w:rPr>
      </w:pPr>
      <w:r w:rsidRPr="00036198">
        <w:rPr>
          <w:rFonts w:ascii="微軟正黑體" w:eastAsia="微軟正黑體" w:hAnsi="微軟正黑體" w:hint="eastAsia"/>
          <w:bCs/>
          <w:sz w:val="28"/>
          <w:szCs w:val="28"/>
        </w:rPr>
        <w:t>政府發放振興三倍</w:t>
      </w:r>
      <w:proofErr w:type="gramStart"/>
      <w:r w:rsidRPr="00036198">
        <w:rPr>
          <w:rFonts w:ascii="微軟正黑體" w:eastAsia="微軟正黑體" w:hAnsi="微軟正黑體" w:hint="eastAsia"/>
          <w:bCs/>
          <w:sz w:val="28"/>
          <w:szCs w:val="28"/>
        </w:rPr>
        <w:t>券</w:t>
      </w:r>
      <w:proofErr w:type="gramEnd"/>
      <w:r w:rsidRPr="00036198">
        <w:rPr>
          <w:rFonts w:ascii="微軟正黑體" w:eastAsia="微軟正黑體" w:hAnsi="微軟正黑體" w:hint="eastAsia"/>
          <w:bCs/>
          <w:sz w:val="28"/>
          <w:szCs w:val="28"/>
        </w:rPr>
        <w:t>的目的，係為發揮點火效應，帶動國內消費提升與經濟回溫。</w:t>
      </w:r>
      <w:r w:rsidR="00A94170" w:rsidRPr="00036198">
        <w:rPr>
          <w:rFonts w:ascii="微軟正黑體" w:eastAsia="微軟正黑體" w:hAnsi="微軟正黑體" w:hint="eastAsia"/>
          <w:bCs/>
          <w:sz w:val="28"/>
          <w:szCs w:val="28"/>
        </w:rPr>
        <w:t>根據</w:t>
      </w:r>
      <w:r w:rsidR="00456216" w:rsidRPr="00036198">
        <w:rPr>
          <w:rFonts w:ascii="微軟正黑體" w:eastAsia="微軟正黑體" w:hAnsi="微軟正黑體" w:hint="eastAsia"/>
          <w:bCs/>
          <w:sz w:val="28"/>
          <w:szCs w:val="28"/>
        </w:rPr>
        <w:t>國內</w:t>
      </w:r>
      <w:r w:rsidR="00A94170" w:rsidRPr="00036198">
        <w:rPr>
          <w:rFonts w:ascii="微軟正黑體" w:eastAsia="微軟正黑體" w:hAnsi="微軟正黑體" w:hint="eastAsia"/>
          <w:bCs/>
          <w:sz w:val="28"/>
          <w:szCs w:val="28"/>
        </w:rPr>
        <w:t>實際公布的經濟統計數據</w:t>
      </w:r>
      <w:r w:rsidR="00456216" w:rsidRPr="00036198">
        <w:rPr>
          <w:rFonts w:ascii="微軟正黑體" w:eastAsia="微軟正黑體" w:hAnsi="微軟正黑體" w:hint="eastAsia"/>
          <w:bCs/>
          <w:sz w:val="28"/>
          <w:szCs w:val="28"/>
        </w:rPr>
        <w:t>，</w:t>
      </w:r>
      <w:r w:rsidRPr="00036198">
        <w:rPr>
          <w:rFonts w:ascii="微軟正黑體" w:eastAsia="微軟正黑體" w:hAnsi="微軟正黑體" w:hint="eastAsia"/>
          <w:bCs/>
          <w:sz w:val="28"/>
          <w:szCs w:val="28"/>
        </w:rPr>
        <w:t>亦</w:t>
      </w:r>
      <w:r w:rsidR="00456216" w:rsidRPr="00036198">
        <w:rPr>
          <w:rFonts w:ascii="微軟正黑體" w:eastAsia="微軟正黑體" w:hAnsi="微軟正黑體" w:hint="eastAsia"/>
          <w:bCs/>
          <w:sz w:val="28"/>
          <w:szCs w:val="28"/>
        </w:rPr>
        <w:t>顯示</w:t>
      </w:r>
      <w:r w:rsidRPr="00036198">
        <w:rPr>
          <w:rFonts w:ascii="微軟正黑體" w:eastAsia="微軟正黑體" w:hAnsi="微軟正黑體" w:hint="eastAsia"/>
          <w:bCs/>
          <w:sz w:val="28"/>
          <w:szCs w:val="28"/>
        </w:rPr>
        <w:t>振興三倍</w:t>
      </w:r>
      <w:proofErr w:type="gramStart"/>
      <w:r w:rsidRPr="00036198">
        <w:rPr>
          <w:rFonts w:ascii="微軟正黑體" w:eastAsia="微軟正黑體" w:hAnsi="微軟正黑體" w:hint="eastAsia"/>
          <w:bCs/>
          <w:sz w:val="28"/>
          <w:szCs w:val="28"/>
        </w:rPr>
        <w:t>券</w:t>
      </w:r>
      <w:proofErr w:type="gramEnd"/>
      <w:r w:rsidRPr="00036198">
        <w:rPr>
          <w:rFonts w:ascii="微軟正黑體" w:eastAsia="微軟正黑體" w:hAnsi="微軟正黑體" w:hint="eastAsia"/>
          <w:bCs/>
          <w:sz w:val="28"/>
          <w:szCs w:val="28"/>
        </w:rPr>
        <w:t>對個別</w:t>
      </w:r>
      <w:r w:rsidR="00A94170" w:rsidRPr="00036198">
        <w:rPr>
          <w:rFonts w:ascii="微軟正黑體" w:eastAsia="微軟正黑體" w:hAnsi="微軟正黑體" w:hint="eastAsia"/>
          <w:bCs/>
          <w:sz w:val="28"/>
          <w:szCs w:val="28"/>
        </w:rPr>
        <w:t>產業、總體經濟</w:t>
      </w:r>
      <w:r w:rsidR="00456216" w:rsidRPr="00036198">
        <w:rPr>
          <w:rFonts w:ascii="微軟正黑體" w:eastAsia="微軟正黑體" w:hAnsi="微軟正黑體" w:hint="eastAsia"/>
          <w:bCs/>
          <w:sz w:val="28"/>
          <w:szCs w:val="28"/>
        </w:rPr>
        <w:t>效益顯著：</w:t>
      </w:r>
    </w:p>
    <w:p w14:paraId="25ADA595" w14:textId="3980B303" w:rsidR="00456216" w:rsidRPr="00036198" w:rsidRDefault="00456216" w:rsidP="007E41DB">
      <w:pPr>
        <w:widowControl/>
        <w:spacing w:line="480" w:lineRule="exact"/>
        <w:ind w:leftChars="295" w:left="1274" w:rightChars="-100" w:right="-240" w:hangingChars="202" w:hanging="566"/>
        <w:jc w:val="both"/>
        <w:rPr>
          <w:rFonts w:ascii="微軟正黑體" w:eastAsia="微軟正黑體" w:hAnsi="微軟正黑體"/>
          <w:bCs/>
          <w:sz w:val="28"/>
          <w:szCs w:val="28"/>
        </w:rPr>
      </w:pPr>
      <w:r w:rsidRPr="00036198">
        <w:rPr>
          <w:rFonts w:ascii="微軟正黑體" w:eastAsia="微軟正黑體" w:hAnsi="微軟正黑體" w:hint="eastAsia"/>
          <w:bCs/>
          <w:sz w:val="28"/>
          <w:szCs w:val="28"/>
        </w:rPr>
        <w:lastRenderedPageBreak/>
        <w:t>(</w:t>
      </w:r>
      <w:proofErr w:type="gramStart"/>
      <w:r w:rsidRPr="00036198">
        <w:rPr>
          <w:rFonts w:ascii="微軟正黑體" w:eastAsia="微軟正黑體" w:hAnsi="微軟正黑體" w:hint="eastAsia"/>
          <w:bCs/>
          <w:sz w:val="28"/>
          <w:szCs w:val="28"/>
        </w:rPr>
        <w:t>一</w:t>
      </w:r>
      <w:proofErr w:type="gramEnd"/>
      <w:r w:rsidRPr="00036198">
        <w:rPr>
          <w:rFonts w:ascii="微軟正黑體" w:eastAsia="微軟正黑體" w:hAnsi="微軟正黑體" w:hint="eastAsia"/>
          <w:bCs/>
          <w:sz w:val="28"/>
          <w:szCs w:val="28"/>
        </w:rPr>
        <w:t>)</w:t>
      </w:r>
      <w:r w:rsidR="00746582" w:rsidRPr="00036198">
        <w:rPr>
          <w:rFonts w:ascii="微軟正黑體" w:eastAsia="微軟正黑體" w:hAnsi="微軟正黑體" w:hint="eastAsia"/>
          <w:bCs/>
          <w:sz w:val="28"/>
          <w:szCs w:val="28"/>
        </w:rPr>
        <w:t>受衝擊產業皆因此</w:t>
      </w:r>
      <w:r w:rsidRPr="00036198">
        <w:rPr>
          <w:rFonts w:ascii="微軟正黑體" w:eastAsia="微軟正黑體" w:hAnsi="微軟正黑體" w:hint="eastAsia"/>
          <w:bCs/>
          <w:sz w:val="28"/>
          <w:szCs w:val="28"/>
        </w:rPr>
        <w:t>提</w:t>
      </w:r>
      <w:r w:rsidR="00BE2971" w:rsidRPr="00036198">
        <w:rPr>
          <w:rFonts w:ascii="微軟正黑體" w:eastAsia="微軟正黑體" w:hAnsi="微軟正黑體" w:hint="eastAsia"/>
          <w:bCs/>
          <w:sz w:val="28"/>
          <w:szCs w:val="28"/>
        </w:rPr>
        <w:t>高消費意願，帶動內需回溫：內需的零售業、餐飲業營業額顯著回溫，</w:t>
      </w:r>
      <w:r w:rsidRPr="00036198">
        <w:rPr>
          <w:rFonts w:ascii="微軟正黑體" w:eastAsia="微軟正黑體" w:hAnsi="微軟正黑體" w:hint="eastAsia"/>
          <w:bCs/>
          <w:sz w:val="28"/>
          <w:szCs w:val="28"/>
        </w:rPr>
        <w:t>自</w:t>
      </w:r>
      <w:r w:rsidR="00BE2971" w:rsidRPr="00036198">
        <w:rPr>
          <w:rFonts w:ascii="微軟正黑體" w:eastAsia="微軟正黑體" w:hAnsi="微軟正黑體" w:hint="eastAsia"/>
          <w:bCs/>
          <w:sz w:val="28"/>
          <w:szCs w:val="28"/>
        </w:rPr>
        <w:t>2020年</w:t>
      </w:r>
      <w:r w:rsidRPr="00036198">
        <w:rPr>
          <w:rFonts w:ascii="微軟正黑體" w:eastAsia="微軟正黑體" w:hAnsi="微軟正黑體"/>
          <w:bCs/>
          <w:sz w:val="28"/>
          <w:szCs w:val="28"/>
        </w:rPr>
        <w:t>7</w:t>
      </w:r>
      <w:r w:rsidRPr="00036198">
        <w:rPr>
          <w:rFonts w:ascii="微軟正黑體" w:eastAsia="微軟正黑體" w:hAnsi="微軟正黑體" w:hint="eastAsia"/>
          <w:bCs/>
          <w:sz w:val="28"/>
          <w:szCs w:val="28"/>
        </w:rPr>
        <w:t>月起轉為正成長，</w:t>
      </w:r>
      <w:r w:rsidR="00BE2971" w:rsidRPr="00036198">
        <w:rPr>
          <w:rFonts w:ascii="微軟正黑體" w:eastAsia="微軟正黑體" w:hAnsi="微軟正黑體" w:hint="eastAsia"/>
          <w:bCs/>
          <w:sz w:val="28"/>
          <w:szCs w:val="28"/>
        </w:rPr>
        <w:t>且7~11月營業額均創下歷年同期新高</w:t>
      </w:r>
      <w:r w:rsidRPr="00036198">
        <w:rPr>
          <w:rFonts w:ascii="微軟正黑體" w:eastAsia="微軟正黑體" w:hAnsi="微軟正黑體" w:hint="eastAsia"/>
          <w:bCs/>
          <w:sz w:val="28"/>
          <w:szCs w:val="28"/>
        </w:rPr>
        <w:t>。</w:t>
      </w:r>
    </w:p>
    <w:p w14:paraId="11B5F8D5" w14:textId="77777777" w:rsidR="00456216" w:rsidRPr="00036198" w:rsidRDefault="00456216" w:rsidP="007E41DB">
      <w:pPr>
        <w:widowControl/>
        <w:spacing w:line="480" w:lineRule="exact"/>
        <w:ind w:leftChars="295" w:left="1274" w:rightChars="-100" w:right="-240" w:hangingChars="202" w:hanging="566"/>
        <w:jc w:val="both"/>
        <w:rPr>
          <w:rFonts w:ascii="微軟正黑體" w:eastAsia="微軟正黑體" w:hAnsi="微軟正黑體"/>
          <w:bCs/>
          <w:sz w:val="28"/>
          <w:szCs w:val="28"/>
        </w:rPr>
      </w:pPr>
      <w:r w:rsidRPr="00036198">
        <w:rPr>
          <w:rFonts w:ascii="微軟正黑體" w:eastAsia="微軟正黑體" w:hAnsi="微軟正黑體" w:hint="eastAsia"/>
          <w:bCs/>
          <w:sz w:val="28"/>
          <w:szCs w:val="28"/>
        </w:rPr>
        <w:t>(二)相關產業就業人數增加、減班休息人數下降，確保勞工就業安定：服務業就業人數由2020年</w:t>
      </w:r>
      <w:r w:rsidRPr="00036198">
        <w:rPr>
          <w:rFonts w:ascii="微軟正黑體" w:eastAsia="微軟正黑體" w:hAnsi="微軟正黑體"/>
          <w:bCs/>
          <w:sz w:val="28"/>
          <w:szCs w:val="28"/>
        </w:rPr>
        <w:t>6</w:t>
      </w:r>
      <w:r w:rsidRPr="00036198">
        <w:rPr>
          <w:rFonts w:ascii="微軟正黑體" w:eastAsia="微軟正黑體" w:hAnsi="微軟正黑體" w:hint="eastAsia"/>
          <w:bCs/>
          <w:sz w:val="28"/>
          <w:szCs w:val="28"/>
        </w:rPr>
        <w:t>月的</w:t>
      </w:r>
      <w:r w:rsidRPr="00036198">
        <w:rPr>
          <w:rFonts w:ascii="微軟正黑體" w:eastAsia="微軟正黑體" w:hAnsi="微軟正黑體"/>
          <w:bCs/>
          <w:sz w:val="28"/>
          <w:szCs w:val="28"/>
        </w:rPr>
        <w:t>685.8</w:t>
      </w:r>
      <w:r w:rsidRPr="00036198">
        <w:rPr>
          <w:rFonts w:ascii="微軟正黑體" w:eastAsia="微軟正黑體" w:hAnsi="微軟正黑體" w:hint="eastAsia"/>
          <w:bCs/>
          <w:sz w:val="28"/>
          <w:szCs w:val="28"/>
        </w:rPr>
        <w:t>萬人提升至</w:t>
      </w:r>
      <w:r w:rsidRPr="00036198">
        <w:rPr>
          <w:rFonts w:ascii="微軟正黑體" w:eastAsia="微軟正黑體" w:hAnsi="微軟正黑體"/>
          <w:bCs/>
          <w:sz w:val="28"/>
          <w:szCs w:val="28"/>
        </w:rPr>
        <w:t>12</w:t>
      </w:r>
      <w:r w:rsidRPr="00036198">
        <w:rPr>
          <w:rFonts w:ascii="微軟正黑體" w:eastAsia="微軟正黑體" w:hAnsi="微軟正黑體" w:hint="eastAsia"/>
          <w:bCs/>
          <w:sz w:val="28"/>
          <w:szCs w:val="28"/>
        </w:rPr>
        <w:t>月的</w:t>
      </w:r>
      <w:r w:rsidRPr="00036198">
        <w:rPr>
          <w:rFonts w:ascii="微軟正黑體" w:eastAsia="微軟正黑體" w:hAnsi="微軟正黑體"/>
          <w:bCs/>
          <w:sz w:val="28"/>
          <w:szCs w:val="28"/>
        </w:rPr>
        <w:t>690.5</w:t>
      </w:r>
      <w:r w:rsidRPr="00036198">
        <w:rPr>
          <w:rFonts w:ascii="微軟正黑體" w:eastAsia="微軟正黑體" w:hAnsi="微軟正黑體" w:hint="eastAsia"/>
          <w:bCs/>
          <w:sz w:val="28"/>
          <w:szCs w:val="28"/>
        </w:rPr>
        <w:t>萬人，實施減班休息人數亦由</w:t>
      </w:r>
      <w:r w:rsidRPr="00036198">
        <w:rPr>
          <w:rFonts w:ascii="微軟正黑體" w:eastAsia="微軟正黑體" w:hAnsi="微軟正黑體"/>
          <w:bCs/>
          <w:sz w:val="28"/>
          <w:szCs w:val="28"/>
        </w:rPr>
        <w:t>6</w:t>
      </w:r>
      <w:r w:rsidRPr="00036198">
        <w:rPr>
          <w:rFonts w:ascii="微軟正黑體" w:eastAsia="微軟正黑體" w:hAnsi="微軟正黑體" w:hint="eastAsia"/>
          <w:bCs/>
          <w:sz w:val="28"/>
          <w:szCs w:val="28"/>
        </w:rPr>
        <w:t>月底的</w:t>
      </w:r>
      <w:r w:rsidRPr="00036198">
        <w:rPr>
          <w:rFonts w:ascii="微軟正黑體" w:eastAsia="微軟正黑體" w:hAnsi="微軟正黑體"/>
          <w:bCs/>
          <w:sz w:val="28"/>
          <w:szCs w:val="28"/>
        </w:rPr>
        <w:t>31,816</w:t>
      </w:r>
      <w:r w:rsidRPr="00036198">
        <w:rPr>
          <w:rFonts w:ascii="微軟正黑體" w:eastAsia="微軟正黑體" w:hAnsi="微軟正黑體" w:hint="eastAsia"/>
          <w:bCs/>
          <w:sz w:val="28"/>
          <w:szCs w:val="28"/>
        </w:rPr>
        <w:t>人，大幅降至</w:t>
      </w:r>
      <w:r w:rsidRPr="00036198">
        <w:rPr>
          <w:rFonts w:ascii="微軟正黑體" w:eastAsia="微軟正黑體" w:hAnsi="微軟正黑體"/>
          <w:bCs/>
          <w:sz w:val="28"/>
          <w:szCs w:val="28"/>
        </w:rPr>
        <w:t>12</w:t>
      </w:r>
      <w:r w:rsidRPr="00036198">
        <w:rPr>
          <w:rFonts w:ascii="微軟正黑體" w:eastAsia="微軟正黑體" w:hAnsi="微軟正黑體" w:hint="eastAsia"/>
          <w:bCs/>
          <w:sz w:val="28"/>
          <w:szCs w:val="28"/>
        </w:rPr>
        <w:t>月底的</w:t>
      </w:r>
      <w:r w:rsidRPr="00036198">
        <w:rPr>
          <w:rFonts w:ascii="微軟正黑體" w:eastAsia="微軟正黑體" w:hAnsi="微軟正黑體"/>
          <w:bCs/>
          <w:sz w:val="28"/>
          <w:szCs w:val="28"/>
        </w:rPr>
        <w:t>6,463</w:t>
      </w:r>
      <w:r w:rsidRPr="00036198">
        <w:rPr>
          <w:rFonts w:ascii="微軟正黑體" w:eastAsia="微軟正黑體" w:hAnsi="微軟正黑體" w:hint="eastAsia"/>
          <w:bCs/>
          <w:sz w:val="28"/>
          <w:szCs w:val="28"/>
        </w:rPr>
        <w:t>人。</w:t>
      </w:r>
    </w:p>
    <w:p w14:paraId="3D946147" w14:textId="30472E2B" w:rsidR="00456216" w:rsidRPr="00036198" w:rsidRDefault="00456216" w:rsidP="007E41DB">
      <w:pPr>
        <w:widowControl/>
        <w:spacing w:line="480" w:lineRule="exact"/>
        <w:ind w:leftChars="295" w:left="1274" w:rightChars="-100" w:right="-240" w:hangingChars="202" w:hanging="566"/>
        <w:jc w:val="both"/>
        <w:rPr>
          <w:rFonts w:ascii="微軟正黑體" w:eastAsia="微軟正黑體" w:hAnsi="微軟正黑體"/>
          <w:bCs/>
          <w:sz w:val="28"/>
          <w:szCs w:val="28"/>
        </w:rPr>
      </w:pPr>
      <w:r w:rsidRPr="00036198">
        <w:rPr>
          <w:rFonts w:ascii="微軟正黑體" w:eastAsia="微軟正黑體" w:hAnsi="微軟正黑體"/>
          <w:bCs/>
          <w:sz w:val="28"/>
          <w:szCs w:val="28"/>
        </w:rPr>
        <w:t>(三)營業</w:t>
      </w:r>
      <w:r w:rsidR="00A0295A" w:rsidRPr="00036198">
        <w:rPr>
          <w:rFonts w:ascii="微軟正黑體" w:eastAsia="微軟正黑體" w:hAnsi="微軟正黑體"/>
          <w:bCs/>
          <w:sz w:val="28"/>
          <w:szCs w:val="28"/>
        </w:rPr>
        <w:t>事業</w:t>
      </w:r>
      <w:r w:rsidRPr="00036198">
        <w:rPr>
          <w:rFonts w:ascii="微軟正黑體" w:eastAsia="微軟正黑體" w:hAnsi="微軟正黑體"/>
          <w:bCs/>
          <w:sz w:val="28"/>
          <w:szCs w:val="28"/>
        </w:rPr>
        <w:t>銷售額及營業稅實徵淨額回升</w:t>
      </w:r>
      <w:r w:rsidR="00A0295A" w:rsidRPr="00036198">
        <w:rPr>
          <w:rFonts w:ascii="微軟正黑體" w:eastAsia="微軟正黑體" w:hAnsi="微軟正黑體" w:hint="eastAsia"/>
          <w:bCs/>
          <w:sz w:val="28"/>
          <w:szCs w:val="28"/>
        </w:rPr>
        <w:t>：營業事業</w:t>
      </w:r>
      <w:r w:rsidRPr="00036198">
        <w:rPr>
          <w:rFonts w:ascii="微軟正黑體" w:eastAsia="微軟正黑體" w:hAnsi="微軟正黑體" w:hint="eastAsia"/>
          <w:bCs/>
          <w:sz w:val="28"/>
          <w:szCs w:val="28"/>
        </w:rPr>
        <w:t>銷售額</w:t>
      </w:r>
      <w:r w:rsidR="00BE2971" w:rsidRPr="00036198">
        <w:rPr>
          <w:rFonts w:ascii="微軟正黑體" w:eastAsia="微軟正黑體" w:hAnsi="微軟正黑體" w:hint="eastAsia"/>
          <w:bCs/>
          <w:sz w:val="28"/>
          <w:szCs w:val="28"/>
        </w:rPr>
        <w:t>、實徵</w:t>
      </w:r>
      <w:proofErr w:type="gramStart"/>
      <w:r w:rsidR="00BE2971" w:rsidRPr="00036198">
        <w:rPr>
          <w:rFonts w:ascii="微軟正黑體" w:eastAsia="微軟正黑體" w:hAnsi="微軟正黑體" w:hint="eastAsia"/>
          <w:bCs/>
          <w:sz w:val="28"/>
          <w:szCs w:val="28"/>
        </w:rPr>
        <w:t>淨額均</w:t>
      </w:r>
      <w:r w:rsidRPr="00036198">
        <w:rPr>
          <w:rFonts w:ascii="微軟正黑體" w:eastAsia="微軟正黑體" w:hAnsi="微軟正黑體" w:hint="eastAsia"/>
          <w:bCs/>
          <w:sz w:val="28"/>
          <w:szCs w:val="28"/>
        </w:rPr>
        <w:t>由2020年</w:t>
      </w:r>
      <w:proofErr w:type="gramEnd"/>
      <w:r w:rsidRPr="00036198">
        <w:rPr>
          <w:rFonts w:ascii="微軟正黑體" w:eastAsia="微軟正黑體" w:hAnsi="微軟正黑體" w:hint="eastAsia"/>
          <w:bCs/>
          <w:sz w:val="28"/>
          <w:szCs w:val="28"/>
        </w:rPr>
        <w:t>5-6月的負成長</w:t>
      </w:r>
      <w:r w:rsidR="00BE2971" w:rsidRPr="00036198">
        <w:rPr>
          <w:rFonts w:ascii="微軟正黑體" w:eastAsia="微軟正黑體" w:hAnsi="微軟正黑體" w:hint="eastAsia"/>
          <w:bCs/>
          <w:sz w:val="28"/>
          <w:szCs w:val="28"/>
        </w:rPr>
        <w:t>，下半年各期（</w:t>
      </w:r>
      <w:r w:rsidR="002C6D2E" w:rsidRPr="00036198">
        <w:rPr>
          <w:rFonts w:ascii="微軟正黑體" w:eastAsia="微軟正黑體" w:hAnsi="微軟正黑體" w:hint="eastAsia"/>
          <w:bCs/>
          <w:sz w:val="28"/>
          <w:szCs w:val="28"/>
        </w:rPr>
        <w:t>7</w:t>
      </w:r>
      <w:r w:rsidR="00BE2971" w:rsidRPr="00036198">
        <w:rPr>
          <w:rFonts w:ascii="微軟正黑體" w:eastAsia="微軟正黑體" w:hAnsi="微軟正黑體" w:hint="eastAsia"/>
          <w:bCs/>
          <w:sz w:val="28"/>
          <w:szCs w:val="28"/>
        </w:rPr>
        <w:t>至</w:t>
      </w:r>
      <w:r w:rsidR="002C6D2E" w:rsidRPr="00036198">
        <w:rPr>
          <w:rFonts w:ascii="微軟正黑體" w:eastAsia="微軟正黑體" w:hAnsi="微軟正黑體" w:hint="eastAsia"/>
          <w:bCs/>
          <w:sz w:val="28"/>
          <w:szCs w:val="28"/>
        </w:rPr>
        <w:t>8</w:t>
      </w:r>
      <w:r w:rsidR="00BE2971" w:rsidRPr="00036198">
        <w:rPr>
          <w:rFonts w:ascii="微軟正黑體" w:eastAsia="微軟正黑體" w:hAnsi="微軟正黑體" w:hint="eastAsia"/>
          <w:bCs/>
          <w:sz w:val="28"/>
          <w:szCs w:val="28"/>
        </w:rPr>
        <w:t>月、</w:t>
      </w:r>
      <w:r w:rsidR="002C6D2E" w:rsidRPr="00036198">
        <w:rPr>
          <w:rFonts w:ascii="微軟正黑體" w:eastAsia="微軟正黑體" w:hAnsi="微軟正黑體" w:hint="eastAsia"/>
          <w:bCs/>
          <w:sz w:val="28"/>
          <w:szCs w:val="28"/>
        </w:rPr>
        <w:t>9至10</w:t>
      </w:r>
      <w:r w:rsidR="00BE2971" w:rsidRPr="00036198">
        <w:rPr>
          <w:rFonts w:ascii="微軟正黑體" w:eastAsia="微軟正黑體" w:hAnsi="微軟正黑體" w:hint="eastAsia"/>
          <w:bCs/>
          <w:sz w:val="28"/>
          <w:szCs w:val="28"/>
        </w:rPr>
        <w:t>月</w:t>
      </w:r>
      <w:r w:rsidR="002C6D2E" w:rsidRPr="00036198">
        <w:rPr>
          <w:rFonts w:ascii="微軟正黑體" w:eastAsia="微軟正黑體" w:hAnsi="微軟正黑體" w:hint="eastAsia"/>
          <w:bCs/>
          <w:sz w:val="28"/>
          <w:szCs w:val="28"/>
        </w:rPr>
        <w:t>、11至12</w:t>
      </w:r>
      <w:r w:rsidR="00BE2971" w:rsidRPr="00036198">
        <w:rPr>
          <w:rFonts w:ascii="微軟正黑體" w:eastAsia="微軟正黑體" w:hAnsi="微軟正黑體" w:hint="eastAsia"/>
          <w:bCs/>
          <w:sz w:val="28"/>
          <w:szCs w:val="28"/>
        </w:rPr>
        <w:t>月）</w:t>
      </w:r>
      <w:proofErr w:type="gramStart"/>
      <w:r w:rsidR="00BE2971" w:rsidRPr="00036198">
        <w:rPr>
          <w:rFonts w:ascii="微軟正黑體" w:eastAsia="微軟正黑體" w:hAnsi="微軟正黑體" w:hint="eastAsia"/>
          <w:bCs/>
          <w:sz w:val="28"/>
          <w:szCs w:val="28"/>
        </w:rPr>
        <w:t>均較前年</w:t>
      </w:r>
      <w:proofErr w:type="gramEnd"/>
      <w:r w:rsidR="00BE2971" w:rsidRPr="00036198">
        <w:rPr>
          <w:rFonts w:ascii="微軟正黑體" w:eastAsia="微軟正黑體" w:hAnsi="微軟正黑體" w:hint="eastAsia"/>
          <w:bCs/>
          <w:sz w:val="28"/>
          <w:szCs w:val="28"/>
        </w:rPr>
        <w:t>同期成長。</w:t>
      </w:r>
    </w:p>
    <w:p w14:paraId="47F8CB26" w14:textId="2759DBE6" w:rsidR="00036198" w:rsidRPr="00036198" w:rsidRDefault="00036198" w:rsidP="00036198">
      <w:pPr>
        <w:pStyle w:val="a3"/>
        <w:widowControl/>
        <w:numPr>
          <w:ilvl w:val="0"/>
          <w:numId w:val="2"/>
        </w:numPr>
        <w:spacing w:line="480" w:lineRule="exact"/>
        <w:ind w:leftChars="0"/>
        <w:jc w:val="both"/>
        <w:rPr>
          <w:rFonts w:ascii="微軟正黑體" w:eastAsia="微軟正黑體" w:hAnsi="微軟正黑體"/>
          <w:bCs/>
          <w:sz w:val="28"/>
          <w:szCs w:val="28"/>
        </w:rPr>
      </w:pPr>
      <w:r w:rsidRPr="00036198">
        <w:rPr>
          <w:rFonts w:ascii="微軟正黑體" w:eastAsia="微軟正黑體" w:hAnsi="微軟正黑體" w:hint="eastAsia"/>
          <w:bCs/>
          <w:sz w:val="28"/>
          <w:szCs w:val="28"/>
        </w:rPr>
        <w:t>亦有民間調查可佐證政府研究資訊</w:t>
      </w:r>
    </w:p>
    <w:p w14:paraId="2E964686" w14:textId="0058688D" w:rsidR="00036198" w:rsidRPr="00036198" w:rsidRDefault="00036198" w:rsidP="00036198">
      <w:pPr>
        <w:pStyle w:val="a3"/>
        <w:spacing w:line="480" w:lineRule="exact"/>
        <w:ind w:leftChars="295" w:left="708" w:firstLineChars="284" w:firstLine="795"/>
        <w:jc w:val="both"/>
        <w:rPr>
          <w:rFonts w:ascii="微軟正黑體" w:eastAsia="微軟正黑體" w:hAnsi="微軟正黑體"/>
          <w:bCs/>
          <w:sz w:val="28"/>
          <w:szCs w:val="28"/>
        </w:rPr>
      </w:pPr>
      <w:r w:rsidRPr="00036198">
        <w:rPr>
          <w:rFonts w:ascii="微軟正黑體" w:eastAsia="微軟正黑體" w:hAnsi="微軟正黑體" w:hint="eastAsia"/>
          <w:bCs/>
          <w:sz w:val="28"/>
          <w:szCs w:val="28"/>
        </w:rPr>
        <w:t>有關發送三倍</w:t>
      </w:r>
      <w:proofErr w:type="gramStart"/>
      <w:r w:rsidRPr="00036198">
        <w:rPr>
          <w:rFonts w:ascii="微軟正黑體" w:eastAsia="微軟正黑體" w:hAnsi="微軟正黑體" w:hint="eastAsia"/>
          <w:bCs/>
          <w:sz w:val="28"/>
          <w:szCs w:val="28"/>
        </w:rPr>
        <w:t>券</w:t>
      </w:r>
      <w:proofErr w:type="gramEnd"/>
      <w:r w:rsidRPr="00036198">
        <w:rPr>
          <w:rFonts w:ascii="微軟正黑體" w:eastAsia="微軟正黑體" w:hAnsi="微軟正黑體" w:hint="eastAsia"/>
          <w:bCs/>
          <w:sz w:val="28"/>
          <w:szCs w:val="28"/>
        </w:rPr>
        <w:t>對民眾消費端的影響，根據</w:t>
      </w:r>
      <w:proofErr w:type="gramStart"/>
      <w:r w:rsidRPr="00036198">
        <w:rPr>
          <w:rFonts w:ascii="微軟正黑體" w:eastAsia="微軟正黑體" w:hAnsi="微軟正黑體" w:hint="eastAsia"/>
          <w:bCs/>
          <w:sz w:val="28"/>
          <w:szCs w:val="28"/>
        </w:rPr>
        <w:t>東方線上消費者</w:t>
      </w:r>
      <w:proofErr w:type="gramEnd"/>
      <w:r w:rsidRPr="00036198">
        <w:rPr>
          <w:rFonts w:ascii="微軟正黑體" w:eastAsia="微軟正黑體" w:hAnsi="微軟正黑體" w:hint="eastAsia"/>
          <w:bCs/>
          <w:sz w:val="28"/>
          <w:szCs w:val="28"/>
        </w:rPr>
        <w:t>研究集團2020年7月調查，約</w:t>
      </w:r>
      <w:proofErr w:type="gramStart"/>
      <w:r w:rsidRPr="00036198">
        <w:rPr>
          <w:rFonts w:ascii="微軟正黑體" w:eastAsia="微軟正黑體" w:hAnsi="微軟正黑體"/>
          <w:bCs/>
          <w:sz w:val="28"/>
          <w:szCs w:val="28"/>
        </w:rPr>
        <w:t>4</w:t>
      </w:r>
      <w:r w:rsidRPr="00036198">
        <w:rPr>
          <w:rFonts w:ascii="微軟正黑體" w:eastAsia="微軟正黑體" w:hAnsi="微軟正黑體" w:hint="eastAsia"/>
          <w:bCs/>
          <w:sz w:val="28"/>
          <w:szCs w:val="28"/>
        </w:rPr>
        <w:t>成</w:t>
      </w:r>
      <w:proofErr w:type="gramEnd"/>
      <w:r w:rsidRPr="00036198">
        <w:rPr>
          <w:rFonts w:ascii="微軟正黑體" w:eastAsia="微軟正黑體" w:hAnsi="微軟正黑體" w:hint="eastAsia"/>
          <w:bCs/>
          <w:sz w:val="28"/>
          <w:szCs w:val="28"/>
        </w:rPr>
        <w:t>的民眾領取三倍</w:t>
      </w:r>
      <w:proofErr w:type="gramStart"/>
      <w:r w:rsidRPr="00036198">
        <w:rPr>
          <w:rFonts w:ascii="微軟正黑體" w:eastAsia="微軟正黑體" w:hAnsi="微軟正黑體" w:hint="eastAsia"/>
          <w:bCs/>
          <w:sz w:val="28"/>
          <w:szCs w:val="28"/>
        </w:rPr>
        <w:t>券</w:t>
      </w:r>
      <w:proofErr w:type="gramEnd"/>
      <w:r w:rsidRPr="00036198">
        <w:rPr>
          <w:rFonts w:ascii="微軟正黑體" w:eastAsia="微軟正黑體" w:hAnsi="微軟正黑體" w:hint="eastAsia"/>
          <w:bCs/>
          <w:sz w:val="28"/>
          <w:szCs w:val="28"/>
        </w:rPr>
        <w:t>後，消費金額超過3</w:t>
      </w:r>
      <w:r w:rsidRPr="00036198">
        <w:rPr>
          <w:rFonts w:ascii="微軟正黑體" w:eastAsia="微軟正黑體" w:hAnsi="微軟正黑體"/>
          <w:bCs/>
          <w:sz w:val="28"/>
          <w:szCs w:val="28"/>
        </w:rPr>
        <w:t>,500</w:t>
      </w:r>
      <w:r w:rsidRPr="00036198">
        <w:rPr>
          <w:rFonts w:ascii="微軟正黑體" w:eastAsia="微軟正黑體" w:hAnsi="微軟正黑體" w:hint="eastAsia"/>
          <w:bCs/>
          <w:sz w:val="28"/>
          <w:szCs w:val="28"/>
        </w:rPr>
        <w:t>元、甚至有7%的民眾消費超過9,000元。</w:t>
      </w:r>
      <w:r w:rsidR="004B14E0">
        <w:rPr>
          <w:rFonts w:ascii="微軟正黑體" w:eastAsia="微軟正黑體" w:hAnsi="微軟正黑體" w:hint="eastAsia"/>
          <w:bCs/>
          <w:sz w:val="28"/>
          <w:szCs w:val="28"/>
        </w:rPr>
        <w:t>顯現刺激消費效果良好。</w:t>
      </w:r>
    </w:p>
    <w:p w14:paraId="68012C87" w14:textId="190780BC" w:rsidR="001168A9" w:rsidRPr="00E9393D" w:rsidRDefault="00C86A75" w:rsidP="007E41DB">
      <w:pPr>
        <w:pStyle w:val="a3"/>
        <w:widowControl/>
        <w:numPr>
          <w:ilvl w:val="0"/>
          <w:numId w:val="2"/>
        </w:numPr>
        <w:spacing w:line="480" w:lineRule="exact"/>
        <w:ind w:leftChars="0"/>
        <w:jc w:val="both"/>
        <w:rPr>
          <w:rFonts w:ascii="微軟正黑體" w:eastAsia="微軟正黑體" w:hAnsi="微軟正黑體" w:hint="eastAsia"/>
          <w:bCs/>
          <w:sz w:val="28"/>
          <w:szCs w:val="28"/>
        </w:rPr>
      </w:pPr>
      <w:r w:rsidRPr="00036198">
        <w:rPr>
          <w:rFonts w:ascii="微軟正黑體" w:eastAsia="微軟正黑體" w:hAnsi="微軟正黑體" w:hint="eastAsia"/>
          <w:bCs/>
          <w:sz w:val="28"/>
          <w:szCs w:val="28"/>
        </w:rPr>
        <w:t>綜上，</w:t>
      </w:r>
      <w:r w:rsidR="008D5FAD" w:rsidRPr="00036198">
        <w:rPr>
          <w:rFonts w:ascii="微軟正黑體" w:eastAsia="微軟正黑體" w:hAnsi="微軟正黑體" w:hint="eastAsia"/>
          <w:bCs/>
          <w:sz w:val="28"/>
          <w:szCs w:val="28"/>
        </w:rPr>
        <w:t>台灣去</w:t>
      </w:r>
      <w:r w:rsidR="008D5FAD">
        <w:rPr>
          <w:rFonts w:ascii="微軟正黑體" w:eastAsia="微軟正黑體" w:hAnsi="微軟正黑體" w:hint="eastAsia"/>
          <w:bCs/>
          <w:sz w:val="28"/>
          <w:szCs w:val="28"/>
        </w:rPr>
        <w:t>年發放振興三倍</w:t>
      </w:r>
      <w:proofErr w:type="gramStart"/>
      <w:r w:rsidR="008D5FAD">
        <w:rPr>
          <w:rFonts w:ascii="微軟正黑體" w:eastAsia="微軟正黑體" w:hAnsi="微軟正黑體" w:hint="eastAsia"/>
          <w:bCs/>
          <w:sz w:val="28"/>
          <w:szCs w:val="28"/>
        </w:rPr>
        <w:t>券</w:t>
      </w:r>
      <w:proofErr w:type="gramEnd"/>
      <w:r w:rsidR="008D5FAD">
        <w:rPr>
          <w:rFonts w:ascii="微軟正黑體" w:eastAsia="微軟正黑體" w:hAnsi="微軟正黑體" w:hint="eastAsia"/>
          <w:bCs/>
          <w:sz w:val="28"/>
          <w:szCs w:val="28"/>
        </w:rPr>
        <w:t>，不僅</w:t>
      </w:r>
      <w:r w:rsidR="00CE55F5">
        <w:rPr>
          <w:rFonts w:ascii="微軟正黑體" w:eastAsia="微軟正黑體" w:hAnsi="微軟正黑體" w:hint="eastAsia"/>
          <w:color w:val="111111"/>
          <w:spacing w:val="15"/>
          <w:sz w:val="27"/>
          <w:szCs w:val="27"/>
          <w:shd w:val="clear" w:color="auto" w:fill="FFFFFF"/>
        </w:rPr>
        <w:t>成功促進消費、刺激經濟，穩定就業、讓民眾收入增加、政府財政稅收也增加</w:t>
      </w:r>
      <w:r w:rsidR="00F70628">
        <w:rPr>
          <w:rFonts w:ascii="微軟正黑體" w:eastAsia="微軟正黑體" w:hAnsi="微軟正黑體" w:hint="eastAsia"/>
          <w:color w:val="111111"/>
          <w:spacing w:val="15"/>
          <w:sz w:val="27"/>
          <w:szCs w:val="27"/>
          <w:shd w:val="clear" w:color="auto" w:fill="FFFFFF"/>
        </w:rPr>
        <w:t>。</w:t>
      </w:r>
    </w:p>
    <w:p w14:paraId="31A0B39C" w14:textId="77777777" w:rsidR="00E9393D" w:rsidRPr="00236772" w:rsidRDefault="00E9393D" w:rsidP="00E9393D">
      <w:pPr>
        <w:pStyle w:val="a3"/>
        <w:widowControl/>
        <w:spacing w:line="480" w:lineRule="exact"/>
        <w:ind w:leftChars="0" w:left="720"/>
        <w:jc w:val="both"/>
        <w:rPr>
          <w:rFonts w:ascii="微軟正黑體" w:eastAsia="微軟正黑體" w:hAnsi="微軟正黑體"/>
          <w:bCs/>
          <w:sz w:val="28"/>
          <w:szCs w:val="28"/>
        </w:rPr>
      </w:pPr>
    </w:p>
    <w:p w14:paraId="3E60C86C" w14:textId="167C3085" w:rsidR="001168A9" w:rsidRPr="00A4226E" w:rsidRDefault="001168A9" w:rsidP="007943F4">
      <w:pPr>
        <w:autoSpaceDE w:val="0"/>
        <w:autoSpaceDN w:val="0"/>
        <w:adjustRightInd w:val="0"/>
        <w:snapToGrid w:val="0"/>
        <w:spacing w:beforeLines="50" w:before="180" w:line="0" w:lineRule="atLeast"/>
        <w:jc w:val="both"/>
        <w:textAlignment w:val="baseline"/>
        <w:rPr>
          <w:rFonts w:ascii="微軟正黑體" w:eastAsia="微軟正黑體" w:hAnsi="微軟正黑體"/>
          <w:bCs/>
          <w:sz w:val="28"/>
          <w:szCs w:val="28"/>
        </w:rPr>
      </w:pPr>
      <w:r w:rsidRPr="00A4226E">
        <w:rPr>
          <w:rFonts w:ascii="微軟正黑體" w:eastAsia="微軟正黑體" w:hAnsi="微軟正黑體" w:hint="eastAsia"/>
          <w:bCs/>
          <w:sz w:val="28"/>
          <w:szCs w:val="28"/>
        </w:rPr>
        <w:t>聯絡人：</w:t>
      </w:r>
      <w:r w:rsidR="00C86A75" w:rsidRPr="00A4226E">
        <w:rPr>
          <w:rFonts w:ascii="微軟正黑體" w:eastAsia="微軟正黑體" w:hAnsi="微軟正黑體" w:hint="eastAsia"/>
          <w:bCs/>
          <w:sz w:val="28"/>
          <w:szCs w:val="28"/>
        </w:rPr>
        <w:t>吳明蕙</w:t>
      </w:r>
      <w:r w:rsidR="00E62F51" w:rsidRPr="00A4226E">
        <w:rPr>
          <w:rFonts w:ascii="微軟正黑體" w:eastAsia="微軟正黑體" w:hAnsi="微軟正黑體" w:hint="eastAsia"/>
          <w:bCs/>
          <w:sz w:val="28"/>
          <w:szCs w:val="28"/>
        </w:rPr>
        <w:t>處長</w:t>
      </w:r>
      <w:r w:rsidRPr="00A4226E">
        <w:rPr>
          <w:rFonts w:ascii="微軟正黑體" w:eastAsia="微軟正黑體" w:hAnsi="微軟正黑體" w:hint="eastAsia"/>
          <w:bCs/>
          <w:sz w:val="28"/>
          <w:szCs w:val="28"/>
        </w:rPr>
        <w:t xml:space="preserve"> </w:t>
      </w:r>
    </w:p>
    <w:p w14:paraId="21F5B186" w14:textId="01B67ABB" w:rsidR="007402E6" w:rsidRPr="00A4226E" w:rsidRDefault="001168A9" w:rsidP="001168A9">
      <w:pPr>
        <w:autoSpaceDE w:val="0"/>
        <w:autoSpaceDN w:val="0"/>
        <w:adjustRightInd w:val="0"/>
        <w:snapToGrid w:val="0"/>
        <w:spacing w:line="0" w:lineRule="atLeast"/>
        <w:jc w:val="both"/>
        <w:textAlignment w:val="baseline"/>
        <w:rPr>
          <w:rFonts w:ascii="微軟正黑體" w:eastAsia="微軟正黑體" w:hAnsi="微軟正黑體"/>
          <w:bCs/>
          <w:sz w:val="28"/>
          <w:szCs w:val="28"/>
        </w:rPr>
      </w:pPr>
      <w:r w:rsidRPr="00A4226E">
        <w:rPr>
          <w:rFonts w:ascii="微軟正黑體" w:eastAsia="微軟正黑體" w:hAnsi="微軟正黑體" w:hint="eastAsia"/>
          <w:bCs/>
          <w:sz w:val="28"/>
          <w:szCs w:val="28"/>
        </w:rPr>
        <w:t>辦公室電話：(</w:t>
      </w:r>
      <w:r w:rsidR="00E62F51" w:rsidRPr="00A4226E">
        <w:rPr>
          <w:rFonts w:ascii="微軟正黑體" w:eastAsia="微軟正黑體" w:hAnsi="微軟正黑體" w:hint="eastAsia"/>
          <w:bCs/>
          <w:sz w:val="28"/>
          <w:szCs w:val="28"/>
        </w:rPr>
        <w:t>02</w:t>
      </w:r>
      <w:r w:rsidRPr="00A4226E">
        <w:rPr>
          <w:rFonts w:ascii="微軟正黑體" w:eastAsia="微軟正黑體" w:hAnsi="微軟正黑體" w:hint="eastAsia"/>
          <w:bCs/>
          <w:sz w:val="28"/>
          <w:szCs w:val="28"/>
        </w:rPr>
        <w:t>)23</w:t>
      </w:r>
      <w:r w:rsidR="00E62F51" w:rsidRPr="00A4226E">
        <w:rPr>
          <w:rFonts w:ascii="微軟正黑體" w:eastAsia="微軟正黑體" w:hAnsi="微軟正黑體" w:hint="eastAsia"/>
          <w:bCs/>
          <w:sz w:val="28"/>
          <w:szCs w:val="28"/>
        </w:rPr>
        <w:t>16-5300分機</w:t>
      </w:r>
      <w:r w:rsidR="00C86A75" w:rsidRPr="00A4226E">
        <w:rPr>
          <w:rFonts w:ascii="微軟正黑體" w:eastAsia="微軟正黑體" w:hAnsi="微軟正黑體" w:hint="eastAsia"/>
          <w:bCs/>
          <w:sz w:val="28"/>
          <w:szCs w:val="28"/>
        </w:rPr>
        <w:t>5851</w:t>
      </w:r>
    </w:p>
    <w:sectPr w:rsidR="007402E6" w:rsidRPr="00A422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9703" w14:textId="77777777" w:rsidR="002960A1" w:rsidRDefault="002960A1"/>
  </w:endnote>
  <w:endnote w:type="continuationSeparator" w:id="0">
    <w:p w14:paraId="29307272" w14:textId="77777777" w:rsidR="002960A1" w:rsidRDefault="00296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8F163" w14:textId="77777777" w:rsidR="002960A1" w:rsidRDefault="002960A1"/>
  </w:footnote>
  <w:footnote w:type="continuationSeparator" w:id="0">
    <w:p w14:paraId="19742993" w14:textId="77777777" w:rsidR="002960A1" w:rsidRDefault="002960A1"/>
  </w:footnote>
  <w:footnote w:id="1">
    <w:p w14:paraId="0375B07A" w14:textId="5A22C975" w:rsidR="00103149" w:rsidRDefault="00103149">
      <w:pPr>
        <w:pStyle w:val="af1"/>
      </w:pPr>
      <w:r>
        <w:rPr>
          <w:rStyle w:val="af3"/>
        </w:rPr>
        <w:footnoteRef/>
      </w:r>
      <w:r>
        <w:t xml:space="preserve"> </w:t>
      </w:r>
      <w:r>
        <w:rPr>
          <w:rFonts w:hint="eastAsia"/>
        </w:rPr>
        <w:t xml:space="preserve">IMF, </w:t>
      </w:r>
      <w:r w:rsidRPr="00103149">
        <w:t>Fiscal Monitor: Policies for the Recovery</w:t>
      </w:r>
      <w:r>
        <w:rPr>
          <w:rFonts w:hint="eastAsia"/>
        </w:rPr>
        <w:t>. Oct.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4C0"/>
    <w:multiLevelType w:val="hybridMultilevel"/>
    <w:tmpl w:val="344CC892"/>
    <w:lvl w:ilvl="0" w:tplc="04090015">
      <w:start w:val="1"/>
      <w:numFmt w:val="taiwaneseCountingThousand"/>
      <w:lvlText w:val="%1、"/>
      <w:lvlJc w:val="left"/>
      <w:pPr>
        <w:ind w:left="720" w:hanging="720"/>
      </w:pPr>
      <w:rPr>
        <w:rFonts w:hint="default"/>
      </w:rPr>
    </w:lvl>
    <w:lvl w:ilvl="1" w:tplc="B92C7C68">
      <w:start w:val="1"/>
      <w:numFmt w:val="taiwaneseCountingThousand"/>
      <w:lvlText w:val="%2、"/>
      <w:lvlJc w:val="left"/>
      <w:pPr>
        <w:ind w:left="1200" w:hanging="720"/>
      </w:pPr>
      <w:rPr>
        <w:rFonts w:hint="default"/>
      </w:rPr>
    </w:lvl>
    <w:lvl w:ilvl="2" w:tplc="CCA20A70">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641F6F"/>
    <w:multiLevelType w:val="hybridMultilevel"/>
    <w:tmpl w:val="4754F482"/>
    <w:lvl w:ilvl="0" w:tplc="A2007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2B767964"/>
    <w:multiLevelType w:val="hybridMultilevel"/>
    <w:tmpl w:val="18F4B318"/>
    <w:lvl w:ilvl="0" w:tplc="54D49AD2">
      <w:start w:val="1"/>
      <w:numFmt w:val="taiwaneseCountingThousand"/>
      <w:lvlText w:val="(%1)"/>
      <w:lvlJc w:val="left"/>
      <w:pPr>
        <w:ind w:left="600" w:hanging="450"/>
      </w:pPr>
      <w:rPr>
        <w:b w:val="0"/>
        <w:color w:val="000000"/>
        <w:sz w:val="28"/>
        <w:szCs w:val="28"/>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VerticalSpacing w:val="2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A9"/>
    <w:rsid w:val="00011927"/>
    <w:rsid w:val="00036198"/>
    <w:rsid w:val="00043310"/>
    <w:rsid w:val="00044698"/>
    <w:rsid w:val="00047DC1"/>
    <w:rsid w:val="000807B1"/>
    <w:rsid w:val="000813CC"/>
    <w:rsid w:val="00103149"/>
    <w:rsid w:val="001168A9"/>
    <w:rsid w:val="00172D2B"/>
    <w:rsid w:val="00187A8A"/>
    <w:rsid w:val="00207B65"/>
    <w:rsid w:val="00215FF7"/>
    <w:rsid w:val="0023185C"/>
    <w:rsid w:val="00236772"/>
    <w:rsid w:val="002960A1"/>
    <w:rsid w:val="002A7E9D"/>
    <w:rsid w:val="002C6D2E"/>
    <w:rsid w:val="003014BF"/>
    <w:rsid w:val="003072DC"/>
    <w:rsid w:val="00341CC7"/>
    <w:rsid w:val="00396B57"/>
    <w:rsid w:val="003A3761"/>
    <w:rsid w:val="003E5267"/>
    <w:rsid w:val="004246E7"/>
    <w:rsid w:val="00456216"/>
    <w:rsid w:val="00485D4A"/>
    <w:rsid w:val="00485F61"/>
    <w:rsid w:val="0049070C"/>
    <w:rsid w:val="004B14E0"/>
    <w:rsid w:val="0050148A"/>
    <w:rsid w:val="00520131"/>
    <w:rsid w:val="00522E3E"/>
    <w:rsid w:val="00573DA7"/>
    <w:rsid w:val="005764BD"/>
    <w:rsid w:val="005F4605"/>
    <w:rsid w:val="005F5034"/>
    <w:rsid w:val="0062401D"/>
    <w:rsid w:val="00633C4A"/>
    <w:rsid w:val="00635FC0"/>
    <w:rsid w:val="006712AF"/>
    <w:rsid w:val="006829AF"/>
    <w:rsid w:val="00692216"/>
    <w:rsid w:val="006E2239"/>
    <w:rsid w:val="007402E6"/>
    <w:rsid w:val="0074096C"/>
    <w:rsid w:val="00741773"/>
    <w:rsid w:val="00746582"/>
    <w:rsid w:val="00767371"/>
    <w:rsid w:val="00781C09"/>
    <w:rsid w:val="00783C8B"/>
    <w:rsid w:val="007850DA"/>
    <w:rsid w:val="007943F4"/>
    <w:rsid w:val="007D5222"/>
    <w:rsid w:val="007E41DB"/>
    <w:rsid w:val="008300AB"/>
    <w:rsid w:val="00856AE5"/>
    <w:rsid w:val="0088603F"/>
    <w:rsid w:val="008D5FAD"/>
    <w:rsid w:val="008E252E"/>
    <w:rsid w:val="00922357"/>
    <w:rsid w:val="00925256"/>
    <w:rsid w:val="00937AF4"/>
    <w:rsid w:val="00942328"/>
    <w:rsid w:val="00945E12"/>
    <w:rsid w:val="00945E28"/>
    <w:rsid w:val="0096470C"/>
    <w:rsid w:val="00966D55"/>
    <w:rsid w:val="00984A0C"/>
    <w:rsid w:val="009A0838"/>
    <w:rsid w:val="009E1AD1"/>
    <w:rsid w:val="009E22C2"/>
    <w:rsid w:val="00A0295A"/>
    <w:rsid w:val="00A32BB2"/>
    <w:rsid w:val="00A4226E"/>
    <w:rsid w:val="00A42DA8"/>
    <w:rsid w:val="00A5270C"/>
    <w:rsid w:val="00A53ECC"/>
    <w:rsid w:val="00A54443"/>
    <w:rsid w:val="00A60A72"/>
    <w:rsid w:val="00A73BDB"/>
    <w:rsid w:val="00A86605"/>
    <w:rsid w:val="00A9158F"/>
    <w:rsid w:val="00A94170"/>
    <w:rsid w:val="00A97EBF"/>
    <w:rsid w:val="00B7119C"/>
    <w:rsid w:val="00BA1EA9"/>
    <w:rsid w:val="00BC2FFB"/>
    <w:rsid w:val="00BE2971"/>
    <w:rsid w:val="00BE3D34"/>
    <w:rsid w:val="00C1593D"/>
    <w:rsid w:val="00C408EA"/>
    <w:rsid w:val="00C86A75"/>
    <w:rsid w:val="00CB73C0"/>
    <w:rsid w:val="00CD25CE"/>
    <w:rsid w:val="00CE55F5"/>
    <w:rsid w:val="00CF23DF"/>
    <w:rsid w:val="00D15301"/>
    <w:rsid w:val="00D20DC5"/>
    <w:rsid w:val="00D75CC7"/>
    <w:rsid w:val="00DA048A"/>
    <w:rsid w:val="00DA709A"/>
    <w:rsid w:val="00DD7763"/>
    <w:rsid w:val="00E01121"/>
    <w:rsid w:val="00E3117E"/>
    <w:rsid w:val="00E415CD"/>
    <w:rsid w:val="00E504D7"/>
    <w:rsid w:val="00E62F51"/>
    <w:rsid w:val="00E85CBE"/>
    <w:rsid w:val="00E912B7"/>
    <w:rsid w:val="00E9393D"/>
    <w:rsid w:val="00EC775D"/>
    <w:rsid w:val="00F70628"/>
    <w:rsid w:val="00F835E9"/>
    <w:rsid w:val="00FA2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A9"/>
    <w:pPr>
      <w:widowControl w:val="0"/>
    </w:pPr>
    <w:rPr>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4"/>
    <w:uiPriority w:val="34"/>
    <w:qFormat/>
    <w:rsid w:val="001168A9"/>
    <w:pPr>
      <w:ind w:leftChars="200" w:left="480"/>
    </w:pPr>
  </w:style>
  <w:style w:type="character" w:customStyle="1" w:styleId="a4">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3"/>
    <w:uiPriority w:val="34"/>
    <w:qFormat/>
    <w:rsid w:val="00E62F51"/>
    <w:rPr>
      <w:szCs w:val="22"/>
      <w:lang w:eastAsia="zh-TW"/>
    </w:rPr>
  </w:style>
  <w:style w:type="paragraph" w:styleId="a5">
    <w:name w:val="Balloon Text"/>
    <w:basedOn w:val="a"/>
    <w:link w:val="a6"/>
    <w:uiPriority w:val="99"/>
    <w:semiHidden/>
    <w:unhideWhenUsed/>
    <w:rsid w:val="00783C8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83C8B"/>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783C8B"/>
    <w:pPr>
      <w:tabs>
        <w:tab w:val="center" w:pos="4153"/>
        <w:tab w:val="right" w:pos="8306"/>
      </w:tabs>
      <w:snapToGrid w:val="0"/>
    </w:pPr>
    <w:rPr>
      <w:sz w:val="20"/>
      <w:szCs w:val="20"/>
    </w:rPr>
  </w:style>
  <w:style w:type="character" w:customStyle="1" w:styleId="a8">
    <w:name w:val="頁首 字元"/>
    <w:basedOn w:val="a0"/>
    <w:link w:val="a7"/>
    <w:uiPriority w:val="99"/>
    <w:rsid w:val="00783C8B"/>
    <w:rPr>
      <w:sz w:val="20"/>
      <w:szCs w:val="20"/>
      <w:lang w:eastAsia="zh-TW"/>
    </w:rPr>
  </w:style>
  <w:style w:type="paragraph" w:styleId="a9">
    <w:name w:val="footer"/>
    <w:basedOn w:val="a"/>
    <w:link w:val="aa"/>
    <w:uiPriority w:val="99"/>
    <w:unhideWhenUsed/>
    <w:rsid w:val="00783C8B"/>
    <w:pPr>
      <w:tabs>
        <w:tab w:val="center" w:pos="4153"/>
        <w:tab w:val="right" w:pos="8306"/>
      </w:tabs>
      <w:snapToGrid w:val="0"/>
    </w:pPr>
    <w:rPr>
      <w:sz w:val="20"/>
      <w:szCs w:val="20"/>
    </w:rPr>
  </w:style>
  <w:style w:type="character" w:customStyle="1" w:styleId="aa">
    <w:name w:val="頁尾 字元"/>
    <w:basedOn w:val="a0"/>
    <w:link w:val="a9"/>
    <w:uiPriority w:val="99"/>
    <w:rsid w:val="00783C8B"/>
    <w:rPr>
      <w:sz w:val="20"/>
      <w:szCs w:val="20"/>
      <w:lang w:eastAsia="zh-TW"/>
    </w:rPr>
  </w:style>
  <w:style w:type="character" w:styleId="ab">
    <w:name w:val="Emphasis"/>
    <w:basedOn w:val="a0"/>
    <w:uiPriority w:val="20"/>
    <w:qFormat/>
    <w:rsid w:val="0050148A"/>
    <w:rPr>
      <w:i/>
      <w:iCs/>
    </w:rPr>
  </w:style>
  <w:style w:type="character" w:styleId="ac">
    <w:name w:val="annotation reference"/>
    <w:basedOn w:val="a0"/>
    <w:uiPriority w:val="99"/>
    <w:semiHidden/>
    <w:unhideWhenUsed/>
    <w:rsid w:val="00103149"/>
    <w:rPr>
      <w:sz w:val="18"/>
      <w:szCs w:val="18"/>
    </w:rPr>
  </w:style>
  <w:style w:type="paragraph" w:styleId="ad">
    <w:name w:val="annotation text"/>
    <w:basedOn w:val="a"/>
    <w:link w:val="ae"/>
    <w:uiPriority w:val="99"/>
    <w:semiHidden/>
    <w:unhideWhenUsed/>
    <w:rsid w:val="00103149"/>
  </w:style>
  <w:style w:type="character" w:customStyle="1" w:styleId="ae">
    <w:name w:val="註解文字 字元"/>
    <w:basedOn w:val="a0"/>
    <w:link w:val="ad"/>
    <w:uiPriority w:val="99"/>
    <w:semiHidden/>
    <w:rsid w:val="00103149"/>
    <w:rPr>
      <w:szCs w:val="22"/>
      <w:lang w:eastAsia="zh-TW"/>
    </w:rPr>
  </w:style>
  <w:style w:type="paragraph" w:styleId="af">
    <w:name w:val="annotation subject"/>
    <w:basedOn w:val="ad"/>
    <w:next w:val="ad"/>
    <w:link w:val="af0"/>
    <w:uiPriority w:val="99"/>
    <w:semiHidden/>
    <w:unhideWhenUsed/>
    <w:rsid w:val="00103149"/>
    <w:rPr>
      <w:b/>
      <w:bCs/>
    </w:rPr>
  </w:style>
  <w:style w:type="character" w:customStyle="1" w:styleId="af0">
    <w:name w:val="註解主旨 字元"/>
    <w:basedOn w:val="ae"/>
    <w:link w:val="af"/>
    <w:uiPriority w:val="99"/>
    <w:semiHidden/>
    <w:rsid w:val="00103149"/>
    <w:rPr>
      <w:b/>
      <w:bCs/>
      <w:szCs w:val="22"/>
      <w:lang w:eastAsia="zh-TW"/>
    </w:rPr>
  </w:style>
  <w:style w:type="paragraph" w:styleId="af1">
    <w:name w:val="footnote text"/>
    <w:basedOn w:val="a"/>
    <w:link w:val="af2"/>
    <w:uiPriority w:val="99"/>
    <w:semiHidden/>
    <w:unhideWhenUsed/>
    <w:rsid w:val="00103149"/>
    <w:pPr>
      <w:snapToGrid w:val="0"/>
    </w:pPr>
    <w:rPr>
      <w:sz w:val="20"/>
      <w:szCs w:val="20"/>
    </w:rPr>
  </w:style>
  <w:style w:type="character" w:customStyle="1" w:styleId="af2">
    <w:name w:val="註腳文字 字元"/>
    <w:basedOn w:val="a0"/>
    <w:link w:val="af1"/>
    <w:uiPriority w:val="99"/>
    <w:semiHidden/>
    <w:rsid w:val="00103149"/>
    <w:rPr>
      <w:sz w:val="20"/>
      <w:szCs w:val="20"/>
      <w:lang w:eastAsia="zh-TW"/>
    </w:rPr>
  </w:style>
  <w:style w:type="character" w:styleId="af3">
    <w:name w:val="footnote reference"/>
    <w:basedOn w:val="a0"/>
    <w:uiPriority w:val="99"/>
    <w:semiHidden/>
    <w:unhideWhenUsed/>
    <w:rsid w:val="00103149"/>
    <w:rPr>
      <w:vertAlign w:val="superscript"/>
    </w:rPr>
  </w:style>
  <w:style w:type="paragraph" w:styleId="Web">
    <w:name w:val="Normal (Web)"/>
    <w:basedOn w:val="a"/>
    <w:uiPriority w:val="99"/>
    <w:semiHidden/>
    <w:unhideWhenUsed/>
    <w:rsid w:val="00BC2FFB"/>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A9"/>
    <w:pPr>
      <w:widowControl w:val="0"/>
    </w:pPr>
    <w:rPr>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4"/>
    <w:uiPriority w:val="34"/>
    <w:qFormat/>
    <w:rsid w:val="001168A9"/>
    <w:pPr>
      <w:ind w:leftChars="200" w:left="480"/>
    </w:pPr>
  </w:style>
  <w:style w:type="character" w:customStyle="1" w:styleId="a4">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3"/>
    <w:uiPriority w:val="34"/>
    <w:qFormat/>
    <w:rsid w:val="00E62F51"/>
    <w:rPr>
      <w:szCs w:val="22"/>
      <w:lang w:eastAsia="zh-TW"/>
    </w:rPr>
  </w:style>
  <w:style w:type="paragraph" w:styleId="a5">
    <w:name w:val="Balloon Text"/>
    <w:basedOn w:val="a"/>
    <w:link w:val="a6"/>
    <w:uiPriority w:val="99"/>
    <w:semiHidden/>
    <w:unhideWhenUsed/>
    <w:rsid w:val="00783C8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83C8B"/>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783C8B"/>
    <w:pPr>
      <w:tabs>
        <w:tab w:val="center" w:pos="4153"/>
        <w:tab w:val="right" w:pos="8306"/>
      </w:tabs>
      <w:snapToGrid w:val="0"/>
    </w:pPr>
    <w:rPr>
      <w:sz w:val="20"/>
      <w:szCs w:val="20"/>
    </w:rPr>
  </w:style>
  <w:style w:type="character" w:customStyle="1" w:styleId="a8">
    <w:name w:val="頁首 字元"/>
    <w:basedOn w:val="a0"/>
    <w:link w:val="a7"/>
    <w:uiPriority w:val="99"/>
    <w:rsid w:val="00783C8B"/>
    <w:rPr>
      <w:sz w:val="20"/>
      <w:szCs w:val="20"/>
      <w:lang w:eastAsia="zh-TW"/>
    </w:rPr>
  </w:style>
  <w:style w:type="paragraph" w:styleId="a9">
    <w:name w:val="footer"/>
    <w:basedOn w:val="a"/>
    <w:link w:val="aa"/>
    <w:uiPriority w:val="99"/>
    <w:unhideWhenUsed/>
    <w:rsid w:val="00783C8B"/>
    <w:pPr>
      <w:tabs>
        <w:tab w:val="center" w:pos="4153"/>
        <w:tab w:val="right" w:pos="8306"/>
      </w:tabs>
      <w:snapToGrid w:val="0"/>
    </w:pPr>
    <w:rPr>
      <w:sz w:val="20"/>
      <w:szCs w:val="20"/>
    </w:rPr>
  </w:style>
  <w:style w:type="character" w:customStyle="1" w:styleId="aa">
    <w:name w:val="頁尾 字元"/>
    <w:basedOn w:val="a0"/>
    <w:link w:val="a9"/>
    <w:uiPriority w:val="99"/>
    <w:rsid w:val="00783C8B"/>
    <w:rPr>
      <w:sz w:val="20"/>
      <w:szCs w:val="20"/>
      <w:lang w:eastAsia="zh-TW"/>
    </w:rPr>
  </w:style>
  <w:style w:type="character" w:styleId="ab">
    <w:name w:val="Emphasis"/>
    <w:basedOn w:val="a0"/>
    <w:uiPriority w:val="20"/>
    <w:qFormat/>
    <w:rsid w:val="0050148A"/>
    <w:rPr>
      <w:i/>
      <w:iCs/>
    </w:rPr>
  </w:style>
  <w:style w:type="character" w:styleId="ac">
    <w:name w:val="annotation reference"/>
    <w:basedOn w:val="a0"/>
    <w:uiPriority w:val="99"/>
    <w:semiHidden/>
    <w:unhideWhenUsed/>
    <w:rsid w:val="00103149"/>
    <w:rPr>
      <w:sz w:val="18"/>
      <w:szCs w:val="18"/>
    </w:rPr>
  </w:style>
  <w:style w:type="paragraph" w:styleId="ad">
    <w:name w:val="annotation text"/>
    <w:basedOn w:val="a"/>
    <w:link w:val="ae"/>
    <w:uiPriority w:val="99"/>
    <w:semiHidden/>
    <w:unhideWhenUsed/>
    <w:rsid w:val="00103149"/>
  </w:style>
  <w:style w:type="character" w:customStyle="1" w:styleId="ae">
    <w:name w:val="註解文字 字元"/>
    <w:basedOn w:val="a0"/>
    <w:link w:val="ad"/>
    <w:uiPriority w:val="99"/>
    <w:semiHidden/>
    <w:rsid w:val="00103149"/>
    <w:rPr>
      <w:szCs w:val="22"/>
      <w:lang w:eastAsia="zh-TW"/>
    </w:rPr>
  </w:style>
  <w:style w:type="paragraph" w:styleId="af">
    <w:name w:val="annotation subject"/>
    <w:basedOn w:val="ad"/>
    <w:next w:val="ad"/>
    <w:link w:val="af0"/>
    <w:uiPriority w:val="99"/>
    <w:semiHidden/>
    <w:unhideWhenUsed/>
    <w:rsid w:val="00103149"/>
    <w:rPr>
      <w:b/>
      <w:bCs/>
    </w:rPr>
  </w:style>
  <w:style w:type="character" w:customStyle="1" w:styleId="af0">
    <w:name w:val="註解主旨 字元"/>
    <w:basedOn w:val="ae"/>
    <w:link w:val="af"/>
    <w:uiPriority w:val="99"/>
    <w:semiHidden/>
    <w:rsid w:val="00103149"/>
    <w:rPr>
      <w:b/>
      <w:bCs/>
      <w:szCs w:val="22"/>
      <w:lang w:eastAsia="zh-TW"/>
    </w:rPr>
  </w:style>
  <w:style w:type="paragraph" w:styleId="af1">
    <w:name w:val="footnote text"/>
    <w:basedOn w:val="a"/>
    <w:link w:val="af2"/>
    <w:uiPriority w:val="99"/>
    <w:semiHidden/>
    <w:unhideWhenUsed/>
    <w:rsid w:val="00103149"/>
    <w:pPr>
      <w:snapToGrid w:val="0"/>
    </w:pPr>
    <w:rPr>
      <w:sz w:val="20"/>
      <w:szCs w:val="20"/>
    </w:rPr>
  </w:style>
  <w:style w:type="character" w:customStyle="1" w:styleId="af2">
    <w:name w:val="註腳文字 字元"/>
    <w:basedOn w:val="a0"/>
    <w:link w:val="af1"/>
    <w:uiPriority w:val="99"/>
    <w:semiHidden/>
    <w:rsid w:val="00103149"/>
    <w:rPr>
      <w:sz w:val="20"/>
      <w:szCs w:val="20"/>
      <w:lang w:eastAsia="zh-TW"/>
    </w:rPr>
  </w:style>
  <w:style w:type="character" w:styleId="af3">
    <w:name w:val="footnote reference"/>
    <w:basedOn w:val="a0"/>
    <w:uiPriority w:val="99"/>
    <w:semiHidden/>
    <w:unhideWhenUsed/>
    <w:rsid w:val="00103149"/>
    <w:rPr>
      <w:vertAlign w:val="superscript"/>
    </w:rPr>
  </w:style>
  <w:style w:type="paragraph" w:styleId="Web">
    <w:name w:val="Normal (Web)"/>
    <w:basedOn w:val="a"/>
    <w:uiPriority w:val="99"/>
    <w:semiHidden/>
    <w:unhideWhenUsed/>
    <w:rsid w:val="00BC2FF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5777">
      <w:bodyDiv w:val="1"/>
      <w:marLeft w:val="0"/>
      <w:marRight w:val="0"/>
      <w:marTop w:val="0"/>
      <w:marBottom w:val="0"/>
      <w:divBdr>
        <w:top w:val="none" w:sz="0" w:space="0" w:color="auto"/>
        <w:left w:val="none" w:sz="0" w:space="0" w:color="auto"/>
        <w:bottom w:val="none" w:sz="0" w:space="0" w:color="auto"/>
        <w:right w:val="none" w:sz="0" w:space="0" w:color="auto"/>
      </w:divBdr>
    </w:div>
    <w:div w:id="702293787">
      <w:bodyDiv w:val="1"/>
      <w:marLeft w:val="0"/>
      <w:marRight w:val="0"/>
      <w:marTop w:val="0"/>
      <w:marBottom w:val="0"/>
      <w:divBdr>
        <w:top w:val="none" w:sz="0" w:space="0" w:color="auto"/>
        <w:left w:val="none" w:sz="0" w:space="0" w:color="auto"/>
        <w:bottom w:val="none" w:sz="0" w:space="0" w:color="auto"/>
        <w:right w:val="none" w:sz="0" w:space="0" w:color="auto"/>
      </w:divBdr>
    </w:div>
    <w:div w:id="917132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F962-758F-4B15-9E05-1ABA617A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NDC</cp:lastModifiedBy>
  <cp:revision>2</cp:revision>
  <cp:lastPrinted>2021-08-02T06:10:00Z</cp:lastPrinted>
  <dcterms:created xsi:type="dcterms:W3CDTF">2021-08-02T06:27:00Z</dcterms:created>
  <dcterms:modified xsi:type="dcterms:W3CDTF">2021-08-02T06:27:00Z</dcterms:modified>
</cp:coreProperties>
</file>