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8C477" w14:textId="77777777" w:rsidR="00925FA5" w:rsidRPr="009110AC" w:rsidRDefault="00925FA5" w:rsidP="00B1732A">
      <w:pPr>
        <w:rPr>
          <w:rFonts w:ascii="Times New Roman" w:eastAsia="標楷體" w:hAnsi="Times New Roman" w:cs="Times New Roman"/>
          <w:b/>
          <w:sz w:val="27"/>
        </w:rPr>
      </w:pPr>
      <w:r w:rsidRPr="009110AC">
        <w:rPr>
          <w:rFonts w:ascii="Times New Roman" w:eastAsia="新細明體" w:hAnsi="Times New Roman" w:cs="Times New Roman"/>
          <w:noProof/>
        </w:rPr>
        <w:drawing>
          <wp:inline distT="0" distB="0" distL="0" distR="0" wp14:anchorId="4ECD0CCB" wp14:editId="2B70B22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DE81" w14:textId="77777777" w:rsidR="00925FA5" w:rsidRPr="009110AC" w:rsidRDefault="00925FA5" w:rsidP="00B1732A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110AC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0C96" wp14:editId="4842937C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A042B" w14:textId="77777777" w:rsidR="00C245D2" w:rsidRPr="00896F96" w:rsidRDefault="00C245D2" w:rsidP="00925FA5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F0C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" stroked="f">
                <v:textbox>
                  <w:txbxContent>
                    <w:p w14:paraId="527A042B" w14:textId="77777777" w:rsidR="00C245D2" w:rsidRPr="00896F96" w:rsidRDefault="00C245D2" w:rsidP="00925FA5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10AC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9110AC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9110AC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14:paraId="7C35A319" w14:textId="77777777" w:rsidR="00925FA5" w:rsidRPr="009110AC" w:rsidRDefault="00925FA5" w:rsidP="00B1732A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9110AC">
        <w:rPr>
          <w:rFonts w:ascii="Times New Roman" w:eastAsia="標楷體" w:hAnsi="Times New Roman" w:cs="Times New Roman"/>
        </w:rPr>
        <w:tab/>
      </w:r>
    </w:p>
    <w:p w14:paraId="30BEE4AE" w14:textId="77777777" w:rsidR="00925FA5" w:rsidRPr="009110AC" w:rsidRDefault="00925FA5" w:rsidP="00B1732A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  <w:r w:rsidRPr="009110AC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0D057" wp14:editId="2EE580B5">
                <wp:simplePos x="0" y="0"/>
                <wp:positionH relativeFrom="column">
                  <wp:posOffset>3289970</wp:posOffset>
                </wp:positionH>
                <wp:positionV relativeFrom="paragraph">
                  <wp:posOffset>-3020</wp:posOffset>
                </wp:positionV>
                <wp:extent cx="322544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44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A76AE" w14:textId="55D3C08E" w:rsidR="00C245D2" w:rsidRDefault="00C245D2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11</w:t>
                            </w:r>
                            <w:r>
                              <w:rPr>
                                <w:rFonts w:eastAsia="標楷體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BC4B0C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 w:rsidR="00310A8D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14:paraId="6C87C6B4" w14:textId="3E7B6447" w:rsidR="00C245D2" w:rsidRPr="0006279B" w:rsidRDefault="00C245D2" w:rsidP="00925FA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人：張處長惠娟</w:t>
                            </w:r>
                          </w:p>
                          <w:p w14:paraId="2FDECAE6" w14:textId="6071C4CA" w:rsidR="00C245D2" w:rsidRPr="000D71B8" w:rsidRDefault="00C245D2" w:rsidP="00925FA5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59.05pt;margin-top:-.25pt;width:253.9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" stroked="f">
                <v:textbox>
                  <w:txbxContent>
                    <w:p w14:paraId="1F5A76AE" w14:textId="55D3C08E" w:rsidR="00C245D2" w:rsidRDefault="00C245D2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11</w:t>
                      </w:r>
                      <w:r>
                        <w:rPr>
                          <w:rFonts w:eastAsia="標楷體"/>
                        </w:rPr>
                        <w:t>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BC4B0C">
                        <w:rPr>
                          <w:rFonts w:eastAsia="標楷體"/>
                          <w:color w:val="000000"/>
                        </w:rPr>
                        <w:t>1</w:t>
                      </w:r>
                      <w:r w:rsidR="00310A8D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14:paraId="6C87C6B4" w14:textId="3E7B6447" w:rsidR="00C245D2" w:rsidRPr="0006279B" w:rsidRDefault="00C245D2" w:rsidP="00925FA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人：張處長惠娟</w:t>
                      </w:r>
                    </w:p>
                    <w:p w14:paraId="2FDECAE6" w14:textId="6071C4CA" w:rsidR="00C245D2" w:rsidRPr="000D71B8" w:rsidRDefault="00C245D2" w:rsidP="00925FA5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5910</w:t>
                      </w:r>
                    </w:p>
                  </w:txbxContent>
                </v:textbox>
              </v:shape>
            </w:pict>
          </mc:Fallback>
        </mc:AlternateContent>
      </w:r>
    </w:p>
    <w:p w14:paraId="2657AC86" w14:textId="77777777" w:rsidR="00925FA5" w:rsidRPr="009110AC" w:rsidRDefault="00925FA5" w:rsidP="00B1732A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14:paraId="0C8244D5" w14:textId="77777777" w:rsidR="00925FA5" w:rsidRPr="009110AC" w:rsidRDefault="00925FA5" w:rsidP="00B1732A">
      <w:pPr>
        <w:jc w:val="center"/>
        <w:rPr>
          <w:rFonts w:ascii="Times New Roman" w:eastAsia="標楷體" w:hAnsi="Times New Roman" w:cs="Times New Roman"/>
          <w:sz w:val="36"/>
        </w:rPr>
      </w:pPr>
    </w:p>
    <w:p w14:paraId="56BF514C" w14:textId="23D7C938" w:rsidR="003A2C0D" w:rsidRPr="0041444B" w:rsidRDefault="003A2C0D" w:rsidP="00486201">
      <w:pPr>
        <w:adjustRightInd w:val="0"/>
        <w:snapToGrid w:val="0"/>
        <w:spacing w:beforeLines="50" w:before="180" w:afterLines="100" w:after="360"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41444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我國</w:t>
      </w:r>
      <w:r w:rsidR="001F7C3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獲准設立</w:t>
      </w:r>
      <w:r w:rsidR="001F7C3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 xml:space="preserve"> </w:t>
      </w:r>
      <w:r w:rsidRPr="009110A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 xml:space="preserve">APEC </w:t>
      </w:r>
      <w:r w:rsidRPr="009110A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跨境隱私保護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規則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(CBPR)</w:t>
      </w:r>
      <w:proofErr w:type="gramStart"/>
      <w:r w:rsidRPr="009110A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t>體系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>當責機構</w:t>
      </w:r>
      <w:proofErr w:type="gramEnd"/>
    </w:p>
    <w:p w14:paraId="6173FCE8" w14:textId="70EA5CC1" w:rsidR="00EA04FD" w:rsidRDefault="00EA04FD" w:rsidP="00201B5B">
      <w:pPr>
        <w:adjustRightInd w:val="0"/>
        <w:snapToGrid w:val="0"/>
        <w:spacing w:beforeLines="50" w:before="180" w:afterLines="50" w:after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為使我國跨境隱私保護與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會員體接軌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，國發會於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6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3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日接獲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APEC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正式通知，</w:t>
      </w:r>
      <w:r w:rsidR="004D1F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成功推動我國</w:t>
      </w:r>
      <w:r w:rsidR="00836CFC" w:rsidRPr="001F7C3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財團法人資訊工業策進會</w:t>
      </w:r>
      <w:r w:rsidR="00836C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836CFC" w:rsidRPr="001F7C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以下簡稱</w:t>
      </w:r>
      <w:r w:rsidR="00836CFC" w:rsidRPr="001F7C3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資策會</w:t>
      </w:r>
      <w:r w:rsidR="00836CF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4D1F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申請</w:t>
      </w:r>
      <w:r w:rsidR="00836C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成為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836C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836C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836CF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家</w:t>
      </w:r>
      <w:r w:rsidR="00543C0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跨境隱私保護規則</w:t>
      </w:r>
      <w:r w:rsidR="00543C0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4D1F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</w:t>
      </w:r>
      <w:r w:rsidR="00543C0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ross Border Privacy Rules, C</w:t>
      </w:r>
      <w:r w:rsidR="004D1F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BPR</w:t>
      </w:r>
      <w:r w:rsidR="00543C0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proofErr w:type="gramStart"/>
      <w:r w:rsidR="004D1F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體系當責機構</w:t>
      </w:r>
      <w:proofErr w:type="gramEnd"/>
      <w:r w:rsidR="004D1F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4D1FE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Accountability Agent, AA)</w:t>
      </w:r>
      <w:r w:rsidR="004D1FE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253CC0">
        <w:rPr>
          <w:rFonts w:ascii="Times New Roman" w:eastAsia="標楷體" w:hAnsi="Times New Roman" w:cs="Times New Roman"/>
          <w:sz w:val="32"/>
          <w:szCs w:val="32"/>
        </w:rPr>
        <w:t>我國係繼美國、日本、新加坡、南韓之後，第</w:t>
      </w:r>
      <w:r w:rsidR="00BF407A">
        <w:rPr>
          <w:rFonts w:ascii="Times New Roman" w:eastAsia="標楷體" w:hAnsi="Times New Roman" w:cs="Times New Roman"/>
          <w:sz w:val="32"/>
          <w:szCs w:val="32"/>
        </w:rPr>
        <w:t>5</w:t>
      </w:r>
      <w:r w:rsidRPr="00253CC0">
        <w:rPr>
          <w:rFonts w:ascii="Times New Roman" w:eastAsia="標楷體" w:hAnsi="Times New Roman" w:cs="Times New Roman"/>
          <w:sz w:val="32"/>
          <w:szCs w:val="32"/>
        </w:rPr>
        <w:t>個</w:t>
      </w:r>
      <w:proofErr w:type="gramStart"/>
      <w:r w:rsidRPr="00253CC0">
        <w:rPr>
          <w:rFonts w:ascii="Times New Roman" w:eastAsia="標楷體" w:hAnsi="Times New Roman" w:cs="Times New Roman"/>
          <w:sz w:val="32"/>
          <w:szCs w:val="32"/>
        </w:rPr>
        <w:t>擁有當責機構</w:t>
      </w:r>
      <w:proofErr w:type="gramEnd"/>
      <w:r w:rsidRPr="00253CC0">
        <w:rPr>
          <w:rFonts w:ascii="Times New Roman" w:eastAsia="標楷體" w:hAnsi="Times New Roman" w:cs="Times New Roman"/>
          <w:sz w:val="32"/>
          <w:szCs w:val="32"/>
        </w:rPr>
        <w:t>的</w:t>
      </w:r>
      <w:r w:rsidRPr="00253CC0">
        <w:rPr>
          <w:rFonts w:ascii="Times New Roman" w:eastAsia="標楷體" w:hAnsi="Times New Roman" w:cs="Times New Roman"/>
          <w:sz w:val="32"/>
          <w:szCs w:val="32"/>
        </w:rPr>
        <w:t>APEC</w:t>
      </w:r>
      <w:r w:rsidRPr="00253CC0">
        <w:rPr>
          <w:rFonts w:ascii="Times New Roman" w:eastAsia="標楷體" w:hAnsi="Times New Roman" w:cs="Times New Roman"/>
          <w:sz w:val="32"/>
          <w:szCs w:val="32"/>
        </w:rPr>
        <w:t>會員經濟體</w:t>
      </w:r>
      <w:r w:rsidRPr="00253CC0">
        <w:rPr>
          <w:rFonts w:ascii="Times New Roman" w:eastAsia="標楷體" w:hAnsi="Times New Roman" w:cs="Times New Roman"/>
          <w:sz w:val="36"/>
          <w:szCs w:val="36"/>
        </w:rPr>
        <w:t>。</w:t>
      </w:r>
    </w:p>
    <w:p w14:paraId="13B42A18" w14:textId="668AD9B2" w:rsidR="00EA04FD" w:rsidRDefault="00ED5DD5" w:rsidP="00EA04FD">
      <w:pPr>
        <w:adjustRightInd w:val="0"/>
        <w:snapToGrid w:val="0"/>
        <w:spacing w:beforeLines="50" w:before="180" w:afterLines="50" w:after="180" w:line="48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53CC0">
        <w:rPr>
          <w:rFonts w:ascii="Times New Roman" w:eastAsia="標楷體" w:hAnsi="Times New Roman" w:cs="Times New Roman"/>
          <w:sz w:val="32"/>
          <w:szCs w:val="32"/>
        </w:rPr>
        <w:t xml:space="preserve">APEC CBPR </w:t>
      </w:r>
      <w:r w:rsidRPr="00253CC0">
        <w:rPr>
          <w:rFonts w:ascii="Times New Roman" w:eastAsia="標楷體" w:hAnsi="Times New Roman" w:cs="Times New Roman" w:hint="eastAsia"/>
          <w:sz w:val="32"/>
          <w:szCs w:val="32"/>
        </w:rPr>
        <w:t>體系為美國在</w:t>
      </w:r>
      <w:r w:rsidRPr="00253CC0">
        <w:rPr>
          <w:rFonts w:ascii="Times New Roman" w:eastAsia="標楷體" w:hAnsi="Times New Roman" w:cs="Times New Roman"/>
          <w:sz w:val="32"/>
          <w:szCs w:val="32"/>
        </w:rPr>
        <w:t xml:space="preserve"> APEC</w:t>
      </w:r>
      <w:r w:rsidRPr="00253CC0">
        <w:rPr>
          <w:rFonts w:ascii="Times New Roman" w:eastAsia="標楷體" w:hAnsi="Times New Roman" w:cs="Times New Roman" w:hint="eastAsia"/>
          <w:sz w:val="32"/>
          <w:szCs w:val="32"/>
        </w:rPr>
        <w:t>力推</w:t>
      </w:r>
      <w:r w:rsidR="00416F34" w:rsidRPr="00253CC0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253CC0">
        <w:rPr>
          <w:rFonts w:ascii="Times New Roman" w:eastAsia="標楷體" w:hAnsi="Times New Roman" w:cs="Times New Roman" w:hint="eastAsia"/>
          <w:sz w:val="32"/>
          <w:szCs w:val="32"/>
        </w:rPr>
        <w:t>跨境隱私保護制度，係</w:t>
      </w:r>
      <w:r w:rsidRPr="00253CC0">
        <w:rPr>
          <w:rFonts w:ascii="Times New Roman" w:eastAsia="標楷體" w:hAnsi="Times New Roman" w:cs="Times New Roman"/>
          <w:sz w:val="32"/>
          <w:szCs w:val="32"/>
        </w:rPr>
        <w:t>APEC</w:t>
      </w:r>
      <w:r w:rsidRPr="00253CC0">
        <w:rPr>
          <w:rFonts w:ascii="Times New Roman" w:eastAsia="標楷體" w:hAnsi="Times New Roman" w:cs="Times New Roman" w:hint="eastAsia"/>
          <w:sz w:val="32"/>
          <w:szCs w:val="32"/>
        </w:rPr>
        <w:t>架構下之個人資料隱私保護措施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。該體系自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E0E23" w:rsidRPr="00253CC0">
        <w:rPr>
          <w:rFonts w:ascii="Times New Roman" w:eastAsia="標楷體" w:hAnsi="Times New Roman" w:cs="Times New Roman"/>
          <w:sz w:val="32"/>
          <w:szCs w:val="32"/>
        </w:rPr>
        <w:t>011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年正式實施以來，成員除我國外，</w:t>
      </w:r>
      <w:r w:rsidR="00E0689F" w:rsidRPr="00253CC0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包含美國、墨西哥、加拿大、日本、韓國、新加坡、澳洲、菲律賓等</w:t>
      </w:r>
      <w:r w:rsidR="00E0689F" w:rsidRPr="00253CC0">
        <w:rPr>
          <w:rFonts w:ascii="Times New Roman" w:eastAsia="標楷體" w:hAnsi="Times New Roman" w:cs="Times New Roman"/>
          <w:sz w:val="32"/>
          <w:szCs w:val="32"/>
        </w:rPr>
        <w:t>8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個會員體；</w:t>
      </w:r>
      <w:r w:rsidR="00E0689F" w:rsidRPr="00253CC0">
        <w:rPr>
          <w:rFonts w:ascii="Times New Roman" w:eastAsia="標楷體" w:hAnsi="Times New Roman" w:cs="Times New Roman" w:hint="eastAsia"/>
          <w:sz w:val="32"/>
          <w:szCs w:val="32"/>
        </w:rPr>
        <w:t>全體</w:t>
      </w:r>
      <w:r w:rsidR="00E0689F" w:rsidRPr="00253CC0">
        <w:rPr>
          <w:rFonts w:ascii="Times New Roman" w:eastAsia="標楷體" w:hAnsi="Times New Roman" w:cs="Times New Roman"/>
          <w:sz w:val="32"/>
          <w:szCs w:val="32"/>
        </w:rPr>
        <w:t>CBPR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成員貿易總額</w:t>
      </w:r>
      <w:proofErr w:type="gramStart"/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佔</w:t>
      </w:r>
      <w:proofErr w:type="gramEnd"/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39%</w:t>
      </w:r>
      <w:r w:rsidR="000E0E23" w:rsidRPr="00253CC0">
        <w:rPr>
          <w:rFonts w:ascii="Times New Roman" w:eastAsia="標楷體" w:hAnsi="Times New Roman" w:cs="Times New Roman" w:hint="eastAsia"/>
          <w:sz w:val="32"/>
          <w:szCs w:val="32"/>
        </w:rPr>
        <w:t>，經濟規模龐大。</w:t>
      </w:r>
      <w:r w:rsidR="00E0689F" w:rsidRPr="00253CC0">
        <w:rPr>
          <w:rFonts w:ascii="Times New Roman" w:eastAsia="標楷體" w:hAnsi="Times New Roman" w:cs="Times New Roman" w:hint="eastAsia"/>
          <w:sz w:val="32"/>
          <w:szCs w:val="32"/>
        </w:rPr>
        <w:t>本會成功推動資策會取得</w:t>
      </w:r>
      <w:r w:rsidR="00E0689F" w:rsidRPr="00253CC0">
        <w:rPr>
          <w:rFonts w:ascii="Times New Roman" w:eastAsia="標楷體" w:hAnsi="Times New Roman" w:cs="Times New Roman" w:hint="eastAsia"/>
          <w:sz w:val="32"/>
          <w:szCs w:val="32"/>
        </w:rPr>
        <w:t>CBPR</w:t>
      </w:r>
      <w:r w:rsidR="00E0689F" w:rsidRPr="00253CC0">
        <w:rPr>
          <w:rFonts w:ascii="Times New Roman" w:eastAsia="標楷體" w:hAnsi="Times New Roman" w:cs="Times New Roman" w:hint="eastAsia"/>
          <w:sz w:val="32"/>
          <w:szCs w:val="32"/>
        </w:rPr>
        <w:t>體系</w:t>
      </w:r>
      <w:proofErr w:type="gramStart"/>
      <w:r w:rsidR="00E0689F" w:rsidRPr="00253CC0">
        <w:rPr>
          <w:rFonts w:ascii="Times New Roman" w:eastAsia="標楷體" w:hAnsi="Times New Roman" w:cs="Times New Roman" w:hint="eastAsia"/>
          <w:sz w:val="32"/>
          <w:szCs w:val="32"/>
        </w:rPr>
        <w:t>之當責機構</w:t>
      </w:r>
      <w:proofErr w:type="gramEnd"/>
      <w:r w:rsidR="00E0689F" w:rsidRPr="00253CC0">
        <w:rPr>
          <w:rFonts w:ascii="Times New Roman" w:eastAsia="標楷體" w:hAnsi="Times New Roman" w:cs="Times New Roman" w:hint="eastAsia"/>
          <w:sz w:val="32"/>
          <w:szCs w:val="32"/>
        </w:rPr>
        <w:t>資格，</w:t>
      </w:r>
      <w:r w:rsidR="009B5070" w:rsidRPr="00253CC0">
        <w:rPr>
          <w:rFonts w:ascii="Times New Roman" w:eastAsia="標楷體" w:hAnsi="Times New Roman" w:cs="Times New Roman" w:hint="eastAsia"/>
          <w:sz w:val="32"/>
          <w:szCs w:val="32"/>
        </w:rPr>
        <w:t>可協助我國企業進行國內外法規遵循，不僅可提升消費者對跨境資料傳輸的信賴，促進跨國商務發展，並可進一步透過爭端解決機制之建立，與</w:t>
      </w:r>
      <w:r w:rsidR="009B5070" w:rsidRPr="00253CC0">
        <w:rPr>
          <w:rFonts w:ascii="Times New Roman" w:eastAsia="標楷體" w:hAnsi="Times New Roman" w:cs="Times New Roman"/>
          <w:sz w:val="32"/>
          <w:szCs w:val="32"/>
        </w:rPr>
        <w:t>APEC</w:t>
      </w:r>
      <w:r w:rsidR="009B5070" w:rsidRPr="00253CC0">
        <w:rPr>
          <w:rFonts w:ascii="Times New Roman" w:eastAsia="標楷體" w:hAnsi="Times New Roman" w:cs="Times New Roman" w:hint="eastAsia"/>
          <w:sz w:val="32"/>
          <w:szCs w:val="32"/>
        </w:rPr>
        <w:t>隱私法制接</w:t>
      </w:r>
      <w:r w:rsidR="009B5070" w:rsidRPr="00B40D6D">
        <w:rPr>
          <w:rFonts w:ascii="Times New Roman" w:eastAsia="標楷體" w:hAnsi="Times New Roman" w:cs="Times New Roman" w:hint="eastAsia"/>
          <w:sz w:val="32"/>
          <w:szCs w:val="32"/>
        </w:rPr>
        <w:t>軌，</w:t>
      </w:r>
      <w:r w:rsidR="009B5070">
        <w:rPr>
          <w:rFonts w:ascii="Times New Roman" w:eastAsia="標楷體" w:hAnsi="Times New Roman" w:cs="Times New Roman" w:hint="eastAsia"/>
          <w:sz w:val="32"/>
          <w:szCs w:val="32"/>
        </w:rPr>
        <w:t>從而</w:t>
      </w:r>
      <w:r w:rsidR="009B5070" w:rsidRPr="00B40D6D">
        <w:rPr>
          <w:rFonts w:ascii="Times New Roman" w:eastAsia="標楷體" w:hAnsi="Times New Roman" w:cs="Times New Roman" w:hint="eastAsia"/>
          <w:sz w:val="32"/>
          <w:szCs w:val="32"/>
        </w:rPr>
        <w:t>提升</w:t>
      </w:r>
      <w:r w:rsidR="009B5070">
        <w:rPr>
          <w:rFonts w:ascii="Times New Roman" w:eastAsia="標楷體" w:hAnsi="Times New Roman" w:cs="Times New Roman" w:hint="eastAsia"/>
          <w:sz w:val="32"/>
          <w:szCs w:val="32"/>
        </w:rPr>
        <w:t>我國際隱私保護</w:t>
      </w:r>
      <w:r w:rsidR="009B5070" w:rsidRPr="00B40D6D">
        <w:rPr>
          <w:rFonts w:ascii="Times New Roman" w:eastAsia="標楷體" w:hAnsi="Times New Roman" w:cs="Times New Roman" w:hint="eastAsia"/>
          <w:sz w:val="32"/>
          <w:szCs w:val="32"/>
        </w:rPr>
        <w:t>形象，促進跨境</w:t>
      </w:r>
      <w:r w:rsidR="009B5070">
        <w:rPr>
          <w:rFonts w:ascii="Times New Roman" w:eastAsia="標楷體" w:hAnsi="Times New Roman" w:cs="Times New Roman" w:hint="eastAsia"/>
          <w:sz w:val="32"/>
          <w:szCs w:val="32"/>
        </w:rPr>
        <w:t>數位貿易發展與</w:t>
      </w:r>
      <w:r w:rsidR="009B5070" w:rsidRPr="00B40D6D">
        <w:rPr>
          <w:rFonts w:ascii="Times New Roman" w:eastAsia="標楷體" w:hAnsi="Times New Roman" w:cs="Times New Roman" w:hint="eastAsia"/>
          <w:sz w:val="32"/>
          <w:szCs w:val="32"/>
        </w:rPr>
        <w:t>合作。</w:t>
      </w:r>
      <w:r w:rsidR="00EA04FD">
        <w:rPr>
          <w:rFonts w:ascii="Times New Roman" w:eastAsia="標楷體" w:hAnsi="Times New Roman" w:cs="Times New Roman" w:hint="eastAsia"/>
          <w:sz w:val="32"/>
          <w:szCs w:val="32"/>
        </w:rPr>
        <w:t>而與歐盟</w:t>
      </w:r>
      <w:r w:rsidR="00EA04FD">
        <w:rPr>
          <w:rFonts w:ascii="Times New Roman" w:eastAsia="標楷體" w:hAnsi="Times New Roman" w:cs="Times New Roman" w:hint="eastAsia"/>
          <w:sz w:val="32"/>
          <w:szCs w:val="32"/>
        </w:rPr>
        <w:t xml:space="preserve"> GDPR</w:t>
      </w:r>
      <w:r w:rsidR="00EA04FD">
        <w:rPr>
          <w:rFonts w:ascii="Times New Roman" w:eastAsia="標楷體" w:hAnsi="Times New Roman" w:cs="Times New Roman" w:hint="eastAsia"/>
          <w:sz w:val="32"/>
          <w:szCs w:val="32"/>
        </w:rPr>
        <w:t>嚴格規定相比較，</w:t>
      </w:r>
      <w:r w:rsidR="00EA04FD">
        <w:rPr>
          <w:rFonts w:ascii="Times New Roman" w:eastAsia="標楷體" w:hAnsi="Times New Roman" w:cs="Times New Roman" w:hint="eastAsia"/>
          <w:sz w:val="32"/>
          <w:szCs w:val="32"/>
        </w:rPr>
        <w:t xml:space="preserve">CBPR </w:t>
      </w:r>
      <w:r w:rsidR="00EA04FD">
        <w:rPr>
          <w:rFonts w:ascii="Times New Roman" w:eastAsia="標楷體" w:hAnsi="Times New Roman" w:cs="Times New Roman" w:hint="eastAsia"/>
          <w:sz w:val="32"/>
          <w:szCs w:val="32"/>
        </w:rPr>
        <w:t>門檻相對較低，對我以中小企業為主之經濟體，可透過取得</w:t>
      </w:r>
      <w:r w:rsidR="00EA04FD">
        <w:rPr>
          <w:rFonts w:ascii="Times New Roman" w:eastAsia="標楷體" w:hAnsi="Times New Roman" w:cs="Times New Roman" w:hint="eastAsia"/>
          <w:sz w:val="32"/>
          <w:szCs w:val="32"/>
        </w:rPr>
        <w:t xml:space="preserve">APEC CBPR </w:t>
      </w:r>
      <w:r w:rsidR="00EA04FD">
        <w:rPr>
          <w:rFonts w:ascii="Times New Roman" w:eastAsia="標楷體" w:hAnsi="Times New Roman" w:cs="Times New Roman" w:hint="eastAsia"/>
          <w:sz w:val="32"/>
          <w:szCs w:val="32"/>
        </w:rPr>
        <w:t>認證，熟悉了解國際跨境隱私保護之規定。</w:t>
      </w:r>
    </w:p>
    <w:p w14:paraId="7D9A2FB3" w14:textId="0F2B62A9" w:rsidR="00EA04FD" w:rsidRPr="00EA04FD" w:rsidRDefault="009B5070">
      <w:pPr>
        <w:adjustRightInd w:val="0"/>
        <w:snapToGrid w:val="0"/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　　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加入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 CBPR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體系，計有</w:t>
      </w:r>
      <w:r w:rsidR="002C151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階段程序，第一階段須將我國</w:t>
      </w:r>
      <w:proofErr w:type="gramStart"/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proofErr w:type="gramEnd"/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資執法機關取得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APEC 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認證，第二階段則須將我國</w:t>
      </w:r>
      <w:proofErr w:type="gramStart"/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proofErr w:type="gramEnd"/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資保護體制進行說明，通過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APEC 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審查認可後，方能</w:t>
      </w:r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進入第三階段指定認證機構，由該機構協助認證我國業者</w:t>
      </w:r>
      <w:proofErr w:type="gramStart"/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proofErr w:type="gramEnd"/>
      <w:r w:rsidR="00DE546E" w:rsidRP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資保護水準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</w:p>
    <w:p w14:paraId="3E08CF39" w14:textId="4D92735B" w:rsidR="009B5070" w:rsidRDefault="009B5070" w:rsidP="00253CC0">
      <w:pPr>
        <w:adjustRightInd w:val="0"/>
        <w:snapToGrid w:val="0"/>
        <w:spacing w:beforeLines="50" w:before="180" w:afterLines="50" w:after="180" w:line="480" w:lineRule="exact"/>
        <w:ind w:left="349" w:hangingChars="109" w:hanging="34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–</w:t>
      </w:r>
      <w:proofErr w:type="gramEnd"/>
      <w:r w:rsid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為推動我國加入</w:t>
      </w:r>
      <w:r w:rsid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 CBPR</w:t>
      </w:r>
      <w:r w:rsid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體系，本會整合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經濟部、法務部、金管會等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個資執法機關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，於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2018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E546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提出申請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B71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經過第一、第二階段的審查，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月我國順利獲准成為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CBPR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體系成員，過程進展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快速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6131AD38" w14:textId="4F91A793" w:rsidR="003F3E05" w:rsidRDefault="009B5070" w:rsidP="00253CC0">
      <w:pPr>
        <w:adjustRightInd w:val="0"/>
        <w:snapToGrid w:val="0"/>
        <w:spacing w:beforeLines="50" w:before="180" w:afterLines="50" w:after="180" w:line="480" w:lineRule="exact"/>
        <w:ind w:left="349" w:hangingChars="109" w:hanging="349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–</w:t>
      </w:r>
      <w:proofErr w:type="gramEnd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而為進一步使我國企業得以便利申請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CBPR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體系標章，本會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積極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與國內相關個資執法機關</w:t>
      </w:r>
      <w:proofErr w:type="gramStart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研</w:t>
      </w:r>
      <w:proofErr w:type="gramEnd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商，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參考日本經驗，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決議</w:t>
      </w:r>
      <w:r w:rsidR="003F3E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授權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具備隱私保護研究能量及企業輔導經驗的公設財團法人</w:t>
      </w:r>
      <w:proofErr w:type="gramStart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擔任當責機構</w:t>
      </w:r>
      <w:proofErr w:type="gramEnd"/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。考量資策會曾受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經濟部委託辦理「臺灣個人資料保護與管理制度」</w:t>
      </w:r>
      <w:r w:rsidR="00416F34" w:rsidRPr="00253C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253C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Taiwan Personal Information Protection and Administration System, 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TPIPAS)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累積</w:t>
      </w:r>
      <w:r w:rsidR="003F3E0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相當的辦理</w:t>
      </w:r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能量，我國</w:t>
      </w:r>
      <w:proofErr w:type="gramStart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爰</w:t>
      </w:r>
      <w:proofErr w:type="gramEnd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推薦由資策會申設為我國第一家當</w:t>
      </w:r>
      <w:proofErr w:type="gramStart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責</w:t>
      </w:r>
      <w:proofErr w:type="gramEnd"/>
      <w:r w:rsidR="00416F34" w:rsidRPr="00416F3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機構。</w:t>
      </w:r>
      <w:r w:rsidR="00C24963">
        <w:rPr>
          <w:rFonts w:ascii="Times New Roman" w:eastAsia="標楷體" w:hAnsi="Times New Roman" w:cs="Times New Roman" w:hint="eastAsia"/>
          <w:sz w:val="32"/>
          <w:szCs w:val="32"/>
        </w:rPr>
        <w:t>本會偕同資策會</w:t>
      </w:r>
      <w:r w:rsidR="003F3E05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C24963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24963">
        <w:rPr>
          <w:rFonts w:ascii="Times New Roman" w:eastAsia="標楷體" w:hAnsi="Times New Roman" w:cs="Times New Roman"/>
          <w:sz w:val="32"/>
          <w:szCs w:val="32"/>
        </w:rPr>
        <w:t>019</w:t>
      </w:r>
      <w:r w:rsidR="00C24963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2496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C24963">
        <w:rPr>
          <w:rFonts w:ascii="Times New Roman" w:eastAsia="標楷體" w:hAnsi="Times New Roman" w:cs="Times New Roman"/>
          <w:sz w:val="32"/>
          <w:szCs w:val="32"/>
        </w:rPr>
        <w:t>2</w:t>
      </w:r>
      <w:r w:rsidR="00C24963">
        <w:rPr>
          <w:rFonts w:ascii="Times New Roman" w:eastAsia="標楷體" w:hAnsi="Times New Roman" w:cs="Times New Roman" w:hint="eastAsia"/>
          <w:sz w:val="32"/>
          <w:szCs w:val="32"/>
        </w:rPr>
        <w:t>月底送出申請，期間積極與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負責審查</w:t>
      </w:r>
      <w:r w:rsidR="00C24963" w:rsidRPr="001F7C3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CBPR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體系申請案件的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</w:t>
      </w:r>
      <w:r w:rsidR="00C249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PEC</w:t>
      </w:r>
      <w:r w:rsidR="00C24963" w:rsidRPr="001F7C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聯合監督小組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C24963" w:rsidRPr="001F7C3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Joint Oversight Panel, JOP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C24963" w:rsidRPr="001F7C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接洽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其中雖曾遭受某</w:t>
      </w:r>
      <w:r w:rsidR="00380E6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會員體干擾阻撓，經本會與外交部極力爭取，終於</w:t>
      </w:r>
      <w:r w:rsidR="00C24963" w:rsidRPr="001F7C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今年</w:t>
      </w:r>
      <w:r w:rsidR="00C24963" w:rsidRPr="001F7C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="00C24963" w:rsidRPr="001F7C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3 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日獲得</w:t>
      </w:r>
      <w:r w:rsidR="00C2496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正式通知我方資策</w:t>
      </w:r>
      <w:r w:rsidR="002C151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取得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AA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資格</w:t>
      </w:r>
      <w:r w:rsidR="00C24963" w:rsidRPr="001F7C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3DDB4868" w14:textId="307583E2" w:rsidR="00775D8E" w:rsidRDefault="00E8154F" w:rsidP="000E0E23">
      <w:pPr>
        <w:adjustRightInd w:val="0"/>
        <w:snapToGrid w:val="0"/>
        <w:spacing w:beforeLines="50" w:before="180" w:afterLines="50" w:after="180" w:line="48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本會將持續協調國內個資執法機關，進一步推動落實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CBPR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體系，</w:t>
      </w:r>
      <w:r w:rsidR="006871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並與資策會共同合作推廣國內企業導入該體系，俾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使我業者落實</w:t>
      </w:r>
      <w:r w:rsidR="006871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強化隱私保護，</w:t>
      </w:r>
      <w:r w:rsidR="00EA04F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在此數位經濟時代，跨境電子商務活定盛行之時，爭取國際商機，並</w:t>
      </w:r>
      <w:r w:rsidR="006871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促進我國數位經濟發展。</w:t>
      </w:r>
    </w:p>
    <w:sectPr w:rsidR="00775D8E" w:rsidSect="00305734">
      <w:footerReference w:type="default" r:id="rId9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1E5F7" w14:textId="77777777" w:rsidR="00FC77AD" w:rsidRDefault="00FC77AD" w:rsidP="00786014">
      <w:r>
        <w:separator/>
      </w:r>
    </w:p>
  </w:endnote>
  <w:endnote w:type="continuationSeparator" w:id="0">
    <w:p w14:paraId="4E13ABA1" w14:textId="77777777" w:rsidR="00FC77AD" w:rsidRDefault="00FC77AD" w:rsidP="007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497"/>
      <w:docPartObj>
        <w:docPartGallery w:val="Page Numbers (Bottom of Page)"/>
        <w:docPartUnique/>
      </w:docPartObj>
    </w:sdtPr>
    <w:sdtEndPr/>
    <w:sdtContent>
      <w:p w14:paraId="0911C37E" w14:textId="77777777" w:rsidR="00C245D2" w:rsidRDefault="00C245D2" w:rsidP="00A857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8D" w:rsidRPr="00310A8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ECA3" w14:textId="77777777" w:rsidR="00FC77AD" w:rsidRDefault="00FC77AD" w:rsidP="00786014">
      <w:r>
        <w:separator/>
      </w:r>
    </w:p>
  </w:footnote>
  <w:footnote w:type="continuationSeparator" w:id="0">
    <w:p w14:paraId="09ADC3C3" w14:textId="77777777" w:rsidR="00FC77AD" w:rsidRDefault="00FC77AD" w:rsidP="007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F"/>
    <w:multiLevelType w:val="hybridMultilevel"/>
    <w:tmpl w:val="F9B05956"/>
    <w:lvl w:ilvl="0" w:tplc="04090015">
      <w:start w:val="1"/>
      <w:numFmt w:val="taiwaneseCountingThousand"/>
      <w:lvlText w:val="%1、"/>
      <w:lvlJc w:val="left"/>
      <w:pPr>
        <w:ind w:left="705" w:hanging="540"/>
      </w:pPr>
      <w:rPr>
        <w:rFonts w:hint="default"/>
      </w:rPr>
    </w:lvl>
    <w:lvl w:ilvl="1" w:tplc="5CB85C14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3C501C63"/>
    <w:multiLevelType w:val="hybridMultilevel"/>
    <w:tmpl w:val="D63AF5EE"/>
    <w:lvl w:ilvl="0" w:tplc="600E615C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5CDB7FC0"/>
    <w:multiLevelType w:val="hybridMultilevel"/>
    <w:tmpl w:val="B518CE86"/>
    <w:lvl w:ilvl="0" w:tplc="A34C3762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7B7225E3"/>
    <w:multiLevelType w:val="hybridMultilevel"/>
    <w:tmpl w:val="41329F90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001E30"/>
    <w:rsid w:val="00007628"/>
    <w:rsid w:val="000121FF"/>
    <w:rsid w:val="00013528"/>
    <w:rsid w:val="00021F0F"/>
    <w:rsid w:val="000561CF"/>
    <w:rsid w:val="00080322"/>
    <w:rsid w:val="000824F3"/>
    <w:rsid w:val="000959F0"/>
    <w:rsid w:val="000A16ED"/>
    <w:rsid w:val="000E0E23"/>
    <w:rsid w:val="001056A3"/>
    <w:rsid w:val="00106864"/>
    <w:rsid w:val="0011014B"/>
    <w:rsid w:val="0012743D"/>
    <w:rsid w:val="001339F5"/>
    <w:rsid w:val="00142262"/>
    <w:rsid w:val="0018135C"/>
    <w:rsid w:val="00186730"/>
    <w:rsid w:val="001B1D13"/>
    <w:rsid w:val="001C3ABF"/>
    <w:rsid w:val="001C58F4"/>
    <w:rsid w:val="001E702B"/>
    <w:rsid w:val="001F7C3E"/>
    <w:rsid w:val="00201B5B"/>
    <w:rsid w:val="00212853"/>
    <w:rsid w:val="0021285A"/>
    <w:rsid w:val="00217F2C"/>
    <w:rsid w:val="002316B8"/>
    <w:rsid w:val="0023187F"/>
    <w:rsid w:val="00252529"/>
    <w:rsid w:val="00253CC0"/>
    <w:rsid w:val="00257EBF"/>
    <w:rsid w:val="00271549"/>
    <w:rsid w:val="00276CBE"/>
    <w:rsid w:val="00276D57"/>
    <w:rsid w:val="002C151D"/>
    <w:rsid w:val="002C1602"/>
    <w:rsid w:val="002C6FF8"/>
    <w:rsid w:val="002D0020"/>
    <w:rsid w:val="002D70F2"/>
    <w:rsid w:val="002E75B6"/>
    <w:rsid w:val="002F51C0"/>
    <w:rsid w:val="00300671"/>
    <w:rsid w:val="00305734"/>
    <w:rsid w:val="00310A8D"/>
    <w:rsid w:val="003152F5"/>
    <w:rsid w:val="00334C0C"/>
    <w:rsid w:val="00351380"/>
    <w:rsid w:val="00352581"/>
    <w:rsid w:val="00355735"/>
    <w:rsid w:val="003611C9"/>
    <w:rsid w:val="003713DB"/>
    <w:rsid w:val="00372A58"/>
    <w:rsid w:val="00376644"/>
    <w:rsid w:val="00380E6A"/>
    <w:rsid w:val="003A2C0D"/>
    <w:rsid w:val="003B174C"/>
    <w:rsid w:val="003B58C2"/>
    <w:rsid w:val="003B71E3"/>
    <w:rsid w:val="003E1BA6"/>
    <w:rsid w:val="003F3E05"/>
    <w:rsid w:val="0041444B"/>
    <w:rsid w:val="00414484"/>
    <w:rsid w:val="00416A65"/>
    <w:rsid w:val="00416F34"/>
    <w:rsid w:val="00417C7D"/>
    <w:rsid w:val="00417DEB"/>
    <w:rsid w:val="00471020"/>
    <w:rsid w:val="00486201"/>
    <w:rsid w:val="004951E7"/>
    <w:rsid w:val="004B5A95"/>
    <w:rsid w:val="004B7FDB"/>
    <w:rsid w:val="004C2625"/>
    <w:rsid w:val="004D1FE0"/>
    <w:rsid w:val="004D4DC1"/>
    <w:rsid w:val="005126F0"/>
    <w:rsid w:val="0051361A"/>
    <w:rsid w:val="00536AB5"/>
    <w:rsid w:val="00542FEE"/>
    <w:rsid w:val="00543C09"/>
    <w:rsid w:val="00555131"/>
    <w:rsid w:val="005618FD"/>
    <w:rsid w:val="0056795D"/>
    <w:rsid w:val="0058134F"/>
    <w:rsid w:val="00584600"/>
    <w:rsid w:val="00593F87"/>
    <w:rsid w:val="0059536F"/>
    <w:rsid w:val="005B6D0F"/>
    <w:rsid w:val="005B733E"/>
    <w:rsid w:val="005C1317"/>
    <w:rsid w:val="005D20B6"/>
    <w:rsid w:val="005E22EC"/>
    <w:rsid w:val="005E3A5A"/>
    <w:rsid w:val="00603FB9"/>
    <w:rsid w:val="006307FC"/>
    <w:rsid w:val="00634D91"/>
    <w:rsid w:val="00640E27"/>
    <w:rsid w:val="00644736"/>
    <w:rsid w:val="006622E3"/>
    <w:rsid w:val="00672B60"/>
    <w:rsid w:val="00675FB3"/>
    <w:rsid w:val="006871EB"/>
    <w:rsid w:val="006A5FC0"/>
    <w:rsid w:val="006A75FF"/>
    <w:rsid w:val="006B3E38"/>
    <w:rsid w:val="006C5ABF"/>
    <w:rsid w:val="006D6B48"/>
    <w:rsid w:val="006E63F7"/>
    <w:rsid w:val="006F0476"/>
    <w:rsid w:val="006F259F"/>
    <w:rsid w:val="006F3E0C"/>
    <w:rsid w:val="007144E5"/>
    <w:rsid w:val="00714676"/>
    <w:rsid w:val="00735E63"/>
    <w:rsid w:val="0074192E"/>
    <w:rsid w:val="00765D9B"/>
    <w:rsid w:val="00772DBA"/>
    <w:rsid w:val="00775D8E"/>
    <w:rsid w:val="007839E2"/>
    <w:rsid w:val="00784962"/>
    <w:rsid w:val="00786014"/>
    <w:rsid w:val="00790F2A"/>
    <w:rsid w:val="007B4479"/>
    <w:rsid w:val="007B6AFF"/>
    <w:rsid w:val="007C79F5"/>
    <w:rsid w:val="007D18DE"/>
    <w:rsid w:val="007D53F9"/>
    <w:rsid w:val="00801316"/>
    <w:rsid w:val="00807DED"/>
    <w:rsid w:val="0081718A"/>
    <w:rsid w:val="00817D6D"/>
    <w:rsid w:val="00821510"/>
    <w:rsid w:val="00831173"/>
    <w:rsid w:val="00836CFC"/>
    <w:rsid w:val="0085045E"/>
    <w:rsid w:val="008606BA"/>
    <w:rsid w:val="008908C8"/>
    <w:rsid w:val="008A75BC"/>
    <w:rsid w:val="008B40E7"/>
    <w:rsid w:val="008B78AA"/>
    <w:rsid w:val="008C7E90"/>
    <w:rsid w:val="008E0A03"/>
    <w:rsid w:val="008E2BE1"/>
    <w:rsid w:val="009110AC"/>
    <w:rsid w:val="00912598"/>
    <w:rsid w:val="00925FA5"/>
    <w:rsid w:val="00934DF8"/>
    <w:rsid w:val="00955A1B"/>
    <w:rsid w:val="00966A36"/>
    <w:rsid w:val="00974EB8"/>
    <w:rsid w:val="00982EB1"/>
    <w:rsid w:val="00983355"/>
    <w:rsid w:val="009843F1"/>
    <w:rsid w:val="009B5070"/>
    <w:rsid w:val="009B5F8D"/>
    <w:rsid w:val="009D5E40"/>
    <w:rsid w:val="009E3CCF"/>
    <w:rsid w:val="00A36F2A"/>
    <w:rsid w:val="00A41C90"/>
    <w:rsid w:val="00A43611"/>
    <w:rsid w:val="00A61A14"/>
    <w:rsid w:val="00A635E2"/>
    <w:rsid w:val="00A857EB"/>
    <w:rsid w:val="00AA4623"/>
    <w:rsid w:val="00AF3D8D"/>
    <w:rsid w:val="00AF4A74"/>
    <w:rsid w:val="00B1732A"/>
    <w:rsid w:val="00B30E41"/>
    <w:rsid w:val="00B40D6D"/>
    <w:rsid w:val="00B74561"/>
    <w:rsid w:val="00B92582"/>
    <w:rsid w:val="00BB3D53"/>
    <w:rsid w:val="00BC4B0C"/>
    <w:rsid w:val="00BF407A"/>
    <w:rsid w:val="00C06B65"/>
    <w:rsid w:val="00C245D2"/>
    <w:rsid w:val="00C24963"/>
    <w:rsid w:val="00C415A8"/>
    <w:rsid w:val="00C5128C"/>
    <w:rsid w:val="00C5416A"/>
    <w:rsid w:val="00C66653"/>
    <w:rsid w:val="00C73019"/>
    <w:rsid w:val="00C81DD5"/>
    <w:rsid w:val="00CE05E5"/>
    <w:rsid w:val="00D16A98"/>
    <w:rsid w:val="00D51A99"/>
    <w:rsid w:val="00D52445"/>
    <w:rsid w:val="00D846AD"/>
    <w:rsid w:val="00D97D98"/>
    <w:rsid w:val="00DA08F4"/>
    <w:rsid w:val="00DA4BAE"/>
    <w:rsid w:val="00DC7923"/>
    <w:rsid w:val="00DE546E"/>
    <w:rsid w:val="00DE6E73"/>
    <w:rsid w:val="00E04BF8"/>
    <w:rsid w:val="00E0689F"/>
    <w:rsid w:val="00E1177D"/>
    <w:rsid w:val="00E11E60"/>
    <w:rsid w:val="00E20D65"/>
    <w:rsid w:val="00E25198"/>
    <w:rsid w:val="00E27482"/>
    <w:rsid w:val="00E42BAD"/>
    <w:rsid w:val="00E8154F"/>
    <w:rsid w:val="00EA04FD"/>
    <w:rsid w:val="00ED5DD5"/>
    <w:rsid w:val="00EE3174"/>
    <w:rsid w:val="00EE47E7"/>
    <w:rsid w:val="00EF6D88"/>
    <w:rsid w:val="00F054C8"/>
    <w:rsid w:val="00F1562F"/>
    <w:rsid w:val="00F233F0"/>
    <w:rsid w:val="00F26686"/>
    <w:rsid w:val="00F305B5"/>
    <w:rsid w:val="00F37FDB"/>
    <w:rsid w:val="00F41146"/>
    <w:rsid w:val="00F57EA6"/>
    <w:rsid w:val="00F75A2D"/>
    <w:rsid w:val="00FA6EF2"/>
    <w:rsid w:val="00FB58E2"/>
    <w:rsid w:val="00FB5FE7"/>
    <w:rsid w:val="00FC77AD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B5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37F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37FDB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F3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37F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37FDB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F3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黃仿玉</dc:creator>
  <cp:lastModifiedBy>林淑英</cp:lastModifiedBy>
  <cp:revision>2</cp:revision>
  <cp:lastPrinted>2018-12-10T04:54:00Z</cp:lastPrinted>
  <dcterms:created xsi:type="dcterms:W3CDTF">2021-06-15T03:40:00Z</dcterms:created>
  <dcterms:modified xsi:type="dcterms:W3CDTF">2021-06-15T03:40:00Z</dcterms:modified>
</cp:coreProperties>
</file>