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5E82" w14:textId="77777777" w:rsidR="009215ED" w:rsidRDefault="009215ED" w:rsidP="00150C9C">
      <w:pPr>
        <w:overflowPunct w:val="0"/>
        <w:rPr>
          <w:sz w:val="24"/>
          <w:szCs w:val="24"/>
        </w:rPr>
      </w:pPr>
      <w:r w:rsidRPr="00B3690C">
        <w:rPr>
          <w:rFonts w:ascii="標楷體" w:eastAsia="標楷體" w:hAnsi="標楷體" w:cs="Times New Roman"/>
          <w:noProof/>
        </w:rPr>
        <w:drawing>
          <wp:inline distT="0" distB="0" distL="0" distR="0" wp14:anchorId="296E8046" wp14:editId="0F3BC5D0">
            <wp:extent cx="1132609" cy="226097"/>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28347466" w14:textId="77777777" w:rsidR="009215ED" w:rsidRPr="00B3690C" w:rsidRDefault="009215ED" w:rsidP="00150C9C">
      <w:pPr>
        <w:overflowPunct w:val="0"/>
        <w:spacing w:beforeLines="50" w:before="120" w:after="0" w:line="240" w:lineRule="auto"/>
        <w:jc w:val="center"/>
        <w:rPr>
          <w:rFonts w:ascii="標楷體" w:eastAsia="標楷體" w:hAnsi="標楷體" w:cs="Times New Roman"/>
          <w:b/>
          <w:bCs/>
          <w:sz w:val="36"/>
          <w:szCs w:val="36"/>
        </w:rPr>
      </w:pPr>
      <w:r w:rsidRPr="00B3690C">
        <w:rPr>
          <w:rFonts w:ascii="標楷體" w:eastAsia="標楷體" w:hAnsi="標楷體" w:cs="Times New Roman" w:hint="eastAsia"/>
          <w:b/>
          <w:bCs/>
          <w:sz w:val="36"/>
          <w:szCs w:val="36"/>
        </w:rPr>
        <w:t>國家發展</w:t>
      </w:r>
      <w:r w:rsidRPr="00B3690C">
        <w:rPr>
          <w:rFonts w:ascii="標楷體" w:eastAsia="標楷體" w:hAnsi="標楷體" w:cs="Times New Roman"/>
          <w:b/>
          <w:bCs/>
          <w:sz w:val="36"/>
          <w:szCs w:val="36"/>
        </w:rPr>
        <w:t>委員會 新聞稿</w:t>
      </w:r>
    </w:p>
    <w:p w14:paraId="7F62385B" w14:textId="77777777" w:rsidR="00150C9C" w:rsidRPr="00ED23DF" w:rsidRDefault="00E2498B" w:rsidP="000E5A12">
      <w:pPr>
        <w:overflowPunct w:val="0"/>
        <w:spacing w:beforeLines="100" w:before="240" w:after="0" w:line="240" w:lineRule="auto"/>
        <w:jc w:val="center"/>
        <w:rPr>
          <w:rFonts w:ascii="Times New Roman" w:eastAsia="標楷體" w:hAnsi="Times New Roman" w:cs="Times New Roman"/>
          <w:b/>
          <w:bCs/>
          <w:color w:val="000000"/>
          <w:sz w:val="36"/>
          <w:szCs w:val="36"/>
        </w:rPr>
      </w:pPr>
      <w:r>
        <w:rPr>
          <w:rFonts w:ascii="Times New Roman" w:eastAsia="標楷體" w:hAnsi="Times New Roman" w:cs="Times New Roman" w:hint="eastAsia"/>
          <w:b/>
          <w:bCs/>
          <w:color w:val="000000"/>
          <w:sz w:val="36"/>
          <w:szCs w:val="36"/>
        </w:rPr>
        <w:t>政府</w:t>
      </w:r>
      <w:r w:rsidR="009431B7">
        <w:rPr>
          <w:rFonts w:ascii="Times New Roman" w:eastAsia="標楷體" w:hAnsi="Times New Roman" w:cs="Times New Roman" w:hint="eastAsia"/>
          <w:b/>
          <w:bCs/>
          <w:color w:val="000000"/>
          <w:sz w:val="36"/>
          <w:szCs w:val="36"/>
        </w:rPr>
        <w:t>優化新創環境有成</w:t>
      </w:r>
      <w:r w:rsidR="001353A6">
        <w:rPr>
          <w:rFonts w:ascii="Times New Roman" w:eastAsia="標楷體" w:hAnsi="Times New Roman" w:cs="Times New Roman" w:hint="eastAsia"/>
          <w:b/>
          <w:bCs/>
          <w:color w:val="000000"/>
          <w:sz w:val="36"/>
          <w:szCs w:val="36"/>
        </w:rPr>
        <w:t xml:space="preserve"> </w:t>
      </w:r>
      <w:r w:rsidR="001353A6">
        <w:rPr>
          <w:rFonts w:ascii="Times New Roman" w:eastAsia="標楷體" w:hAnsi="Times New Roman" w:cs="Times New Roman" w:hint="eastAsia"/>
          <w:b/>
          <w:bCs/>
          <w:color w:val="000000"/>
          <w:sz w:val="36"/>
          <w:szCs w:val="36"/>
        </w:rPr>
        <w:t>臺灣</w:t>
      </w:r>
      <w:r>
        <w:rPr>
          <w:rFonts w:ascii="Times New Roman" w:eastAsia="標楷體" w:hAnsi="Times New Roman" w:cs="Times New Roman" w:hint="eastAsia"/>
          <w:b/>
          <w:bCs/>
          <w:color w:val="000000"/>
          <w:sz w:val="36"/>
          <w:szCs w:val="36"/>
        </w:rPr>
        <w:t>創新能力</w:t>
      </w:r>
      <w:r w:rsidR="000E5A12">
        <w:rPr>
          <w:rFonts w:ascii="Times New Roman" w:eastAsia="標楷體" w:hAnsi="Times New Roman" w:cs="Times New Roman" w:hint="eastAsia"/>
          <w:b/>
          <w:bCs/>
          <w:color w:val="000000"/>
          <w:sz w:val="36"/>
          <w:szCs w:val="36"/>
        </w:rPr>
        <w:t>受</w:t>
      </w:r>
      <w:r w:rsidR="00B65587">
        <w:rPr>
          <w:rFonts w:ascii="Times New Roman" w:eastAsia="標楷體" w:hAnsi="Times New Roman" w:cs="Times New Roman" w:hint="eastAsia"/>
          <w:b/>
          <w:bCs/>
          <w:color w:val="000000"/>
          <w:sz w:val="36"/>
          <w:szCs w:val="36"/>
        </w:rPr>
        <w:t>國際</w:t>
      </w:r>
      <w:r w:rsidR="00150C9C">
        <w:rPr>
          <w:rFonts w:ascii="Times New Roman" w:eastAsia="標楷體" w:hAnsi="Times New Roman" w:cs="Times New Roman" w:hint="eastAsia"/>
          <w:b/>
          <w:bCs/>
          <w:color w:val="000000"/>
          <w:sz w:val="36"/>
          <w:szCs w:val="36"/>
        </w:rPr>
        <w:t>肯定</w:t>
      </w:r>
    </w:p>
    <w:p w14:paraId="7618E9F3" w14:textId="77777777" w:rsidR="000F7AA8" w:rsidRDefault="004C62DA" w:rsidP="00150C9C">
      <w:pPr>
        <w:overflowPunct w:val="0"/>
        <w:spacing w:beforeLines="50" w:before="120" w:after="0" w:line="480" w:lineRule="exact"/>
        <w:ind w:firstLineChars="177" w:firstLine="566"/>
        <w:jc w:val="both"/>
        <w:rPr>
          <w:rFonts w:ascii="標楷體" w:eastAsia="標楷體" w:hAnsi="標楷體"/>
          <w:sz w:val="32"/>
          <w:szCs w:val="28"/>
        </w:rPr>
      </w:pPr>
      <w:r>
        <w:rPr>
          <w:rFonts w:ascii="標楷體" w:eastAsia="標楷體" w:hAnsi="標楷體" w:hint="eastAsia"/>
          <w:sz w:val="32"/>
          <w:szCs w:val="28"/>
        </w:rPr>
        <w:t>為</w:t>
      </w:r>
      <w:r w:rsidR="000E5EC0">
        <w:rPr>
          <w:rFonts w:ascii="標楷體" w:eastAsia="標楷體" w:hAnsi="標楷體" w:hint="eastAsia"/>
          <w:sz w:val="32"/>
          <w:szCs w:val="28"/>
        </w:rPr>
        <w:t>加速</w:t>
      </w:r>
      <w:r>
        <w:rPr>
          <w:rFonts w:ascii="標楷體" w:eastAsia="標楷體" w:hAnsi="標楷體" w:hint="eastAsia"/>
          <w:sz w:val="32"/>
          <w:szCs w:val="28"/>
        </w:rPr>
        <w:t>臺灣新創發展</w:t>
      </w:r>
      <w:r w:rsidR="00722BDA">
        <w:rPr>
          <w:rFonts w:ascii="標楷體" w:eastAsia="標楷體" w:hAnsi="標楷體" w:hint="eastAsia"/>
          <w:sz w:val="32"/>
          <w:szCs w:val="28"/>
        </w:rPr>
        <w:t>，</w:t>
      </w:r>
      <w:r w:rsidR="002B03A4">
        <w:rPr>
          <w:rFonts w:ascii="標楷體" w:eastAsia="標楷體" w:hAnsi="標楷體" w:hint="eastAsia"/>
          <w:sz w:val="32"/>
          <w:szCs w:val="28"/>
        </w:rPr>
        <w:t>國發會</w:t>
      </w:r>
      <w:r w:rsidR="00C24795">
        <w:rPr>
          <w:rFonts w:ascii="標楷體" w:eastAsia="標楷體" w:hAnsi="標楷體" w:hint="eastAsia"/>
          <w:sz w:val="32"/>
          <w:szCs w:val="28"/>
        </w:rPr>
        <w:t>2018年2月</w:t>
      </w:r>
      <w:r w:rsidR="002B03A4">
        <w:rPr>
          <w:rFonts w:ascii="標楷體" w:eastAsia="標楷體" w:hAnsi="標楷體" w:hint="eastAsia"/>
          <w:sz w:val="32"/>
          <w:szCs w:val="28"/>
        </w:rPr>
        <w:t>提出</w:t>
      </w:r>
      <w:r w:rsidR="00C24795" w:rsidRPr="00401C2C">
        <w:rPr>
          <w:rFonts w:ascii="標楷體" w:eastAsia="標楷體" w:hAnsi="標楷體" w:hint="eastAsia"/>
          <w:sz w:val="32"/>
          <w:szCs w:val="28"/>
        </w:rPr>
        <w:t>「</w:t>
      </w:r>
      <w:r w:rsidR="00C24795">
        <w:rPr>
          <w:rFonts w:ascii="標楷體" w:eastAsia="標楷體" w:hAnsi="標楷體" w:hint="eastAsia"/>
          <w:sz w:val="32"/>
          <w:szCs w:val="28"/>
        </w:rPr>
        <w:t>優化新創事業投資環境行動方案</w:t>
      </w:r>
      <w:r w:rsidR="00C24795" w:rsidRPr="00401C2C">
        <w:rPr>
          <w:rFonts w:ascii="標楷體" w:eastAsia="標楷體" w:hAnsi="標楷體" w:hint="eastAsia"/>
          <w:sz w:val="32"/>
          <w:szCs w:val="28"/>
        </w:rPr>
        <w:t>」</w:t>
      </w:r>
      <w:r w:rsidR="00C24795">
        <w:rPr>
          <w:rFonts w:ascii="標楷體" w:eastAsia="標楷體" w:hAnsi="標楷體" w:hint="eastAsia"/>
          <w:sz w:val="32"/>
          <w:szCs w:val="28"/>
        </w:rPr>
        <w:t>，</w:t>
      </w:r>
      <w:r w:rsidR="000E5EC0">
        <w:rPr>
          <w:rFonts w:ascii="標楷體" w:eastAsia="標楷體" w:hAnsi="標楷體" w:hint="eastAsia"/>
          <w:sz w:val="32"/>
          <w:szCs w:val="28"/>
        </w:rPr>
        <w:t>攜手</w:t>
      </w:r>
      <w:r w:rsidR="00C24795">
        <w:rPr>
          <w:rFonts w:ascii="標楷體" w:eastAsia="標楷體" w:hAnsi="標楷體" w:hint="eastAsia"/>
          <w:sz w:val="32"/>
          <w:szCs w:val="28"/>
        </w:rPr>
        <w:t>科技部、經濟部等</w:t>
      </w:r>
      <w:r w:rsidR="001353A6">
        <w:rPr>
          <w:rFonts w:ascii="標楷體" w:eastAsia="標楷體" w:hAnsi="標楷體" w:hint="eastAsia"/>
          <w:sz w:val="32"/>
          <w:szCs w:val="28"/>
        </w:rPr>
        <w:t>12個</w:t>
      </w:r>
      <w:r>
        <w:rPr>
          <w:rFonts w:ascii="標楷體" w:eastAsia="標楷體" w:hAnsi="標楷體" w:hint="eastAsia"/>
          <w:sz w:val="32"/>
          <w:szCs w:val="28"/>
        </w:rPr>
        <w:t>機關</w:t>
      </w:r>
      <w:r w:rsidR="00722BDA">
        <w:rPr>
          <w:rFonts w:ascii="標楷體" w:eastAsia="標楷體" w:hAnsi="標楷體" w:hint="eastAsia"/>
          <w:sz w:val="32"/>
          <w:szCs w:val="28"/>
        </w:rPr>
        <w:t>共同</w:t>
      </w:r>
      <w:r w:rsidR="002B03A4">
        <w:rPr>
          <w:rFonts w:ascii="標楷體" w:eastAsia="標楷體" w:hAnsi="標楷體" w:hint="eastAsia"/>
          <w:sz w:val="32"/>
          <w:szCs w:val="28"/>
        </w:rPr>
        <w:t>推動</w:t>
      </w:r>
      <w:r w:rsidR="00722BDA">
        <w:rPr>
          <w:rFonts w:ascii="標楷體" w:eastAsia="標楷體" w:hAnsi="標楷體" w:hint="eastAsia"/>
          <w:sz w:val="32"/>
          <w:szCs w:val="28"/>
        </w:rPr>
        <w:t>，</w:t>
      </w:r>
      <w:r w:rsidR="004E7AFA">
        <w:rPr>
          <w:rFonts w:ascii="標楷體" w:eastAsia="標楷體" w:hAnsi="標楷體" w:hint="eastAsia"/>
          <w:sz w:val="32"/>
          <w:szCs w:val="28"/>
        </w:rPr>
        <w:t>由五大策略</w:t>
      </w:r>
      <w:r w:rsidR="001353A6">
        <w:rPr>
          <w:rFonts w:ascii="標楷體" w:eastAsia="標楷體" w:hAnsi="標楷體" w:hint="eastAsia"/>
          <w:sz w:val="32"/>
          <w:szCs w:val="28"/>
        </w:rPr>
        <w:t>、40項措施，</w:t>
      </w:r>
      <w:r w:rsidR="000E5EC0">
        <w:rPr>
          <w:rFonts w:ascii="標楷體" w:eastAsia="標楷體" w:hAnsi="標楷體" w:hint="eastAsia"/>
          <w:sz w:val="32"/>
          <w:szCs w:val="28"/>
        </w:rPr>
        <w:t>全</w:t>
      </w:r>
      <w:r w:rsidR="004E7AFA">
        <w:rPr>
          <w:rFonts w:ascii="標楷體" w:eastAsia="標楷體" w:hAnsi="標楷體" w:hint="eastAsia"/>
          <w:sz w:val="32"/>
          <w:szCs w:val="28"/>
        </w:rPr>
        <w:t>方位</w:t>
      </w:r>
      <w:r w:rsidR="00E2498B">
        <w:rPr>
          <w:rFonts w:ascii="標楷體" w:eastAsia="標楷體" w:hAnsi="標楷體" w:hint="eastAsia"/>
          <w:sz w:val="32"/>
          <w:szCs w:val="28"/>
        </w:rPr>
        <w:t>優化</w:t>
      </w:r>
      <w:r w:rsidR="004E7AFA">
        <w:rPr>
          <w:rFonts w:ascii="標楷體" w:eastAsia="標楷體" w:hAnsi="標楷體" w:hint="eastAsia"/>
          <w:sz w:val="32"/>
          <w:szCs w:val="28"/>
        </w:rPr>
        <w:t>臺灣新創生態</w:t>
      </w:r>
      <w:r w:rsidR="00E2498B">
        <w:rPr>
          <w:rFonts w:ascii="標楷體" w:eastAsia="標楷體" w:hAnsi="標楷體" w:hint="eastAsia"/>
          <w:sz w:val="32"/>
          <w:szCs w:val="28"/>
        </w:rPr>
        <w:t>系</w:t>
      </w:r>
      <w:r w:rsidR="000E5EC0">
        <w:rPr>
          <w:rFonts w:ascii="標楷體" w:eastAsia="標楷體" w:hAnsi="標楷體" w:hint="eastAsia"/>
          <w:sz w:val="32"/>
          <w:szCs w:val="28"/>
        </w:rPr>
        <w:t>。本方案推動</w:t>
      </w:r>
      <w:r>
        <w:rPr>
          <w:rFonts w:ascii="標楷體" w:eastAsia="標楷體" w:hAnsi="標楷體" w:hint="eastAsia"/>
          <w:sz w:val="32"/>
          <w:szCs w:val="28"/>
        </w:rPr>
        <w:t>近兩年</w:t>
      </w:r>
      <w:r w:rsidR="000E5EC0">
        <w:rPr>
          <w:rFonts w:ascii="標楷體" w:eastAsia="標楷體" w:hAnsi="標楷體" w:hint="eastAsia"/>
          <w:sz w:val="32"/>
          <w:szCs w:val="28"/>
        </w:rPr>
        <w:t>，</w:t>
      </w:r>
      <w:r w:rsidR="00722BDA">
        <w:rPr>
          <w:rFonts w:ascii="標楷體" w:eastAsia="標楷體" w:hAnsi="標楷體" w:hint="eastAsia"/>
          <w:sz w:val="32"/>
          <w:szCs w:val="28"/>
        </w:rPr>
        <w:t>臺灣新創</w:t>
      </w:r>
      <w:r w:rsidR="003B1117">
        <w:rPr>
          <w:rFonts w:ascii="標楷體" w:eastAsia="標楷體" w:hAnsi="標楷體" w:hint="eastAsia"/>
          <w:sz w:val="32"/>
          <w:szCs w:val="28"/>
        </w:rPr>
        <w:t>環境</w:t>
      </w:r>
      <w:r w:rsidR="009D23E2">
        <w:rPr>
          <w:rFonts w:ascii="標楷體" w:eastAsia="標楷體" w:hAnsi="標楷體" w:hint="eastAsia"/>
          <w:sz w:val="32"/>
          <w:szCs w:val="28"/>
        </w:rPr>
        <w:t>更趨活絡</w:t>
      </w:r>
      <w:r>
        <w:rPr>
          <w:rFonts w:ascii="標楷體" w:eastAsia="標楷體" w:hAnsi="標楷體" w:hint="eastAsia"/>
          <w:sz w:val="32"/>
          <w:szCs w:val="28"/>
        </w:rPr>
        <w:t>，</w:t>
      </w:r>
      <w:r w:rsidR="001353A6">
        <w:rPr>
          <w:rFonts w:ascii="標楷體" w:eastAsia="標楷體" w:hAnsi="標楷體" w:hint="eastAsia"/>
          <w:sz w:val="32"/>
          <w:szCs w:val="28"/>
        </w:rPr>
        <w:t>已有</w:t>
      </w:r>
      <w:r w:rsidR="001E5074">
        <w:rPr>
          <w:rFonts w:ascii="標楷體" w:eastAsia="標楷體" w:hAnsi="標楷體" w:hint="eastAsia"/>
          <w:sz w:val="32"/>
          <w:szCs w:val="28"/>
        </w:rPr>
        <w:t>逾300家</w:t>
      </w:r>
      <w:r w:rsidR="001353A6">
        <w:rPr>
          <w:rFonts w:ascii="標楷體" w:eastAsia="標楷體" w:hAnsi="標楷體" w:hint="eastAsia"/>
          <w:sz w:val="32"/>
          <w:szCs w:val="28"/>
        </w:rPr>
        <w:t>新創</w:t>
      </w:r>
      <w:r w:rsidR="001E5074">
        <w:rPr>
          <w:rFonts w:ascii="標楷體" w:eastAsia="標楷體" w:hAnsi="標楷體" w:hint="eastAsia"/>
          <w:sz w:val="32"/>
          <w:szCs w:val="28"/>
        </w:rPr>
        <w:t>成功募資</w:t>
      </w:r>
      <w:r w:rsidR="001353A6">
        <w:rPr>
          <w:rFonts w:ascii="標楷體" w:eastAsia="標楷體" w:hAnsi="標楷體" w:hint="eastAsia"/>
          <w:sz w:val="32"/>
          <w:szCs w:val="28"/>
        </w:rPr>
        <w:t>，</w:t>
      </w:r>
      <w:r w:rsidR="001E5074">
        <w:rPr>
          <w:rFonts w:ascii="標楷體" w:eastAsia="標楷體" w:hAnsi="標楷體" w:hint="eastAsia"/>
          <w:sz w:val="32"/>
          <w:szCs w:val="28"/>
        </w:rPr>
        <w:t>政府推動法規鬆綁亦深獲新創社群肯定</w:t>
      </w:r>
      <w:r w:rsidR="001353A6">
        <w:rPr>
          <w:rFonts w:ascii="標楷體" w:eastAsia="標楷體" w:hAnsi="標楷體" w:hint="eastAsia"/>
          <w:sz w:val="32"/>
          <w:szCs w:val="28"/>
        </w:rPr>
        <w:t>。此外，臺灣</w:t>
      </w:r>
      <w:r w:rsidR="00C640F3">
        <w:rPr>
          <w:rFonts w:ascii="標楷體" w:eastAsia="標楷體" w:hAnsi="標楷體" w:hint="eastAsia"/>
          <w:sz w:val="32"/>
          <w:szCs w:val="28"/>
        </w:rPr>
        <w:t>連續兩年獲世界經濟論壇(</w:t>
      </w:r>
      <w:r w:rsidR="00C640F3" w:rsidRPr="008563A2">
        <w:rPr>
          <w:rFonts w:ascii="標楷體" w:eastAsia="標楷體" w:hAnsi="標楷體"/>
          <w:sz w:val="32"/>
          <w:szCs w:val="28"/>
        </w:rPr>
        <w:t>World Economic Forum</w:t>
      </w:r>
      <w:r w:rsidR="00C640F3">
        <w:rPr>
          <w:rFonts w:ascii="標楷體" w:eastAsia="標楷體" w:hAnsi="標楷體" w:hint="eastAsia"/>
          <w:sz w:val="32"/>
          <w:szCs w:val="28"/>
        </w:rPr>
        <w:t>)評為全球四大創新國之一，與德國、美國及瑞士齊名，</w:t>
      </w:r>
      <w:r w:rsidR="0025784C">
        <w:rPr>
          <w:rFonts w:ascii="標楷體" w:eastAsia="標楷體" w:hAnsi="標楷體" w:hint="eastAsia"/>
          <w:sz w:val="32"/>
          <w:szCs w:val="28"/>
        </w:rPr>
        <w:t>並</w:t>
      </w:r>
      <w:r w:rsidR="00C640F3">
        <w:rPr>
          <w:rFonts w:ascii="標楷體" w:eastAsia="標楷體" w:hAnsi="標楷體" w:hint="eastAsia"/>
          <w:sz w:val="32"/>
          <w:szCs w:val="28"/>
        </w:rPr>
        <w:t>於</w:t>
      </w:r>
      <w:r w:rsidR="00C640F3" w:rsidRPr="00BE4732">
        <w:rPr>
          <w:rFonts w:ascii="標楷體" w:eastAsia="標楷體" w:hAnsi="標楷體" w:hint="eastAsia"/>
          <w:sz w:val="32"/>
          <w:szCs w:val="28"/>
        </w:rPr>
        <w:t>美國巴布森學院及英國倫敦商學院發布「</w:t>
      </w:r>
      <w:r w:rsidR="00C640F3" w:rsidRPr="00BE4732">
        <w:rPr>
          <w:rFonts w:ascii="標楷體" w:eastAsia="標楷體" w:hAnsi="標楷體"/>
          <w:sz w:val="32"/>
          <w:szCs w:val="28"/>
        </w:rPr>
        <w:t>2018/19</w:t>
      </w:r>
      <w:r w:rsidR="00C640F3" w:rsidRPr="00BE4732">
        <w:rPr>
          <w:rFonts w:ascii="標楷體" w:eastAsia="標楷體" w:hAnsi="標楷體" w:hint="eastAsia"/>
          <w:sz w:val="32"/>
          <w:szCs w:val="28"/>
        </w:rPr>
        <w:t>年全球創業觀察」</w:t>
      </w:r>
      <w:r w:rsidR="00C640F3">
        <w:rPr>
          <w:rFonts w:ascii="標楷體" w:eastAsia="標楷體" w:hAnsi="標楷體" w:hint="eastAsia"/>
          <w:sz w:val="32"/>
          <w:szCs w:val="28"/>
        </w:rPr>
        <w:t>中</w:t>
      </w:r>
      <w:r w:rsidR="00C640F3" w:rsidRPr="00BE4732">
        <w:rPr>
          <w:rFonts w:ascii="標楷體" w:eastAsia="標楷體" w:hAnsi="標楷體" w:hint="eastAsia"/>
          <w:sz w:val="32"/>
          <w:szCs w:val="28"/>
        </w:rPr>
        <w:t>，在首次發布的「國家創業環境指數」排名全球第</w:t>
      </w:r>
      <w:r w:rsidR="00C640F3" w:rsidRPr="00BE4732">
        <w:rPr>
          <w:rFonts w:ascii="標楷體" w:eastAsia="標楷體" w:hAnsi="標楷體"/>
          <w:sz w:val="32"/>
          <w:szCs w:val="28"/>
        </w:rPr>
        <w:t>4</w:t>
      </w:r>
      <w:r w:rsidR="00C640F3">
        <w:rPr>
          <w:rFonts w:ascii="標楷體" w:eastAsia="標楷體" w:hAnsi="標楷體" w:hint="eastAsia"/>
          <w:sz w:val="32"/>
          <w:szCs w:val="28"/>
        </w:rPr>
        <w:t>，顯示臺灣的創新能力相當具有</w:t>
      </w:r>
      <w:r w:rsidR="001E5074">
        <w:rPr>
          <w:rFonts w:ascii="標楷體" w:eastAsia="標楷體" w:hAnsi="標楷體" w:hint="eastAsia"/>
          <w:sz w:val="32"/>
          <w:szCs w:val="28"/>
        </w:rPr>
        <w:t>國際</w:t>
      </w:r>
      <w:r w:rsidR="00C640F3">
        <w:rPr>
          <w:rFonts w:ascii="標楷體" w:eastAsia="標楷體" w:hAnsi="標楷體" w:hint="eastAsia"/>
          <w:sz w:val="32"/>
          <w:szCs w:val="28"/>
        </w:rPr>
        <w:t>競爭力。</w:t>
      </w:r>
    </w:p>
    <w:p w14:paraId="34D408E3" w14:textId="77777777" w:rsidR="00FF5DE9" w:rsidRDefault="00401C2C" w:rsidP="00150C9C">
      <w:pPr>
        <w:overflowPunct w:val="0"/>
        <w:spacing w:beforeLines="50" w:before="120" w:after="0" w:line="480" w:lineRule="exact"/>
        <w:ind w:firstLineChars="177" w:firstLine="566"/>
        <w:jc w:val="both"/>
        <w:rPr>
          <w:rFonts w:ascii="標楷體" w:eastAsia="標楷體" w:hAnsi="標楷體"/>
          <w:sz w:val="32"/>
          <w:szCs w:val="28"/>
        </w:rPr>
      </w:pPr>
      <w:r w:rsidRPr="00401C2C">
        <w:rPr>
          <w:rFonts w:ascii="標楷體" w:eastAsia="標楷體" w:hAnsi="標楷體" w:hint="eastAsia"/>
          <w:sz w:val="32"/>
          <w:szCs w:val="28"/>
        </w:rPr>
        <w:t>國發會</w:t>
      </w:r>
      <w:r w:rsidR="001353A6">
        <w:rPr>
          <w:rFonts w:ascii="標楷體" w:eastAsia="標楷體" w:hAnsi="標楷體" w:hint="eastAsia"/>
          <w:sz w:val="32"/>
          <w:szCs w:val="28"/>
        </w:rPr>
        <w:t>於本月18日召開</w:t>
      </w:r>
      <w:r w:rsidR="00D0315D">
        <w:rPr>
          <w:rFonts w:ascii="標楷體" w:eastAsia="標楷體" w:hAnsi="標楷體" w:hint="eastAsia"/>
          <w:sz w:val="32"/>
          <w:szCs w:val="28"/>
        </w:rPr>
        <w:t>該方案</w:t>
      </w:r>
      <w:r w:rsidR="001353A6">
        <w:rPr>
          <w:rFonts w:ascii="標楷體" w:eastAsia="標楷體" w:hAnsi="標楷體" w:hint="eastAsia"/>
          <w:sz w:val="32"/>
          <w:szCs w:val="28"/>
        </w:rPr>
        <w:t>跨部會檢討及精進會議，</w:t>
      </w:r>
      <w:r w:rsidR="009D23E2">
        <w:rPr>
          <w:rFonts w:ascii="標楷體" w:eastAsia="標楷體" w:hAnsi="標楷體" w:hint="eastAsia"/>
          <w:sz w:val="32"/>
          <w:szCs w:val="28"/>
        </w:rPr>
        <w:t>在各部會</w:t>
      </w:r>
      <w:r w:rsidR="00A35D00">
        <w:rPr>
          <w:rFonts w:ascii="標楷體" w:eastAsia="標楷體" w:hAnsi="標楷體" w:hint="eastAsia"/>
          <w:sz w:val="32"/>
          <w:szCs w:val="28"/>
        </w:rPr>
        <w:t>與民間新創社群共同推動下</w:t>
      </w:r>
      <w:r w:rsidR="009D23E2">
        <w:rPr>
          <w:rFonts w:ascii="標楷體" w:eastAsia="標楷體" w:hAnsi="標楷體" w:hint="eastAsia"/>
          <w:sz w:val="32"/>
          <w:szCs w:val="28"/>
        </w:rPr>
        <w:t>，</w:t>
      </w:r>
      <w:r w:rsidR="001E5074">
        <w:rPr>
          <w:rFonts w:ascii="標楷體" w:eastAsia="標楷體" w:hAnsi="標楷體" w:hint="eastAsia"/>
          <w:sz w:val="32"/>
          <w:szCs w:val="28"/>
        </w:rPr>
        <w:t>已有相當豐碩的成果</w:t>
      </w:r>
      <w:r w:rsidR="00C640F3">
        <w:rPr>
          <w:rFonts w:ascii="標楷體" w:eastAsia="標楷體" w:hAnsi="標楷體" w:hint="eastAsia"/>
          <w:sz w:val="32"/>
          <w:szCs w:val="28"/>
        </w:rPr>
        <w:t>，</w:t>
      </w:r>
      <w:r w:rsidR="001E5074">
        <w:rPr>
          <w:rFonts w:ascii="標楷體" w:eastAsia="標楷體" w:hAnsi="標楷體" w:hint="eastAsia"/>
          <w:sz w:val="32"/>
          <w:szCs w:val="28"/>
        </w:rPr>
        <w:t>說明</w:t>
      </w:r>
      <w:r w:rsidR="00C640F3">
        <w:rPr>
          <w:rFonts w:ascii="標楷體" w:eastAsia="標楷體" w:hAnsi="標楷體" w:hint="eastAsia"/>
          <w:sz w:val="32"/>
          <w:szCs w:val="28"/>
        </w:rPr>
        <w:t>如下：</w:t>
      </w:r>
    </w:p>
    <w:p w14:paraId="4565BED0" w14:textId="77777777" w:rsidR="00164F63" w:rsidRDefault="00C640F3" w:rsidP="00150C9C">
      <w:pPr>
        <w:widowControl w:val="0"/>
        <w:overflowPunct w:val="0"/>
        <w:spacing w:beforeLines="50" w:before="120" w:after="0" w:line="480" w:lineRule="exact"/>
        <w:ind w:left="566" w:hangingChars="177" w:hanging="566"/>
        <w:jc w:val="both"/>
        <w:rPr>
          <w:rFonts w:ascii="標楷體" w:eastAsia="標楷體" w:hAnsi="標楷體"/>
          <w:sz w:val="32"/>
          <w:szCs w:val="28"/>
        </w:rPr>
      </w:pPr>
      <w:r>
        <w:rPr>
          <w:rFonts w:ascii="標楷體" w:eastAsia="標楷體" w:hAnsi="標楷體" w:hint="eastAsia"/>
          <w:sz w:val="32"/>
          <w:szCs w:val="28"/>
        </w:rPr>
        <w:t>(一)</w:t>
      </w:r>
      <w:r w:rsidR="00B7430E">
        <w:rPr>
          <w:rFonts w:ascii="標楷體" w:eastAsia="標楷體" w:hAnsi="標楷體" w:hint="eastAsia"/>
          <w:sz w:val="32"/>
          <w:szCs w:val="28"/>
        </w:rPr>
        <w:t>加速</w:t>
      </w:r>
      <w:r w:rsidR="00171B65" w:rsidRPr="00171B65">
        <w:rPr>
          <w:rFonts w:ascii="標楷體" w:eastAsia="標楷體" w:hAnsi="標楷體" w:hint="eastAsia"/>
          <w:sz w:val="32"/>
          <w:szCs w:val="28"/>
        </w:rPr>
        <w:t>新創</w:t>
      </w:r>
      <w:r w:rsidR="00B7430E">
        <w:rPr>
          <w:rFonts w:ascii="標楷體" w:eastAsia="標楷體" w:hAnsi="標楷體" w:hint="eastAsia"/>
          <w:sz w:val="32"/>
          <w:szCs w:val="28"/>
        </w:rPr>
        <w:t>鏈結</w:t>
      </w:r>
      <w:r w:rsidR="00171B65" w:rsidRPr="00171B65">
        <w:rPr>
          <w:rFonts w:ascii="標楷體" w:eastAsia="標楷體" w:hAnsi="標楷體" w:hint="eastAsia"/>
          <w:sz w:val="32"/>
          <w:szCs w:val="28"/>
        </w:rPr>
        <w:t>國際</w:t>
      </w:r>
      <w:r w:rsidR="00B7430E">
        <w:rPr>
          <w:rFonts w:ascii="標楷體" w:eastAsia="標楷體" w:hAnsi="標楷體" w:hint="eastAsia"/>
          <w:sz w:val="32"/>
          <w:szCs w:val="28"/>
        </w:rPr>
        <w:t>市場</w:t>
      </w:r>
    </w:p>
    <w:p w14:paraId="6B55FCF0" w14:textId="77777777" w:rsidR="00353057" w:rsidRPr="00164F63" w:rsidRDefault="00353057"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t>1</w:t>
      </w:r>
      <w:r w:rsidRPr="00164F63">
        <w:rPr>
          <w:rFonts w:ascii="標楷體" w:eastAsia="標楷體" w:hAnsi="標楷體" w:hint="eastAsia"/>
          <w:sz w:val="32"/>
          <w:szCs w:val="28"/>
        </w:rPr>
        <w:t>.</w:t>
      </w:r>
      <w:r>
        <w:rPr>
          <w:rFonts w:ascii="標楷體" w:eastAsia="標楷體" w:hAnsi="標楷體" w:hint="eastAsia"/>
          <w:sz w:val="32"/>
          <w:szCs w:val="28"/>
        </w:rPr>
        <w:t>打造</w:t>
      </w:r>
      <w:r w:rsidRPr="00164F63">
        <w:rPr>
          <w:rFonts w:ascii="標楷體" w:eastAsia="標楷體" w:hAnsi="標楷體" w:hint="eastAsia"/>
          <w:sz w:val="32"/>
          <w:szCs w:val="28"/>
        </w:rPr>
        <w:t>國家新創品牌：</w:t>
      </w:r>
      <w:r w:rsidRPr="00527E17">
        <w:rPr>
          <w:rFonts w:ascii="標楷體" w:eastAsia="標楷體" w:hAnsi="標楷體" w:hint="eastAsia"/>
          <w:sz w:val="32"/>
          <w:szCs w:val="28"/>
        </w:rPr>
        <w:t>國</w:t>
      </w:r>
      <w:r>
        <w:rPr>
          <w:rFonts w:ascii="標楷體" w:eastAsia="標楷體" w:hAnsi="標楷體" w:hint="eastAsia"/>
          <w:sz w:val="32"/>
          <w:szCs w:val="28"/>
        </w:rPr>
        <w:t>發會與民間新創社群</w:t>
      </w:r>
      <w:r w:rsidR="00B7430E">
        <w:rPr>
          <w:rFonts w:ascii="標楷體" w:eastAsia="標楷體" w:hAnsi="標楷體" w:hint="eastAsia"/>
          <w:sz w:val="32"/>
          <w:szCs w:val="28"/>
        </w:rPr>
        <w:t>夥伴</w:t>
      </w:r>
      <w:r>
        <w:rPr>
          <w:rFonts w:ascii="標楷體" w:eastAsia="標楷體" w:hAnsi="標楷體" w:hint="eastAsia"/>
          <w:sz w:val="32"/>
          <w:szCs w:val="28"/>
        </w:rPr>
        <w:t>共同打造國家新創品牌</w:t>
      </w:r>
      <w:r w:rsidRPr="00527E17">
        <w:rPr>
          <w:rFonts w:ascii="標楷體" w:eastAsia="標楷體" w:hAnsi="標楷體" w:hint="eastAsia"/>
          <w:sz w:val="32"/>
          <w:szCs w:val="28"/>
        </w:rPr>
        <w:t xml:space="preserve">「Startup Island </w:t>
      </w:r>
      <w:r w:rsidRPr="007A78D1">
        <w:rPr>
          <w:rFonts w:ascii="標楷體" w:eastAsia="標楷體" w:hAnsi="標楷體"/>
          <w:sz w:val="32"/>
          <w:szCs w:val="28"/>
        </w:rPr>
        <w:t>TAIWAN</w:t>
      </w:r>
      <w:r w:rsidRPr="00527E17">
        <w:rPr>
          <w:rFonts w:ascii="標楷體" w:eastAsia="標楷體" w:hAnsi="標楷體" w:hint="eastAsia"/>
          <w:sz w:val="32"/>
          <w:szCs w:val="28"/>
        </w:rPr>
        <w:t>」</w:t>
      </w:r>
      <w:r>
        <w:rPr>
          <w:rFonts w:ascii="標楷體" w:eastAsia="標楷體" w:hAnsi="標楷體" w:hint="eastAsia"/>
          <w:sz w:val="32"/>
          <w:szCs w:val="28"/>
        </w:rPr>
        <w:t>，於18日正式對外發表，並</w:t>
      </w:r>
      <w:r w:rsidRPr="00164F63">
        <w:rPr>
          <w:rFonts w:ascii="標楷體" w:eastAsia="標楷體" w:hAnsi="標楷體" w:hint="eastAsia"/>
          <w:sz w:val="32"/>
          <w:szCs w:val="28"/>
        </w:rPr>
        <w:t>將於明年1月</w:t>
      </w:r>
      <w:r w:rsidR="0025784C">
        <w:rPr>
          <w:rFonts w:ascii="標楷體" w:eastAsia="標楷體" w:hAnsi="標楷體" w:hint="eastAsia"/>
          <w:sz w:val="32"/>
          <w:szCs w:val="28"/>
        </w:rPr>
        <w:t>在</w:t>
      </w:r>
      <w:r w:rsidRPr="00164F63">
        <w:rPr>
          <w:rFonts w:ascii="標楷體" w:eastAsia="標楷體" w:hAnsi="標楷體" w:hint="eastAsia"/>
          <w:sz w:val="32"/>
          <w:szCs w:val="28"/>
        </w:rPr>
        <w:t>美</w:t>
      </w:r>
      <w:r>
        <w:rPr>
          <w:rFonts w:ascii="標楷體" w:eastAsia="標楷體" w:hAnsi="標楷體" w:hint="eastAsia"/>
          <w:sz w:val="32"/>
          <w:szCs w:val="28"/>
        </w:rPr>
        <w:t>國</w:t>
      </w:r>
      <w:r w:rsidRPr="00164F63">
        <w:rPr>
          <w:rFonts w:ascii="標楷體" w:eastAsia="標楷體" w:hAnsi="標楷體" w:hint="eastAsia"/>
          <w:sz w:val="32"/>
          <w:szCs w:val="28"/>
        </w:rPr>
        <w:t>消費電子展(CES)國際曝光</w:t>
      </w:r>
      <w:r>
        <w:rPr>
          <w:rFonts w:ascii="標楷體" w:eastAsia="標楷體" w:hAnsi="標楷體" w:hint="eastAsia"/>
          <w:sz w:val="32"/>
          <w:szCs w:val="28"/>
        </w:rPr>
        <w:t>，希望將此品牌</w:t>
      </w:r>
      <w:r w:rsidR="00E2498B">
        <w:rPr>
          <w:rFonts w:ascii="標楷體" w:eastAsia="標楷體" w:hAnsi="標楷體" w:hint="eastAsia"/>
          <w:sz w:val="32"/>
          <w:szCs w:val="28"/>
        </w:rPr>
        <w:t>作為新創拓展海外市場的支點</w:t>
      </w:r>
      <w:r>
        <w:rPr>
          <w:rFonts w:ascii="標楷體" w:eastAsia="標楷體" w:hAnsi="標楷體" w:hint="eastAsia"/>
          <w:sz w:val="32"/>
          <w:szCs w:val="28"/>
        </w:rPr>
        <w:t>。</w:t>
      </w:r>
    </w:p>
    <w:p w14:paraId="5CD5790C" w14:textId="77777777" w:rsidR="00164F63" w:rsidRDefault="00353057"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t>2</w:t>
      </w:r>
      <w:r w:rsidR="00164F63">
        <w:rPr>
          <w:rFonts w:ascii="標楷體" w:eastAsia="標楷體" w:hAnsi="標楷體" w:hint="eastAsia"/>
          <w:sz w:val="32"/>
          <w:szCs w:val="28"/>
        </w:rPr>
        <w:t>.</w:t>
      </w:r>
      <w:r w:rsidR="00164F63" w:rsidRPr="00164F63">
        <w:rPr>
          <w:rFonts w:ascii="標楷體" w:eastAsia="標楷體" w:hAnsi="標楷體" w:hint="eastAsia"/>
          <w:sz w:val="32"/>
          <w:szCs w:val="28"/>
        </w:rPr>
        <w:t>加速新創掌握海外商機：近年</w:t>
      </w:r>
      <w:r w:rsidR="00E2498B">
        <w:rPr>
          <w:rFonts w:ascii="標楷體" w:eastAsia="標楷體" w:hAnsi="標楷體" w:hint="eastAsia"/>
          <w:sz w:val="32"/>
          <w:szCs w:val="28"/>
        </w:rPr>
        <w:t>相關部會</w:t>
      </w:r>
      <w:r w:rsidR="00164F63" w:rsidRPr="00164F63">
        <w:rPr>
          <w:rFonts w:ascii="標楷體" w:eastAsia="標楷體" w:hAnsi="標楷體" w:hint="eastAsia"/>
          <w:sz w:val="32"/>
          <w:szCs w:val="28"/>
        </w:rPr>
        <w:t>已</w:t>
      </w:r>
      <w:r w:rsidR="00E2498B">
        <w:rPr>
          <w:rFonts w:ascii="標楷體" w:eastAsia="標楷體" w:hAnsi="標楷體" w:hint="eastAsia"/>
          <w:sz w:val="32"/>
          <w:szCs w:val="28"/>
        </w:rPr>
        <w:t>協助</w:t>
      </w:r>
      <w:r w:rsidR="00164F63" w:rsidRPr="00164F63">
        <w:rPr>
          <w:rFonts w:ascii="標楷體" w:eastAsia="標楷體" w:hAnsi="標楷體" w:hint="eastAsia"/>
          <w:sz w:val="32"/>
          <w:szCs w:val="28"/>
        </w:rPr>
        <w:t>新創赴美國、西班牙、泰國、新加坡等展會</w:t>
      </w:r>
      <w:r w:rsidR="00E2498B">
        <w:rPr>
          <w:rFonts w:ascii="標楷體" w:eastAsia="標楷體" w:hAnsi="標楷體" w:hint="eastAsia"/>
          <w:sz w:val="32"/>
          <w:szCs w:val="28"/>
        </w:rPr>
        <w:t>。</w:t>
      </w:r>
      <w:r w:rsidR="00164F63" w:rsidRPr="00164F63">
        <w:rPr>
          <w:rFonts w:ascii="標楷體" w:eastAsia="標楷體" w:hAnsi="標楷體" w:hint="eastAsia"/>
          <w:sz w:val="32"/>
          <w:szCs w:val="28"/>
        </w:rPr>
        <w:t>其中，科技部</w:t>
      </w:r>
      <w:r>
        <w:rPr>
          <w:rFonts w:ascii="標楷體" w:eastAsia="標楷體" w:hAnsi="標楷體" w:hint="eastAsia"/>
          <w:sz w:val="32"/>
          <w:szCs w:val="28"/>
        </w:rPr>
        <w:t>連兩年</w:t>
      </w:r>
      <w:r w:rsidR="00164F63" w:rsidRPr="00164F63">
        <w:rPr>
          <w:rFonts w:ascii="標楷體" w:eastAsia="標楷體" w:hAnsi="標楷體" w:hint="eastAsia"/>
          <w:sz w:val="32"/>
          <w:szCs w:val="28"/>
        </w:rPr>
        <w:t>赴美國CES爭取85億元</w:t>
      </w:r>
      <w:r>
        <w:rPr>
          <w:rFonts w:ascii="標楷體" w:eastAsia="標楷體" w:hAnsi="標楷體" w:hint="eastAsia"/>
          <w:sz w:val="32"/>
          <w:szCs w:val="28"/>
        </w:rPr>
        <w:t>訂單後</w:t>
      </w:r>
      <w:r w:rsidR="00164F63" w:rsidRPr="00164F63">
        <w:rPr>
          <w:rFonts w:ascii="標楷體" w:eastAsia="標楷體" w:hAnsi="標楷體" w:hint="eastAsia"/>
          <w:sz w:val="32"/>
          <w:szCs w:val="28"/>
        </w:rPr>
        <w:t>，明年更將聯合中央及地方，共同帶領77家</w:t>
      </w:r>
      <w:r>
        <w:rPr>
          <w:rFonts w:ascii="標楷體" w:eastAsia="標楷體" w:hAnsi="標楷體" w:hint="eastAsia"/>
          <w:sz w:val="32"/>
          <w:szCs w:val="28"/>
        </w:rPr>
        <w:t>赴</w:t>
      </w:r>
      <w:r w:rsidR="00164F63" w:rsidRPr="00164F63">
        <w:rPr>
          <w:rFonts w:ascii="標楷體" w:eastAsia="標楷體" w:hAnsi="標楷體" w:hint="eastAsia"/>
          <w:sz w:val="32"/>
          <w:szCs w:val="28"/>
        </w:rPr>
        <w:t>美爭取60億元商機。</w:t>
      </w:r>
    </w:p>
    <w:p w14:paraId="0491B6ED" w14:textId="77777777" w:rsidR="00A35D00" w:rsidRDefault="00353057"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lastRenderedPageBreak/>
        <w:t>3</w:t>
      </w:r>
      <w:r w:rsidR="00164F63" w:rsidRPr="00164F63">
        <w:rPr>
          <w:rFonts w:ascii="標楷體" w:eastAsia="標楷體" w:hAnsi="標楷體" w:hint="eastAsia"/>
          <w:sz w:val="32"/>
          <w:szCs w:val="28"/>
        </w:rPr>
        <w:t>.打造國際級新創聚落：台灣科技新創基地(TTA)已引進</w:t>
      </w:r>
      <w:r w:rsidR="00164F63">
        <w:rPr>
          <w:rFonts w:ascii="標楷體" w:eastAsia="標楷體" w:hAnsi="標楷體" w:hint="eastAsia"/>
          <w:sz w:val="32"/>
          <w:szCs w:val="28"/>
        </w:rPr>
        <w:t>5</w:t>
      </w:r>
      <w:r w:rsidR="00164F63" w:rsidRPr="00164F63">
        <w:rPr>
          <w:rFonts w:ascii="標楷體" w:eastAsia="標楷體" w:hAnsi="標楷體" w:hint="eastAsia"/>
          <w:sz w:val="32"/>
          <w:szCs w:val="28"/>
        </w:rPr>
        <w:t>家國際加速器及216</w:t>
      </w:r>
      <w:r>
        <w:rPr>
          <w:rFonts w:ascii="標楷體" w:eastAsia="標楷體" w:hAnsi="標楷體" w:hint="eastAsia"/>
          <w:sz w:val="32"/>
          <w:szCs w:val="28"/>
        </w:rPr>
        <w:t>隊</w:t>
      </w:r>
      <w:r w:rsidR="00164F63" w:rsidRPr="00164F63">
        <w:rPr>
          <w:rFonts w:ascii="標楷體" w:eastAsia="標楷體" w:hAnsi="標楷體" w:hint="eastAsia"/>
          <w:sz w:val="32"/>
          <w:szCs w:val="28"/>
        </w:rPr>
        <w:t>新創進駐，</w:t>
      </w:r>
      <w:r w:rsidR="00E2498B">
        <w:rPr>
          <w:rFonts w:ascii="標楷體" w:eastAsia="標楷體" w:hAnsi="標楷體" w:hint="eastAsia"/>
          <w:sz w:val="32"/>
          <w:szCs w:val="28"/>
        </w:rPr>
        <w:t>包含最近宣布</w:t>
      </w:r>
      <w:r>
        <w:rPr>
          <w:rFonts w:ascii="標楷體" w:eastAsia="標楷體" w:hAnsi="標楷體" w:hint="eastAsia"/>
          <w:sz w:val="32"/>
          <w:szCs w:val="28"/>
        </w:rPr>
        <w:t>引進的</w:t>
      </w:r>
      <w:r w:rsidR="00164F63" w:rsidRPr="00164F63">
        <w:rPr>
          <w:rFonts w:ascii="標楷體" w:eastAsia="標楷體" w:hAnsi="標楷體" w:hint="eastAsia"/>
          <w:sz w:val="32"/>
          <w:szCs w:val="28"/>
        </w:rPr>
        <w:t>全球頂尖加速器Techstars。林口新創園</w:t>
      </w:r>
      <w:r>
        <w:rPr>
          <w:rFonts w:ascii="標楷體" w:eastAsia="標楷體" w:hAnsi="標楷體" w:hint="eastAsia"/>
          <w:sz w:val="32"/>
          <w:szCs w:val="28"/>
        </w:rPr>
        <w:t>亦於</w:t>
      </w:r>
      <w:r w:rsidR="00164F63" w:rsidRPr="00164F63">
        <w:rPr>
          <w:rFonts w:ascii="標楷體" w:eastAsia="標楷體" w:hAnsi="標楷體" w:hint="eastAsia"/>
          <w:sz w:val="32"/>
          <w:szCs w:val="28"/>
        </w:rPr>
        <w:t>10月正式開幕，已招募132家國內外新創、加速器及亞馬遜AWS聯合創新中心等進駐。</w:t>
      </w:r>
    </w:p>
    <w:p w14:paraId="65235559" w14:textId="77777777" w:rsidR="00A35D00" w:rsidRDefault="00353057" w:rsidP="00150C9C">
      <w:pPr>
        <w:widowControl w:val="0"/>
        <w:overflowPunct w:val="0"/>
        <w:spacing w:beforeLines="50" w:before="120" w:after="0" w:line="480" w:lineRule="exact"/>
        <w:ind w:left="566" w:hangingChars="177" w:hanging="566"/>
        <w:jc w:val="both"/>
        <w:rPr>
          <w:rFonts w:ascii="標楷體" w:eastAsia="標楷體" w:hAnsi="標楷體"/>
          <w:sz w:val="32"/>
          <w:szCs w:val="28"/>
        </w:rPr>
      </w:pPr>
      <w:r>
        <w:rPr>
          <w:rFonts w:ascii="標楷體" w:eastAsia="標楷體" w:hAnsi="標楷體" w:hint="eastAsia"/>
          <w:sz w:val="32"/>
          <w:szCs w:val="28"/>
        </w:rPr>
        <w:t>(二)</w:t>
      </w:r>
      <w:r w:rsidR="00171B65" w:rsidRPr="00171B65">
        <w:rPr>
          <w:rFonts w:ascii="標楷體" w:eastAsia="標楷體" w:hAnsi="標楷體" w:hint="eastAsia"/>
          <w:sz w:val="32"/>
          <w:szCs w:val="28"/>
        </w:rPr>
        <w:t>充裕新創資金</w:t>
      </w:r>
    </w:p>
    <w:p w14:paraId="178E1A77" w14:textId="77777777" w:rsidR="00353057" w:rsidRDefault="00A35D00"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t>1.</w:t>
      </w:r>
      <w:r w:rsidR="00353057" w:rsidRPr="00353057">
        <w:rPr>
          <w:rFonts w:ascii="標楷體" w:eastAsia="標楷體" w:hAnsi="標楷體" w:hint="eastAsia"/>
          <w:sz w:val="32"/>
          <w:szCs w:val="28"/>
        </w:rPr>
        <w:t>創業天使投資倍速成長</w:t>
      </w:r>
      <w:r w:rsidR="00353057">
        <w:rPr>
          <w:rFonts w:ascii="標楷體" w:eastAsia="標楷體" w:hAnsi="標楷體" w:hint="eastAsia"/>
          <w:sz w:val="32"/>
          <w:szCs w:val="28"/>
        </w:rPr>
        <w:t>：</w:t>
      </w:r>
      <w:r w:rsidR="00401C2C" w:rsidRPr="00401C2C">
        <w:rPr>
          <w:rFonts w:ascii="標楷體" w:eastAsia="標楷體" w:hAnsi="標楷體" w:hint="eastAsia"/>
          <w:sz w:val="32"/>
          <w:szCs w:val="28"/>
        </w:rPr>
        <w:t>國發基金</w:t>
      </w:r>
      <w:r w:rsidR="00780628">
        <w:rPr>
          <w:rFonts w:ascii="標楷體" w:eastAsia="標楷體" w:hAnsi="標楷體" w:hint="eastAsia"/>
          <w:sz w:val="32"/>
          <w:szCs w:val="28"/>
        </w:rPr>
        <w:t>今年提出多項</w:t>
      </w:r>
      <w:r w:rsidR="00353057">
        <w:rPr>
          <w:rFonts w:ascii="標楷體" w:eastAsia="標楷體" w:hAnsi="標楷體" w:hint="eastAsia"/>
          <w:sz w:val="32"/>
          <w:szCs w:val="28"/>
        </w:rPr>
        <w:t>創</w:t>
      </w:r>
      <w:r w:rsidR="00401C2C" w:rsidRPr="00401C2C">
        <w:rPr>
          <w:rFonts w:ascii="標楷體" w:eastAsia="標楷體" w:hAnsi="標楷體" w:hint="eastAsia"/>
          <w:sz w:val="32"/>
          <w:szCs w:val="28"/>
        </w:rPr>
        <w:t>業天使投資方案</w:t>
      </w:r>
      <w:r w:rsidR="00780628">
        <w:rPr>
          <w:rFonts w:ascii="標楷體" w:eastAsia="標楷體" w:hAnsi="標楷體" w:hint="eastAsia"/>
          <w:sz w:val="32"/>
          <w:szCs w:val="28"/>
        </w:rPr>
        <w:t>精進措施，如</w:t>
      </w:r>
      <w:r w:rsidR="00353057" w:rsidRPr="00353057">
        <w:rPr>
          <w:rFonts w:ascii="標楷體" w:eastAsia="標楷體" w:hAnsi="標楷體" w:hint="eastAsia"/>
          <w:sz w:val="32"/>
          <w:szCs w:val="28"/>
        </w:rPr>
        <w:t>提高個案投資上限至2,000萬且累計可達1億元、</w:t>
      </w:r>
      <w:r w:rsidR="00780628">
        <w:rPr>
          <w:rFonts w:ascii="標楷體" w:eastAsia="標楷體" w:hAnsi="標楷體" w:hint="eastAsia"/>
          <w:sz w:val="32"/>
          <w:szCs w:val="28"/>
        </w:rPr>
        <w:t>提供</w:t>
      </w:r>
      <w:r w:rsidR="00353057" w:rsidRPr="00353057">
        <w:rPr>
          <w:rFonts w:ascii="標楷體" w:eastAsia="標楷體" w:hAnsi="標楷體" w:hint="eastAsia"/>
          <w:sz w:val="32"/>
          <w:szCs w:val="28"/>
        </w:rPr>
        <w:t>小額投資</w:t>
      </w:r>
      <w:r w:rsidR="00780628">
        <w:rPr>
          <w:rFonts w:ascii="標楷體" w:eastAsia="標楷體" w:hAnsi="標楷體" w:hint="eastAsia"/>
          <w:sz w:val="32"/>
          <w:szCs w:val="28"/>
        </w:rPr>
        <w:t>綠色通道等</w:t>
      </w:r>
      <w:r w:rsidR="00401C2C" w:rsidRPr="00401C2C">
        <w:rPr>
          <w:rFonts w:ascii="標楷體" w:eastAsia="標楷體" w:hAnsi="標楷體" w:hint="eastAsia"/>
          <w:sz w:val="32"/>
          <w:szCs w:val="28"/>
        </w:rPr>
        <w:t>，</w:t>
      </w:r>
      <w:r w:rsidR="00780628">
        <w:rPr>
          <w:rFonts w:ascii="標楷體" w:eastAsia="標楷體" w:hAnsi="標楷體" w:hint="eastAsia"/>
          <w:sz w:val="32"/>
          <w:szCs w:val="28"/>
        </w:rPr>
        <w:t>並加碼匡列額度至20億元</w:t>
      </w:r>
      <w:r w:rsidR="00E2498B">
        <w:rPr>
          <w:rFonts w:ascii="標楷體" w:eastAsia="標楷體" w:hAnsi="標楷體" w:hint="eastAsia"/>
          <w:sz w:val="32"/>
          <w:szCs w:val="28"/>
        </w:rPr>
        <w:t>。</w:t>
      </w:r>
      <w:r w:rsidR="00780628">
        <w:rPr>
          <w:rFonts w:ascii="標楷體" w:eastAsia="標楷體" w:hAnsi="標楷體" w:hint="eastAsia"/>
          <w:sz w:val="32"/>
          <w:szCs w:val="28"/>
        </w:rPr>
        <w:t>迄12月</w:t>
      </w:r>
      <w:r w:rsidR="00E2498B">
        <w:rPr>
          <w:rFonts w:ascii="標楷體" w:eastAsia="標楷體" w:hAnsi="標楷體" w:hint="eastAsia"/>
          <w:sz w:val="32"/>
          <w:szCs w:val="28"/>
        </w:rPr>
        <w:t>止，</w:t>
      </w:r>
      <w:r w:rsidR="00401C2C" w:rsidRPr="00401C2C">
        <w:rPr>
          <w:rFonts w:ascii="標楷體" w:eastAsia="標楷體" w:hAnsi="標楷體" w:hint="eastAsia"/>
          <w:sz w:val="32"/>
          <w:szCs w:val="28"/>
        </w:rPr>
        <w:t>已通過投資</w:t>
      </w:r>
      <w:r w:rsidR="00780628">
        <w:rPr>
          <w:rFonts w:ascii="標楷體" w:eastAsia="標楷體" w:hAnsi="標楷體" w:hint="eastAsia"/>
          <w:sz w:val="32"/>
          <w:szCs w:val="28"/>
        </w:rPr>
        <w:t>72</w:t>
      </w:r>
      <w:r w:rsidR="00401C2C" w:rsidRPr="00401C2C">
        <w:rPr>
          <w:rFonts w:ascii="標楷體" w:eastAsia="標楷體" w:hAnsi="標楷體" w:hint="eastAsia"/>
          <w:sz w:val="32"/>
          <w:szCs w:val="28"/>
        </w:rPr>
        <w:t>家新創</w:t>
      </w:r>
      <w:r w:rsidR="00334A96">
        <w:rPr>
          <w:rFonts w:ascii="標楷體" w:eastAsia="標楷體" w:hAnsi="標楷體" w:hint="eastAsia"/>
          <w:sz w:val="32"/>
          <w:szCs w:val="28"/>
        </w:rPr>
        <w:t>，如光禾感知(Osense)、雲云科技(CUBO)、幫你優(</w:t>
      </w:r>
      <w:r w:rsidR="00334A96" w:rsidRPr="00334A96">
        <w:rPr>
          <w:rFonts w:ascii="標楷體" w:eastAsia="標楷體" w:hAnsi="標楷體"/>
          <w:sz w:val="32"/>
          <w:szCs w:val="28"/>
        </w:rPr>
        <w:t>BoniO</w:t>
      </w:r>
      <w:r w:rsidR="00334A96">
        <w:rPr>
          <w:rFonts w:ascii="標楷體" w:eastAsia="標楷體" w:hAnsi="標楷體" w:hint="eastAsia"/>
          <w:sz w:val="32"/>
          <w:szCs w:val="28"/>
        </w:rPr>
        <w:t>)、</w:t>
      </w:r>
      <w:r w:rsidR="001E5074" w:rsidRPr="001E5074">
        <w:rPr>
          <w:rFonts w:ascii="標楷體" w:eastAsia="標楷體" w:hAnsi="標楷體" w:hint="eastAsia"/>
          <w:sz w:val="32"/>
          <w:szCs w:val="28"/>
        </w:rPr>
        <w:t>艾聚普</w:t>
      </w:r>
      <w:r w:rsidR="001E5074">
        <w:rPr>
          <w:rFonts w:ascii="標楷體" w:eastAsia="標楷體" w:hAnsi="標楷體" w:hint="eastAsia"/>
          <w:sz w:val="32"/>
          <w:szCs w:val="28"/>
        </w:rPr>
        <w:t>(</w:t>
      </w:r>
      <w:r w:rsidR="001E5074" w:rsidRPr="001E5074">
        <w:rPr>
          <w:rFonts w:ascii="標楷體" w:eastAsia="標楷體" w:hAnsi="標楷體" w:hint="eastAsia"/>
          <w:sz w:val="32"/>
          <w:szCs w:val="28"/>
        </w:rPr>
        <w:t>iDrip</w:t>
      </w:r>
      <w:r w:rsidR="001E5074">
        <w:rPr>
          <w:rFonts w:ascii="標楷體" w:eastAsia="標楷體" w:hAnsi="標楷體" w:hint="eastAsia"/>
          <w:sz w:val="32"/>
          <w:szCs w:val="28"/>
        </w:rPr>
        <w:t>)</w:t>
      </w:r>
      <w:r w:rsidR="00334A96">
        <w:rPr>
          <w:rFonts w:ascii="標楷體" w:eastAsia="標楷體" w:hAnsi="標楷體" w:hint="eastAsia"/>
          <w:sz w:val="32"/>
          <w:szCs w:val="28"/>
        </w:rPr>
        <w:t>等</w:t>
      </w:r>
      <w:r w:rsidR="00780628">
        <w:rPr>
          <w:rFonts w:ascii="標楷體" w:eastAsia="標楷體" w:hAnsi="標楷體" w:hint="eastAsia"/>
          <w:sz w:val="32"/>
          <w:szCs w:val="28"/>
        </w:rPr>
        <w:t>，</w:t>
      </w:r>
      <w:r w:rsidR="00780628" w:rsidRPr="00780628">
        <w:rPr>
          <w:rFonts w:ascii="標楷體" w:eastAsia="標楷體" w:hAnsi="標楷體" w:hint="eastAsia"/>
          <w:sz w:val="32"/>
          <w:szCs w:val="28"/>
        </w:rPr>
        <w:t>帶動總投資逾25億元</w:t>
      </w:r>
      <w:r w:rsidR="00401C2C" w:rsidRPr="00401C2C">
        <w:rPr>
          <w:rFonts w:ascii="標楷體" w:eastAsia="標楷體" w:hAnsi="標楷體" w:hint="eastAsia"/>
          <w:sz w:val="32"/>
          <w:szCs w:val="28"/>
        </w:rPr>
        <w:t>。</w:t>
      </w:r>
    </w:p>
    <w:p w14:paraId="419A069F" w14:textId="77777777" w:rsidR="00401C2C" w:rsidRDefault="00780628"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t>2.</w:t>
      </w:r>
      <w:r w:rsidRPr="00780628">
        <w:rPr>
          <w:rFonts w:ascii="標楷體" w:eastAsia="標楷體" w:hAnsi="標楷體" w:hint="eastAsia"/>
          <w:sz w:val="32"/>
          <w:szCs w:val="28"/>
        </w:rPr>
        <w:t>租稅優惠鼓勵投資：</w:t>
      </w:r>
      <w:r>
        <w:rPr>
          <w:rFonts w:ascii="標楷體" w:eastAsia="標楷體" w:hAnsi="標楷體" w:hint="eastAsia"/>
          <w:sz w:val="32"/>
          <w:szCs w:val="28"/>
        </w:rPr>
        <w:t>去年6月發布</w:t>
      </w:r>
      <w:r w:rsidRPr="00780628">
        <w:rPr>
          <w:rFonts w:ascii="標楷體" w:eastAsia="標楷體" w:hAnsi="標楷體" w:hint="eastAsia"/>
          <w:sz w:val="32"/>
          <w:szCs w:val="28"/>
        </w:rPr>
        <w:t>產創條例</w:t>
      </w:r>
      <w:r>
        <w:rPr>
          <w:rFonts w:ascii="標楷體" w:eastAsia="標楷體" w:hAnsi="標楷體" w:hint="eastAsia"/>
          <w:sz w:val="32"/>
          <w:szCs w:val="28"/>
        </w:rPr>
        <w:t>天使投資人租稅優惠，</w:t>
      </w:r>
      <w:r w:rsidRPr="00780628">
        <w:rPr>
          <w:rFonts w:ascii="標楷體" w:eastAsia="標楷體" w:hAnsi="標楷體" w:hint="eastAsia"/>
          <w:sz w:val="32"/>
          <w:szCs w:val="28"/>
        </w:rPr>
        <w:t>已有</w:t>
      </w:r>
      <w:r>
        <w:rPr>
          <w:rFonts w:ascii="標楷體" w:eastAsia="標楷體" w:hAnsi="標楷體" w:hint="eastAsia"/>
          <w:sz w:val="32"/>
          <w:szCs w:val="28"/>
        </w:rPr>
        <w:t>53家</w:t>
      </w:r>
      <w:r w:rsidRPr="00780628">
        <w:rPr>
          <w:rFonts w:ascii="標楷體" w:eastAsia="標楷體" w:hAnsi="標楷體" w:hint="eastAsia"/>
          <w:sz w:val="32"/>
          <w:szCs w:val="28"/>
        </w:rPr>
        <w:t>新創</w:t>
      </w:r>
      <w:r>
        <w:rPr>
          <w:rFonts w:ascii="標楷體" w:eastAsia="標楷體" w:hAnsi="標楷體" w:hint="eastAsia"/>
          <w:sz w:val="32"/>
          <w:szCs w:val="28"/>
        </w:rPr>
        <w:t>通過審查</w:t>
      </w:r>
      <w:r w:rsidRPr="00780628">
        <w:rPr>
          <w:rFonts w:ascii="標楷體" w:eastAsia="標楷體" w:hAnsi="標楷體" w:hint="eastAsia"/>
          <w:sz w:val="32"/>
          <w:szCs w:val="28"/>
        </w:rPr>
        <w:t>，天使投資人得享綜合所得總額最高得減除300萬元</w:t>
      </w:r>
      <w:r>
        <w:rPr>
          <w:rFonts w:ascii="標楷體" w:eastAsia="標楷體" w:hAnsi="標楷體" w:hint="eastAsia"/>
          <w:sz w:val="32"/>
          <w:szCs w:val="28"/>
        </w:rPr>
        <w:t>之租稅優惠</w:t>
      </w:r>
      <w:r w:rsidRPr="00780628">
        <w:rPr>
          <w:rFonts w:ascii="標楷體" w:eastAsia="標楷體" w:hAnsi="標楷體" w:hint="eastAsia"/>
          <w:sz w:val="32"/>
          <w:szCs w:val="28"/>
        </w:rPr>
        <w:t>。</w:t>
      </w:r>
    </w:p>
    <w:p w14:paraId="4CFCCEDD" w14:textId="77777777" w:rsidR="00B7430E" w:rsidRPr="00B7430E" w:rsidRDefault="00B7430E"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t>3.</w:t>
      </w:r>
      <w:r w:rsidRPr="00171B65">
        <w:rPr>
          <w:rFonts w:ascii="標楷體" w:eastAsia="標楷體" w:hAnsi="標楷體" w:hint="eastAsia"/>
          <w:sz w:val="32"/>
          <w:szCs w:val="28"/>
        </w:rPr>
        <w:t>產學合作新創</w:t>
      </w:r>
      <w:r>
        <w:rPr>
          <w:rFonts w:ascii="標楷體" w:eastAsia="標楷體" w:hAnsi="標楷體" w:hint="eastAsia"/>
          <w:sz w:val="32"/>
          <w:szCs w:val="28"/>
        </w:rPr>
        <w:t>成功募資</w:t>
      </w:r>
      <w:r w:rsidRPr="00171B65">
        <w:rPr>
          <w:rFonts w:ascii="標楷體" w:eastAsia="標楷體" w:hAnsi="標楷體" w:hint="eastAsia"/>
          <w:sz w:val="32"/>
          <w:szCs w:val="28"/>
        </w:rPr>
        <w:t>：科技部已促成15件產學合作個案成立新創並成功募資</w:t>
      </w:r>
      <w:r>
        <w:rPr>
          <w:rFonts w:ascii="標楷體" w:eastAsia="標楷體" w:hAnsi="標楷體" w:hint="eastAsia"/>
          <w:sz w:val="32"/>
          <w:szCs w:val="28"/>
        </w:rPr>
        <w:t>，總估值逾</w:t>
      </w:r>
      <w:r w:rsidRPr="0025784C">
        <w:rPr>
          <w:rFonts w:ascii="標楷體" w:eastAsia="標楷體" w:hAnsi="標楷體" w:hint="eastAsia"/>
          <w:sz w:val="32"/>
          <w:szCs w:val="28"/>
        </w:rPr>
        <w:t>37億元，如</w:t>
      </w:r>
      <w:r w:rsidR="0025784C" w:rsidRPr="0025784C">
        <w:rPr>
          <w:rFonts w:ascii="標楷體" w:eastAsia="標楷體" w:hAnsi="標楷體" w:hint="eastAsia"/>
          <w:sz w:val="32"/>
          <w:szCs w:val="28"/>
        </w:rPr>
        <w:t>中興大學楊教授快速堆肥技術成功募資3億元</w:t>
      </w:r>
      <w:r w:rsidRPr="0025784C">
        <w:rPr>
          <w:rFonts w:ascii="標楷體" w:eastAsia="標楷體" w:hAnsi="標楷體" w:hint="eastAsia"/>
          <w:sz w:val="32"/>
          <w:szCs w:val="28"/>
        </w:rPr>
        <w:t>。</w:t>
      </w:r>
    </w:p>
    <w:p w14:paraId="1998CA9B" w14:textId="77777777" w:rsidR="00780628" w:rsidRPr="00780628" w:rsidRDefault="00780628" w:rsidP="00150C9C">
      <w:pPr>
        <w:widowControl w:val="0"/>
        <w:overflowPunct w:val="0"/>
        <w:spacing w:beforeLines="50" w:before="120" w:after="0" w:line="480" w:lineRule="exact"/>
        <w:ind w:left="566" w:hangingChars="177" w:hanging="566"/>
        <w:jc w:val="both"/>
        <w:rPr>
          <w:rFonts w:ascii="標楷體" w:eastAsia="標楷體" w:hAnsi="標楷體"/>
          <w:sz w:val="32"/>
          <w:szCs w:val="28"/>
        </w:rPr>
      </w:pPr>
      <w:r>
        <w:rPr>
          <w:rFonts w:ascii="標楷體" w:eastAsia="標楷體" w:hAnsi="標楷體" w:hint="eastAsia"/>
          <w:sz w:val="32"/>
          <w:szCs w:val="28"/>
        </w:rPr>
        <w:t>(三)</w:t>
      </w:r>
      <w:r w:rsidR="00367F62">
        <w:rPr>
          <w:rFonts w:ascii="標楷體" w:eastAsia="標楷體" w:hAnsi="標楷體" w:hint="eastAsia"/>
          <w:sz w:val="32"/>
          <w:szCs w:val="28"/>
        </w:rPr>
        <w:t>活絡</w:t>
      </w:r>
      <w:r w:rsidRPr="00780628">
        <w:rPr>
          <w:rFonts w:ascii="標楷體" w:eastAsia="標楷體" w:hAnsi="標楷體" w:hint="eastAsia"/>
          <w:sz w:val="32"/>
          <w:szCs w:val="28"/>
        </w:rPr>
        <w:t>人才及</w:t>
      </w:r>
      <w:r w:rsidR="00367F62">
        <w:rPr>
          <w:rFonts w:ascii="標楷體" w:eastAsia="標楷體" w:hAnsi="標楷體" w:hint="eastAsia"/>
          <w:sz w:val="32"/>
          <w:szCs w:val="28"/>
        </w:rPr>
        <w:t>鬆綁</w:t>
      </w:r>
      <w:r w:rsidRPr="00780628">
        <w:rPr>
          <w:rFonts w:ascii="標楷體" w:eastAsia="標楷體" w:hAnsi="標楷體" w:hint="eastAsia"/>
          <w:sz w:val="32"/>
          <w:szCs w:val="28"/>
        </w:rPr>
        <w:t>法規</w:t>
      </w:r>
    </w:p>
    <w:p w14:paraId="15A15961" w14:textId="78EF91DF" w:rsidR="009D0FED" w:rsidRDefault="00780628"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sidRPr="00780628">
        <w:rPr>
          <w:rFonts w:ascii="標楷體" w:eastAsia="標楷體" w:hAnsi="標楷體" w:hint="eastAsia"/>
          <w:sz w:val="32"/>
          <w:szCs w:val="28"/>
        </w:rPr>
        <w:t>1.人才專法吸引國際人士來台：</w:t>
      </w:r>
      <w:r>
        <w:rPr>
          <w:rFonts w:ascii="標楷體" w:eastAsia="標楷體" w:hAnsi="標楷體" w:hint="eastAsia"/>
          <w:sz w:val="32"/>
          <w:szCs w:val="28"/>
        </w:rPr>
        <w:t>去年2月施行</w:t>
      </w:r>
      <w:r w:rsidRPr="00780628">
        <w:rPr>
          <w:rFonts w:ascii="標楷體" w:eastAsia="標楷體" w:hAnsi="標楷體" w:hint="eastAsia"/>
          <w:sz w:val="32"/>
          <w:szCs w:val="28"/>
        </w:rPr>
        <w:t>「外國專業人才延攬及僱用法」</w:t>
      </w:r>
      <w:r>
        <w:rPr>
          <w:rFonts w:ascii="標楷體" w:eastAsia="標楷體" w:hAnsi="標楷體" w:hint="eastAsia"/>
          <w:sz w:val="32"/>
          <w:szCs w:val="28"/>
        </w:rPr>
        <w:t>，已</w:t>
      </w:r>
      <w:r w:rsidRPr="00780628">
        <w:rPr>
          <w:rFonts w:ascii="標楷體" w:eastAsia="標楷體" w:hAnsi="標楷體" w:hint="eastAsia"/>
          <w:sz w:val="32"/>
          <w:szCs w:val="28"/>
        </w:rPr>
        <w:t>核發就業金卡</w:t>
      </w:r>
      <w:r w:rsidR="006B31E0">
        <w:rPr>
          <w:rFonts w:ascii="標楷體" w:eastAsia="標楷體" w:hAnsi="標楷體"/>
          <w:sz w:val="32"/>
          <w:szCs w:val="28"/>
        </w:rPr>
        <w:t>536</w:t>
      </w:r>
      <w:bookmarkStart w:id="0" w:name="_GoBack"/>
      <w:bookmarkEnd w:id="0"/>
      <w:r w:rsidRPr="00780628">
        <w:rPr>
          <w:rFonts w:ascii="標楷體" w:eastAsia="標楷體" w:hAnsi="標楷體" w:hint="eastAsia"/>
          <w:sz w:val="32"/>
          <w:szCs w:val="28"/>
        </w:rPr>
        <w:t>張</w:t>
      </w:r>
      <w:r>
        <w:rPr>
          <w:rFonts w:ascii="標楷體" w:eastAsia="標楷體" w:hAnsi="標楷體" w:hint="eastAsia"/>
          <w:sz w:val="32"/>
          <w:szCs w:val="28"/>
        </w:rPr>
        <w:t>，</w:t>
      </w:r>
      <w:r w:rsidRPr="00780628">
        <w:rPr>
          <w:rFonts w:ascii="標楷體" w:eastAsia="標楷體" w:hAnsi="標楷體" w:hint="eastAsia"/>
          <w:sz w:val="32"/>
          <w:szCs w:val="28"/>
        </w:rPr>
        <w:t>如YouTube創辦人陳士駿</w:t>
      </w:r>
      <w:r>
        <w:rPr>
          <w:rFonts w:ascii="標楷體" w:eastAsia="標楷體" w:hAnsi="標楷體" w:hint="eastAsia"/>
          <w:sz w:val="32"/>
          <w:szCs w:val="28"/>
        </w:rPr>
        <w:t>，並</w:t>
      </w:r>
      <w:r w:rsidR="009D0FED">
        <w:rPr>
          <w:rFonts w:ascii="標楷體" w:eastAsia="標楷體" w:hAnsi="標楷體" w:hint="eastAsia"/>
          <w:sz w:val="32"/>
          <w:szCs w:val="28"/>
        </w:rPr>
        <w:t>放寬</w:t>
      </w:r>
      <w:r w:rsidRPr="00780628">
        <w:rPr>
          <w:rFonts w:ascii="標楷體" w:eastAsia="標楷體" w:hAnsi="標楷體" w:hint="eastAsia"/>
          <w:sz w:val="32"/>
          <w:szCs w:val="28"/>
        </w:rPr>
        <w:t>核准首次在台工作居留之外國人才，可享所得稅優惠</w:t>
      </w:r>
      <w:r w:rsidR="009D0FED">
        <w:rPr>
          <w:rFonts w:ascii="標楷體" w:eastAsia="標楷體" w:hAnsi="標楷體" w:hint="eastAsia"/>
          <w:sz w:val="32"/>
          <w:szCs w:val="28"/>
        </w:rPr>
        <w:t>。</w:t>
      </w:r>
    </w:p>
    <w:p w14:paraId="69EE9323" w14:textId="77777777" w:rsidR="00780628" w:rsidRDefault="009D0FED" w:rsidP="00150C9C">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t>2.</w:t>
      </w:r>
      <w:r w:rsidRPr="009D0FED">
        <w:rPr>
          <w:rFonts w:ascii="標楷體" w:eastAsia="標楷體" w:hAnsi="標楷體" w:hint="eastAsia"/>
          <w:sz w:val="32"/>
          <w:szCs w:val="28"/>
        </w:rPr>
        <w:t>鬆綁法規助新創發展：新版公司法</w:t>
      </w:r>
      <w:r>
        <w:rPr>
          <w:rFonts w:ascii="標楷體" w:eastAsia="標楷體" w:hAnsi="標楷體" w:hint="eastAsia"/>
          <w:sz w:val="32"/>
          <w:szCs w:val="28"/>
        </w:rPr>
        <w:t>去年11月</w:t>
      </w:r>
      <w:r w:rsidRPr="009D0FED">
        <w:rPr>
          <w:rFonts w:ascii="標楷體" w:eastAsia="標楷體" w:hAnsi="標楷體" w:hint="eastAsia"/>
          <w:sz w:val="32"/>
          <w:szCs w:val="28"/>
        </w:rPr>
        <w:t>正式上路，提出10項有助新創發展措施</w:t>
      </w:r>
      <w:r>
        <w:rPr>
          <w:rFonts w:ascii="標楷體" w:eastAsia="標楷體" w:hAnsi="標楷體" w:hint="eastAsia"/>
          <w:sz w:val="32"/>
          <w:szCs w:val="28"/>
        </w:rPr>
        <w:t>，迄11月已有逾千家新設公司</w:t>
      </w:r>
      <w:r w:rsidRPr="009D0FED">
        <w:rPr>
          <w:rFonts w:ascii="標楷體" w:eastAsia="標楷體" w:hAnsi="標楷體" w:hint="eastAsia"/>
          <w:sz w:val="32"/>
          <w:szCs w:val="28"/>
        </w:rPr>
        <w:t>採無面額股、</w:t>
      </w:r>
      <w:r>
        <w:rPr>
          <w:rFonts w:ascii="標楷體" w:eastAsia="標楷體" w:hAnsi="標楷體" w:hint="eastAsia"/>
          <w:sz w:val="32"/>
          <w:szCs w:val="28"/>
        </w:rPr>
        <w:t>逾百家</w:t>
      </w:r>
      <w:r w:rsidRPr="009D0FED">
        <w:rPr>
          <w:rFonts w:ascii="標楷體" w:eastAsia="標楷體" w:hAnsi="標楷體" w:hint="eastAsia"/>
          <w:sz w:val="32"/>
          <w:szCs w:val="28"/>
        </w:rPr>
        <w:t>有複數表決權特別股。</w:t>
      </w:r>
    </w:p>
    <w:p w14:paraId="008F88B3" w14:textId="77777777" w:rsidR="00401C2C" w:rsidRDefault="009D0FED" w:rsidP="00E473E8">
      <w:pPr>
        <w:widowControl w:val="0"/>
        <w:overflowPunct w:val="0"/>
        <w:spacing w:beforeLines="50" w:before="120" w:after="0" w:line="480" w:lineRule="exact"/>
        <w:ind w:leftChars="100" w:left="540" w:hangingChars="100" w:hanging="320"/>
        <w:jc w:val="both"/>
        <w:rPr>
          <w:rFonts w:ascii="標楷體" w:eastAsia="標楷體" w:hAnsi="標楷體"/>
          <w:sz w:val="32"/>
          <w:szCs w:val="28"/>
        </w:rPr>
      </w:pPr>
      <w:r>
        <w:rPr>
          <w:rFonts w:ascii="標楷體" w:eastAsia="標楷體" w:hAnsi="標楷體" w:hint="eastAsia"/>
          <w:sz w:val="32"/>
          <w:szCs w:val="28"/>
        </w:rPr>
        <w:lastRenderedPageBreak/>
        <w:t>3.</w:t>
      </w:r>
      <w:r w:rsidRPr="009D0FED">
        <w:rPr>
          <w:rFonts w:ascii="標楷體" w:eastAsia="標楷體" w:hAnsi="標楷體" w:hint="eastAsia"/>
          <w:sz w:val="32"/>
          <w:szCs w:val="28"/>
        </w:rPr>
        <w:t>協助釐清法規灰色地帶：新創法規調適平臺已協調處理29項，包括共享停車位分級管理、釐清在地創生經營者依發展觀光條例從事地方體驗活動之可行方式等。</w:t>
      </w:r>
    </w:p>
    <w:p w14:paraId="1D7BEC7C" w14:textId="77777777" w:rsidR="00897B5D" w:rsidRDefault="00897B5D" w:rsidP="00186F5F">
      <w:pPr>
        <w:overflowPunct w:val="0"/>
        <w:spacing w:beforeLines="50" w:before="120" w:after="0" w:line="480" w:lineRule="exact"/>
        <w:ind w:firstLineChars="177" w:firstLine="566"/>
        <w:jc w:val="both"/>
        <w:rPr>
          <w:rFonts w:ascii="標楷體" w:eastAsia="標楷體" w:hAnsi="標楷體"/>
          <w:sz w:val="32"/>
          <w:szCs w:val="28"/>
        </w:rPr>
      </w:pPr>
      <w:r>
        <w:rPr>
          <w:rFonts w:ascii="標楷體" w:eastAsia="標楷體" w:hAnsi="標楷體" w:hint="eastAsia"/>
          <w:sz w:val="32"/>
          <w:szCs w:val="28"/>
        </w:rPr>
        <w:t>國發會進一步表示，面對新創環境變化快速，</w:t>
      </w:r>
      <w:r w:rsidR="00150C9C">
        <w:rPr>
          <w:rFonts w:ascii="標楷體" w:eastAsia="標楷體" w:hAnsi="標楷體" w:hint="eastAsia"/>
          <w:sz w:val="32"/>
          <w:szCs w:val="28"/>
        </w:rPr>
        <w:t>協助</w:t>
      </w:r>
      <w:r>
        <w:rPr>
          <w:rFonts w:ascii="標楷體" w:eastAsia="標楷體" w:hAnsi="標楷體" w:hint="eastAsia"/>
          <w:sz w:val="32"/>
          <w:szCs w:val="28"/>
        </w:rPr>
        <w:t>新創策略須與時俱進</w:t>
      </w:r>
      <w:r w:rsidR="00E2498B">
        <w:rPr>
          <w:rFonts w:ascii="標楷體" w:eastAsia="標楷體" w:hAnsi="標楷體" w:hint="eastAsia"/>
          <w:sz w:val="32"/>
          <w:szCs w:val="28"/>
        </w:rPr>
        <w:t>。</w:t>
      </w:r>
      <w:r w:rsidR="00150C9C">
        <w:rPr>
          <w:rFonts w:ascii="標楷體" w:eastAsia="標楷體" w:hAnsi="標楷體" w:hint="eastAsia"/>
          <w:sz w:val="32"/>
          <w:szCs w:val="28"/>
        </w:rPr>
        <w:t>因此，</w:t>
      </w:r>
      <w:r>
        <w:rPr>
          <w:rFonts w:ascii="標楷體" w:eastAsia="標楷體" w:hAnsi="標楷體" w:hint="eastAsia"/>
          <w:sz w:val="32"/>
          <w:szCs w:val="28"/>
        </w:rPr>
        <w:t>國發會</w:t>
      </w:r>
      <w:r w:rsidR="00E2498B">
        <w:rPr>
          <w:rFonts w:ascii="標楷體" w:eastAsia="標楷體" w:hAnsi="標楷體" w:hint="eastAsia"/>
          <w:sz w:val="32"/>
          <w:szCs w:val="28"/>
        </w:rPr>
        <w:t>明年</w:t>
      </w:r>
      <w:r>
        <w:rPr>
          <w:rFonts w:ascii="標楷體" w:eastAsia="標楷體" w:hAnsi="標楷體" w:hint="eastAsia"/>
          <w:sz w:val="32"/>
          <w:szCs w:val="28"/>
        </w:rPr>
        <w:t>持續攜手各部會，</w:t>
      </w:r>
      <w:r w:rsidR="00B7430E">
        <w:rPr>
          <w:rFonts w:ascii="標楷體" w:eastAsia="標楷體" w:hAnsi="標楷體" w:hint="eastAsia"/>
          <w:sz w:val="32"/>
          <w:szCs w:val="28"/>
        </w:rPr>
        <w:t>滾動檢討</w:t>
      </w:r>
      <w:r w:rsidR="00150C9C">
        <w:rPr>
          <w:rFonts w:ascii="標楷體" w:eastAsia="標楷體" w:hAnsi="標楷體" w:hint="eastAsia"/>
          <w:sz w:val="32"/>
          <w:szCs w:val="28"/>
        </w:rPr>
        <w:t>提出優化新創環境</w:t>
      </w:r>
      <w:r>
        <w:rPr>
          <w:rFonts w:ascii="標楷體" w:eastAsia="標楷體" w:hAnsi="標楷體" w:hint="eastAsia"/>
          <w:sz w:val="32"/>
          <w:szCs w:val="28"/>
        </w:rPr>
        <w:t>精進作法</w:t>
      </w:r>
      <w:r w:rsidR="0025784C">
        <w:rPr>
          <w:rFonts w:ascii="標楷體" w:eastAsia="標楷體" w:hAnsi="標楷體" w:hint="eastAsia"/>
          <w:sz w:val="32"/>
          <w:szCs w:val="28"/>
        </w:rPr>
        <w:t>，例如：</w:t>
      </w:r>
      <w:r w:rsidR="00E2498B">
        <w:rPr>
          <w:rFonts w:ascii="標楷體" w:eastAsia="標楷體" w:hAnsi="標楷體" w:hint="eastAsia"/>
          <w:sz w:val="32"/>
          <w:szCs w:val="28"/>
        </w:rPr>
        <w:t>透過Demo Pitch或成立企業創投以</w:t>
      </w:r>
      <w:r w:rsidR="0025784C">
        <w:rPr>
          <w:rFonts w:ascii="標楷體" w:eastAsia="標楷體" w:hAnsi="標楷體" w:hint="eastAsia"/>
          <w:sz w:val="32"/>
          <w:szCs w:val="28"/>
        </w:rPr>
        <w:t>促進大企業與新創合作、公私</w:t>
      </w:r>
      <w:r w:rsidR="00E2498B">
        <w:rPr>
          <w:rFonts w:ascii="標楷體" w:eastAsia="標楷體" w:hAnsi="標楷體" w:hint="eastAsia"/>
          <w:sz w:val="32"/>
          <w:szCs w:val="28"/>
        </w:rPr>
        <w:t>合作大力</w:t>
      </w:r>
      <w:r w:rsidR="0025784C">
        <w:rPr>
          <w:rFonts w:ascii="標楷體" w:eastAsia="標楷體" w:hAnsi="標楷體" w:hint="eastAsia"/>
          <w:sz w:val="32"/>
          <w:szCs w:val="28"/>
        </w:rPr>
        <w:t>行銷</w:t>
      </w:r>
      <w:r w:rsidR="0025784C" w:rsidRPr="0025784C">
        <w:rPr>
          <w:rFonts w:ascii="標楷體" w:eastAsia="標楷體" w:hAnsi="標楷體" w:hint="eastAsia"/>
          <w:sz w:val="32"/>
          <w:szCs w:val="28"/>
        </w:rPr>
        <w:t>Startup Island Taiwan</w:t>
      </w:r>
      <w:r w:rsidR="0025784C">
        <w:rPr>
          <w:rFonts w:ascii="標楷體" w:eastAsia="標楷體" w:hAnsi="標楷體" w:hint="eastAsia"/>
          <w:sz w:val="32"/>
          <w:szCs w:val="28"/>
        </w:rPr>
        <w:t>、加強教育新創</w:t>
      </w:r>
      <w:r w:rsidR="00E2498B">
        <w:rPr>
          <w:rFonts w:ascii="標楷體" w:eastAsia="標楷體" w:hAnsi="標楷體" w:hint="eastAsia"/>
          <w:sz w:val="32"/>
          <w:szCs w:val="28"/>
        </w:rPr>
        <w:t>國際</w:t>
      </w:r>
      <w:r w:rsidR="0025784C">
        <w:rPr>
          <w:rFonts w:ascii="標楷體" w:eastAsia="標楷體" w:hAnsi="標楷體" w:hint="eastAsia"/>
          <w:sz w:val="32"/>
          <w:szCs w:val="28"/>
        </w:rPr>
        <w:t>發展等</w:t>
      </w:r>
      <w:r>
        <w:rPr>
          <w:rFonts w:ascii="標楷體" w:eastAsia="標楷體" w:hAnsi="標楷體" w:hint="eastAsia"/>
          <w:sz w:val="32"/>
          <w:szCs w:val="28"/>
        </w:rPr>
        <w:t>，</w:t>
      </w:r>
      <w:r w:rsidR="00150C9C">
        <w:rPr>
          <w:rFonts w:ascii="標楷體" w:eastAsia="標楷體" w:hAnsi="標楷體" w:hint="eastAsia"/>
          <w:sz w:val="32"/>
          <w:szCs w:val="28"/>
        </w:rPr>
        <w:t>以打造更具競爭力的新創生態</w:t>
      </w:r>
      <w:r w:rsidR="001E5074">
        <w:rPr>
          <w:rFonts w:ascii="標楷體" w:eastAsia="標楷體" w:hAnsi="標楷體" w:hint="eastAsia"/>
          <w:sz w:val="32"/>
          <w:szCs w:val="28"/>
        </w:rPr>
        <w:t>環境</w:t>
      </w:r>
      <w:r w:rsidR="00150C9C">
        <w:rPr>
          <w:rFonts w:ascii="標楷體" w:eastAsia="標楷體" w:hAnsi="標楷體" w:hint="eastAsia"/>
          <w:sz w:val="32"/>
          <w:szCs w:val="28"/>
        </w:rPr>
        <w:t>。</w:t>
      </w:r>
    </w:p>
    <w:p w14:paraId="362C0007" w14:textId="77777777" w:rsidR="00C534EE" w:rsidRDefault="00C534EE" w:rsidP="0086168A">
      <w:pPr>
        <w:overflowPunct w:val="0"/>
        <w:spacing w:beforeLines="50" w:before="120" w:after="0" w:line="480" w:lineRule="exact"/>
        <w:ind w:firstLineChars="177" w:firstLine="566"/>
        <w:jc w:val="both"/>
        <w:rPr>
          <w:rFonts w:ascii="標楷體" w:eastAsia="標楷體" w:hAnsi="標楷體"/>
          <w:sz w:val="32"/>
          <w:szCs w:val="28"/>
        </w:rPr>
      </w:pPr>
    </w:p>
    <w:p w14:paraId="5109ED9D" w14:textId="77777777" w:rsidR="0086168A" w:rsidRDefault="00826A9B" w:rsidP="0086168A">
      <w:pPr>
        <w:overflowPunct w:val="0"/>
        <w:spacing w:beforeLines="50" w:before="120" w:after="0" w:line="480" w:lineRule="exact"/>
        <w:ind w:firstLineChars="177" w:firstLine="566"/>
        <w:jc w:val="both"/>
        <w:rPr>
          <w:rFonts w:ascii="標楷體" w:eastAsia="標楷體" w:hAnsi="標楷體"/>
          <w:sz w:val="32"/>
          <w:szCs w:val="28"/>
        </w:rPr>
      </w:pPr>
      <w:r>
        <w:rPr>
          <w:rFonts w:ascii="標楷體" w:eastAsia="標楷體" w:hAnsi="標楷體"/>
          <w:noProof/>
          <w:sz w:val="32"/>
          <w:szCs w:val="28"/>
        </w:rPr>
        <w:drawing>
          <wp:anchor distT="0" distB="0" distL="114300" distR="114300" simplePos="0" relativeHeight="251662336" behindDoc="1" locked="0" layoutInCell="1" allowOverlap="1" wp14:anchorId="032081E0" wp14:editId="11232287">
            <wp:simplePos x="0" y="0"/>
            <wp:positionH relativeFrom="column">
              <wp:posOffset>510540</wp:posOffset>
            </wp:positionH>
            <wp:positionV relativeFrom="paragraph">
              <wp:posOffset>48260</wp:posOffset>
            </wp:positionV>
            <wp:extent cx="4754880" cy="3169920"/>
            <wp:effectExtent l="0" t="0" r="7620" b="0"/>
            <wp:wrapTight wrapText="bothSides">
              <wp:wrapPolygon edited="0">
                <wp:start x="0" y="0"/>
                <wp:lineTo x="0" y="21418"/>
                <wp:lineTo x="21548" y="21418"/>
                <wp:lineTo x="21548" y="0"/>
                <wp:lineTo x="0" y="0"/>
              </wp:wrapPolygon>
            </wp:wrapTight>
            <wp:docPr id="9" name="圖片 9" descr="N:\產業處\01_創新創業科\07. 委辦計畫\06. 國際科技新創品牌\(2.設計)第二次招標-「國家科技新創品牌形塑及設計」委辦案\13.品牌發表\國內發表記者會\6. 活動照片\精選\2019.12.18_Startup island_temp-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產業處\01_創新創業科\07. 委辦計畫\06. 國際科技新創品牌\(2.設計)第二次招標-「國家科技新創品牌形塑及設計」委辦案\13.品牌發表\國內發表記者會\6. 活動照片\精選\2019.12.18_Startup island_temp-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488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D72C3" w14:textId="77777777" w:rsidR="0086168A" w:rsidRDefault="0086168A" w:rsidP="0086168A">
      <w:pPr>
        <w:overflowPunct w:val="0"/>
        <w:spacing w:beforeLines="50" w:before="120" w:after="0" w:line="480" w:lineRule="exact"/>
        <w:ind w:firstLineChars="177" w:firstLine="566"/>
        <w:jc w:val="both"/>
        <w:rPr>
          <w:rFonts w:ascii="標楷體" w:eastAsia="標楷體" w:hAnsi="標楷體"/>
          <w:sz w:val="32"/>
          <w:szCs w:val="28"/>
        </w:rPr>
      </w:pPr>
    </w:p>
    <w:p w14:paraId="24584456" w14:textId="77777777" w:rsidR="0086168A" w:rsidRDefault="0086168A" w:rsidP="0086168A">
      <w:pPr>
        <w:overflowPunct w:val="0"/>
        <w:spacing w:beforeLines="50" w:before="120" w:after="0" w:line="480" w:lineRule="exact"/>
        <w:ind w:firstLineChars="177" w:firstLine="566"/>
        <w:jc w:val="both"/>
        <w:rPr>
          <w:rFonts w:ascii="標楷體" w:eastAsia="標楷體" w:hAnsi="標楷體"/>
          <w:sz w:val="32"/>
          <w:szCs w:val="28"/>
        </w:rPr>
      </w:pPr>
    </w:p>
    <w:p w14:paraId="69425222"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3055D9B7" w14:textId="77777777" w:rsidR="00186F5F" w:rsidRDefault="00186F5F" w:rsidP="0086168A">
      <w:pPr>
        <w:overflowPunct w:val="0"/>
        <w:snapToGrid w:val="0"/>
        <w:spacing w:beforeLines="50" w:before="120" w:after="0" w:line="240" w:lineRule="atLeast"/>
        <w:ind w:left="480" w:hangingChars="200" w:hanging="480"/>
        <w:rPr>
          <w:rFonts w:ascii="標楷體" w:eastAsia="標楷體" w:hAnsi="標楷體"/>
          <w:sz w:val="24"/>
          <w:szCs w:val="28"/>
        </w:rPr>
      </w:pPr>
    </w:p>
    <w:p w14:paraId="688E0284"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2B037545" w14:textId="77777777" w:rsidR="00186F5F" w:rsidRDefault="00186F5F" w:rsidP="0086168A">
      <w:pPr>
        <w:overflowPunct w:val="0"/>
        <w:snapToGrid w:val="0"/>
        <w:spacing w:beforeLines="50" w:before="120" w:after="0" w:line="240" w:lineRule="atLeast"/>
        <w:ind w:left="480" w:hangingChars="200" w:hanging="480"/>
        <w:rPr>
          <w:rFonts w:ascii="標楷體" w:eastAsia="標楷體" w:hAnsi="標楷體"/>
          <w:sz w:val="24"/>
          <w:szCs w:val="28"/>
        </w:rPr>
      </w:pPr>
    </w:p>
    <w:p w14:paraId="3EB6A073"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7F362115"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5AA02381"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4C7EF5E3" w14:textId="77777777" w:rsidR="00826A9B" w:rsidRDefault="00826A9B"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3DABE021" w14:textId="77777777" w:rsidR="0086168A" w:rsidRDefault="0086168A" w:rsidP="0086168A">
      <w:pPr>
        <w:overflowPunct w:val="0"/>
        <w:snapToGrid w:val="0"/>
        <w:spacing w:beforeLines="50" w:before="120" w:after="0" w:line="240" w:lineRule="atLeast"/>
        <w:ind w:left="480" w:hangingChars="200" w:hanging="480"/>
        <w:jc w:val="center"/>
        <w:rPr>
          <w:rFonts w:ascii="標楷體" w:eastAsia="標楷體" w:hAnsi="標楷體"/>
          <w:sz w:val="24"/>
          <w:szCs w:val="28"/>
        </w:rPr>
      </w:pPr>
      <w:r w:rsidRPr="00E473E8">
        <w:rPr>
          <w:rFonts w:ascii="標楷體" w:eastAsia="標楷體" w:hAnsi="標楷體" w:hint="eastAsia"/>
          <w:sz w:val="24"/>
          <w:szCs w:val="28"/>
        </w:rPr>
        <w:t>圖1:2019年</w:t>
      </w:r>
      <w:r>
        <w:rPr>
          <w:rFonts w:ascii="標楷體" w:eastAsia="標楷體" w:hAnsi="標楷體" w:hint="eastAsia"/>
          <w:sz w:val="24"/>
          <w:szCs w:val="28"/>
        </w:rPr>
        <w:t>12月國發會發表</w:t>
      </w:r>
      <w:r w:rsidR="00EA5DB4">
        <w:rPr>
          <w:rFonts w:ascii="標楷體" w:eastAsia="標楷體" w:hAnsi="標楷體" w:hint="eastAsia"/>
          <w:sz w:val="24"/>
          <w:szCs w:val="28"/>
        </w:rPr>
        <w:t>Startup Island Taiwan</w:t>
      </w:r>
    </w:p>
    <w:p w14:paraId="05C22397" w14:textId="77777777" w:rsidR="0086168A" w:rsidRDefault="0086168A"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03DC03EB" w14:textId="77777777" w:rsidR="0086168A" w:rsidRDefault="0086168A"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2A8EFA5B"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4A274070"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5EDFD82F"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4C757890"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519EFEF5" w14:textId="77777777" w:rsidR="00186F5F" w:rsidRDefault="00EA5DB4" w:rsidP="0021325E">
      <w:pPr>
        <w:overflowPunct w:val="0"/>
        <w:snapToGrid w:val="0"/>
        <w:spacing w:beforeLines="50" w:before="120" w:after="0" w:line="240" w:lineRule="atLeast"/>
        <w:ind w:left="480" w:hangingChars="200" w:hanging="480"/>
        <w:rPr>
          <w:rFonts w:ascii="標楷體" w:eastAsia="標楷體" w:hAnsi="標楷體"/>
          <w:sz w:val="24"/>
          <w:szCs w:val="28"/>
        </w:rPr>
      </w:pPr>
      <w:r>
        <w:rPr>
          <w:rFonts w:ascii="標楷體" w:eastAsia="標楷體" w:hAnsi="標楷體"/>
          <w:noProof/>
          <w:sz w:val="24"/>
          <w:szCs w:val="28"/>
        </w:rPr>
        <w:lastRenderedPageBreak/>
        <w:drawing>
          <wp:anchor distT="0" distB="0" distL="114300" distR="114300" simplePos="0" relativeHeight="251663360" behindDoc="1" locked="0" layoutInCell="1" allowOverlap="1" wp14:anchorId="0BF058B6" wp14:editId="1E87E30F">
            <wp:simplePos x="0" y="0"/>
            <wp:positionH relativeFrom="column">
              <wp:posOffset>534670</wp:posOffset>
            </wp:positionH>
            <wp:positionV relativeFrom="paragraph">
              <wp:posOffset>-233680</wp:posOffset>
            </wp:positionV>
            <wp:extent cx="4707890" cy="3531870"/>
            <wp:effectExtent l="0" t="0" r="0" b="0"/>
            <wp:wrapThrough wrapText="bothSides">
              <wp:wrapPolygon edited="0">
                <wp:start x="0" y="0"/>
                <wp:lineTo x="0" y="21437"/>
                <wp:lineTo x="21501" y="21437"/>
                <wp:lineTo x="21501" y="0"/>
                <wp:lineTo x="0" y="0"/>
              </wp:wrapPolygon>
            </wp:wrapThrough>
            <wp:docPr id="10" name="圖片 10" descr="N:\產業處\01_創新創業科\02. 新創相關活動 (交流拜會、展會活動、採訪報導)\06. 首長出訪\1080900 陳主委赴日本新創交流\1. 主委出訪\8. 照片\0925 Deloitte Demo Day\IMG_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產業處\01_創新創業科\02. 新創相關活動 (交流拜會、展會活動、採訪報導)\06. 首長出訪\1080900 陳主委赴日本新創交流\1. 主委出訪\8. 照片\0925 Deloitte Demo Day\IMG_83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7890" cy="353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7E441" w14:textId="77777777" w:rsidR="00EA5DB4" w:rsidRDefault="00EA5DB4" w:rsidP="00EA5DB4">
      <w:pPr>
        <w:overflowPunct w:val="0"/>
        <w:snapToGrid w:val="0"/>
        <w:spacing w:beforeLines="50" w:before="120" w:after="0" w:line="240" w:lineRule="atLeast"/>
        <w:ind w:left="480" w:hangingChars="200" w:hanging="480"/>
        <w:rPr>
          <w:rFonts w:ascii="標楷體" w:eastAsia="標楷體" w:hAnsi="標楷體"/>
          <w:sz w:val="24"/>
          <w:szCs w:val="28"/>
        </w:rPr>
      </w:pPr>
    </w:p>
    <w:p w14:paraId="52EC76FE"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549DBEE5"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42B1421D"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25423418" w14:textId="77777777" w:rsidR="00186F5F" w:rsidRDefault="00186F5F"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77D54339"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4B80DEFD"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29F75E5D"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11EBD015"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1E9A753F"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2690AD88" w14:textId="77777777" w:rsidR="00EA5DB4" w:rsidRDefault="00EA5DB4" w:rsidP="00186F5F">
      <w:pPr>
        <w:overflowPunct w:val="0"/>
        <w:snapToGrid w:val="0"/>
        <w:spacing w:beforeLines="50" w:before="120" w:after="0" w:line="240" w:lineRule="atLeast"/>
        <w:ind w:left="480" w:hangingChars="200" w:hanging="480"/>
        <w:rPr>
          <w:rFonts w:ascii="標楷體" w:eastAsia="標楷體" w:hAnsi="標楷體"/>
          <w:sz w:val="24"/>
          <w:szCs w:val="28"/>
        </w:rPr>
      </w:pPr>
    </w:p>
    <w:p w14:paraId="175E045D" w14:textId="77777777" w:rsidR="00E473E8" w:rsidRDefault="00E473E8" w:rsidP="00186F5F">
      <w:pPr>
        <w:overflowPunct w:val="0"/>
        <w:snapToGrid w:val="0"/>
        <w:spacing w:beforeLines="50" w:before="120" w:after="0" w:line="240" w:lineRule="atLeast"/>
        <w:jc w:val="center"/>
        <w:rPr>
          <w:rFonts w:ascii="標楷體" w:eastAsia="標楷體" w:hAnsi="標楷體"/>
          <w:sz w:val="24"/>
          <w:szCs w:val="28"/>
        </w:rPr>
      </w:pPr>
      <w:r w:rsidRPr="00E473E8">
        <w:rPr>
          <w:rFonts w:ascii="標楷體" w:eastAsia="標楷體" w:hAnsi="標楷體" w:hint="eastAsia"/>
          <w:sz w:val="24"/>
          <w:szCs w:val="28"/>
        </w:rPr>
        <w:t>圖</w:t>
      </w:r>
      <w:r w:rsidR="00EA5DB4">
        <w:rPr>
          <w:rFonts w:ascii="標楷體" w:eastAsia="標楷體" w:hAnsi="標楷體" w:hint="eastAsia"/>
          <w:sz w:val="24"/>
          <w:szCs w:val="28"/>
        </w:rPr>
        <w:t>2</w:t>
      </w:r>
      <w:r w:rsidRPr="00E473E8">
        <w:rPr>
          <w:rFonts w:ascii="標楷體" w:eastAsia="標楷體" w:hAnsi="標楷體" w:hint="eastAsia"/>
          <w:sz w:val="24"/>
          <w:szCs w:val="28"/>
        </w:rPr>
        <w:t>:2019年</w:t>
      </w:r>
      <w:r w:rsidR="0021325E">
        <w:rPr>
          <w:rFonts w:ascii="標楷體" w:eastAsia="標楷體" w:hAnsi="標楷體" w:hint="eastAsia"/>
          <w:sz w:val="24"/>
          <w:szCs w:val="28"/>
        </w:rPr>
        <w:t>9月國發會與</w:t>
      </w:r>
      <w:r w:rsidR="0086168A">
        <w:rPr>
          <w:rFonts w:ascii="標楷體" w:eastAsia="標楷體" w:hAnsi="標楷體" w:hint="eastAsia"/>
          <w:sz w:val="24"/>
          <w:szCs w:val="28"/>
        </w:rPr>
        <w:t>新創團隊</w:t>
      </w:r>
      <w:r w:rsidR="0021325E" w:rsidRPr="0021325E">
        <w:rPr>
          <w:rFonts w:ascii="標楷體" w:eastAsia="標楷體" w:hAnsi="標楷體" w:hint="eastAsia"/>
          <w:sz w:val="24"/>
          <w:szCs w:val="28"/>
        </w:rPr>
        <w:t>赴日</w:t>
      </w:r>
      <w:r w:rsidR="0086168A">
        <w:rPr>
          <w:rFonts w:ascii="標楷體" w:eastAsia="標楷體" w:hAnsi="標楷體" w:hint="eastAsia"/>
          <w:sz w:val="24"/>
          <w:szCs w:val="28"/>
        </w:rPr>
        <w:t>交流</w:t>
      </w:r>
    </w:p>
    <w:p w14:paraId="0CDA21FB" w14:textId="77777777" w:rsidR="00186F5F" w:rsidRPr="00E473E8" w:rsidRDefault="00826A9B" w:rsidP="00826A9B">
      <w:pPr>
        <w:overflowPunct w:val="0"/>
        <w:snapToGrid w:val="0"/>
        <w:spacing w:beforeLines="50" w:before="120" w:after="0" w:line="240" w:lineRule="atLeast"/>
        <w:ind w:left="440" w:hangingChars="200" w:hanging="440"/>
        <w:rPr>
          <w:rFonts w:ascii="標楷體" w:eastAsia="標楷體" w:hAnsi="標楷體"/>
          <w:sz w:val="24"/>
          <w:szCs w:val="28"/>
        </w:rPr>
      </w:pPr>
      <w:r>
        <w:rPr>
          <w:noProof/>
        </w:rPr>
        <w:drawing>
          <wp:anchor distT="0" distB="0" distL="114300" distR="114300" simplePos="0" relativeHeight="251664384" behindDoc="1" locked="0" layoutInCell="1" allowOverlap="1" wp14:anchorId="5E1E7EFA" wp14:editId="52FA366E">
            <wp:simplePos x="0" y="0"/>
            <wp:positionH relativeFrom="column">
              <wp:posOffset>584835</wp:posOffset>
            </wp:positionH>
            <wp:positionV relativeFrom="paragraph">
              <wp:posOffset>98425</wp:posOffset>
            </wp:positionV>
            <wp:extent cx="4669155" cy="3498215"/>
            <wp:effectExtent l="0" t="0" r="0" b="6985"/>
            <wp:wrapThrough wrapText="bothSides">
              <wp:wrapPolygon edited="0">
                <wp:start x="0" y="0"/>
                <wp:lineTo x="0" y="21526"/>
                <wp:lineTo x="21503" y="21526"/>
                <wp:lineTo x="21503" y="0"/>
                <wp:lineTo x="0" y="0"/>
              </wp:wrapPolygon>
            </wp:wrapThrough>
            <wp:docPr id="3" name="圖片 3" descr="圖像裡可能有1 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像裡可能有1 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155" cy="349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64485"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338F6DD8"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2075D4E8"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63758F29"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300211A8"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5A6C13E0"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7F435AE7"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56034AA6" w14:textId="77777777" w:rsidR="00186F5F" w:rsidRDefault="00186F5F" w:rsidP="00150C9C">
      <w:pPr>
        <w:overflowPunct w:val="0"/>
        <w:snapToGrid w:val="0"/>
        <w:spacing w:after="120" w:line="460" w:lineRule="exact"/>
        <w:jc w:val="both"/>
        <w:rPr>
          <w:rFonts w:ascii="標楷體" w:eastAsia="標楷體" w:hAnsi="標楷體" w:cs="Times New Roman"/>
          <w:sz w:val="32"/>
          <w:szCs w:val="32"/>
        </w:rPr>
      </w:pPr>
    </w:p>
    <w:p w14:paraId="5753B086" w14:textId="77777777" w:rsidR="0013450B" w:rsidRDefault="0013450B" w:rsidP="003B02B3">
      <w:pPr>
        <w:overflowPunct w:val="0"/>
        <w:snapToGrid w:val="0"/>
        <w:spacing w:beforeLines="50" w:before="120" w:after="0" w:line="240" w:lineRule="atLeast"/>
        <w:ind w:leftChars="708" w:left="2125" w:rightChars="254" w:right="559" w:hanging="567"/>
        <w:rPr>
          <w:rFonts w:ascii="標楷體" w:eastAsia="標楷體" w:hAnsi="標楷體"/>
          <w:sz w:val="24"/>
          <w:szCs w:val="28"/>
        </w:rPr>
      </w:pPr>
      <w:r w:rsidRPr="00E473E8">
        <w:rPr>
          <w:rFonts w:ascii="標楷體" w:eastAsia="標楷體" w:hAnsi="標楷體" w:hint="eastAsia"/>
          <w:sz w:val="24"/>
          <w:szCs w:val="28"/>
        </w:rPr>
        <w:t>圖</w:t>
      </w:r>
      <w:r w:rsidR="00EA5DB4">
        <w:rPr>
          <w:rFonts w:ascii="標楷體" w:eastAsia="標楷體" w:hAnsi="標楷體" w:hint="eastAsia"/>
          <w:sz w:val="24"/>
          <w:szCs w:val="28"/>
        </w:rPr>
        <w:t>3</w:t>
      </w:r>
      <w:r w:rsidRPr="00E473E8">
        <w:rPr>
          <w:rFonts w:ascii="標楷體" w:eastAsia="標楷體" w:hAnsi="標楷體" w:hint="eastAsia"/>
          <w:sz w:val="24"/>
          <w:szCs w:val="28"/>
        </w:rPr>
        <w:t>:2019年1</w:t>
      </w:r>
      <w:r w:rsidR="00986863">
        <w:rPr>
          <w:rFonts w:ascii="標楷體" w:eastAsia="標楷體" w:hAnsi="標楷體" w:hint="eastAsia"/>
          <w:sz w:val="24"/>
          <w:szCs w:val="28"/>
        </w:rPr>
        <w:t>2</w:t>
      </w:r>
      <w:r w:rsidRPr="00E473E8">
        <w:rPr>
          <w:rFonts w:ascii="標楷體" w:eastAsia="標楷體" w:hAnsi="標楷體" w:hint="eastAsia"/>
          <w:sz w:val="24"/>
          <w:szCs w:val="28"/>
        </w:rPr>
        <w:t>月</w:t>
      </w:r>
      <w:r w:rsidR="00986863">
        <w:rPr>
          <w:rFonts w:ascii="標楷體" w:eastAsia="標楷體" w:hAnsi="標楷體" w:hint="eastAsia"/>
          <w:sz w:val="24"/>
          <w:szCs w:val="28"/>
        </w:rPr>
        <w:t>科技部TTA引進</w:t>
      </w:r>
      <w:r w:rsidR="00986863" w:rsidRPr="00986863">
        <w:rPr>
          <w:rFonts w:ascii="標楷體" w:eastAsia="標楷體" w:hAnsi="標楷體" w:hint="eastAsia"/>
          <w:sz w:val="24"/>
          <w:szCs w:val="28"/>
        </w:rPr>
        <w:t>全球頂尖加速器Techstars</w:t>
      </w:r>
    </w:p>
    <w:p w14:paraId="40A7E5F0" w14:textId="77777777" w:rsidR="00826A9B" w:rsidRDefault="00826A9B" w:rsidP="0013450B">
      <w:pPr>
        <w:overflowPunct w:val="0"/>
        <w:snapToGrid w:val="0"/>
        <w:spacing w:after="120" w:line="460" w:lineRule="exact"/>
        <w:jc w:val="both"/>
        <w:rPr>
          <w:rFonts w:ascii="標楷體" w:eastAsia="標楷體" w:hAnsi="標楷體" w:cs="Times New Roman"/>
          <w:sz w:val="32"/>
          <w:szCs w:val="32"/>
        </w:rPr>
      </w:pPr>
    </w:p>
    <w:p w14:paraId="042CF930" w14:textId="77777777" w:rsidR="0013450B" w:rsidRPr="0073408B" w:rsidRDefault="0013450B" w:rsidP="0013450B">
      <w:pPr>
        <w:overflowPunct w:val="0"/>
        <w:snapToGrid w:val="0"/>
        <w:spacing w:after="120" w:line="460" w:lineRule="exact"/>
        <w:jc w:val="both"/>
        <w:rPr>
          <w:rFonts w:ascii="標楷體" w:eastAsia="標楷體" w:hAnsi="標楷體" w:cs="Times New Roman"/>
          <w:sz w:val="32"/>
          <w:szCs w:val="32"/>
        </w:rPr>
      </w:pPr>
      <w:r w:rsidRPr="0073408B">
        <w:rPr>
          <w:rFonts w:ascii="標楷體" w:eastAsia="標楷體" w:hAnsi="標楷體" w:cs="Times New Roman" w:hint="eastAsia"/>
          <w:sz w:val="32"/>
          <w:szCs w:val="32"/>
        </w:rPr>
        <w:t>聯 絡 人：</w:t>
      </w:r>
      <w:r>
        <w:rPr>
          <w:rFonts w:ascii="標楷體" w:eastAsia="標楷體" w:hAnsi="標楷體" w:cs="Times New Roman" w:hint="eastAsia"/>
          <w:sz w:val="32"/>
          <w:szCs w:val="32"/>
        </w:rPr>
        <w:t xml:space="preserve">產業發展處 </w:t>
      </w:r>
      <w:r w:rsidRPr="0073408B">
        <w:rPr>
          <w:rFonts w:ascii="標楷體" w:eastAsia="標楷體" w:hAnsi="標楷體" w:cs="Times New Roman" w:hint="eastAsia"/>
          <w:sz w:val="32"/>
          <w:szCs w:val="32"/>
        </w:rPr>
        <w:t>處長詹方冠</w:t>
      </w:r>
    </w:p>
    <w:p w14:paraId="4C60677A" w14:textId="77777777" w:rsidR="00B566E9" w:rsidRPr="0073408B" w:rsidRDefault="0013450B" w:rsidP="0086168A">
      <w:pPr>
        <w:overflowPunct w:val="0"/>
        <w:snapToGrid w:val="0"/>
        <w:spacing w:after="120" w:line="460" w:lineRule="exact"/>
        <w:jc w:val="both"/>
        <w:rPr>
          <w:rFonts w:ascii="標楷體" w:eastAsia="標楷體" w:hAnsi="標楷體" w:cs="Times New Roman"/>
          <w:sz w:val="32"/>
          <w:szCs w:val="32"/>
        </w:rPr>
      </w:pPr>
      <w:r w:rsidRPr="0073408B">
        <w:rPr>
          <w:rFonts w:ascii="標楷體" w:eastAsia="標楷體" w:hAnsi="標楷體" w:cs="Times New Roman" w:hint="eastAsia"/>
          <w:sz w:val="32"/>
          <w:szCs w:val="32"/>
        </w:rPr>
        <w:t>聯絡電話：2316-5850</w:t>
      </w:r>
    </w:p>
    <w:sectPr w:rsidR="00B566E9" w:rsidRPr="0073408B" w:rsidSect="001D7C90">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D2586" w14:textId="77777777" w:rsidR="000043D4" w:rsidRDefault="000043D4" w:rsidP="00527E17">
      <w:pPr>
        <w:spacing w:after="0" w:line="240" w:lineRule="auto"/>
      </w:pPr>
      <w:r>
        <w:separator/>
      </w:r>
    </w:p>
  </w:endnote>
  <w:endnote w:type="continuationSeparator" w:id="0">
    <w:p w14:paraId="53D2306C" w14:textId="77777777" w:rsidR="000043D4" w:rsidRDefault="000043D4" w:rsidP="0052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標楷體">
    <w:panose1 w:val="02000500000000000000"/>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69CBA" w14:textId="77777777" w:rsidR="000043D4" w:rsidRDefault="000043D4" w:rsidP="00527E17">
      <w:pPr>
        <w:spacing w:after="0" w:line="240" w:lineRule="auto"/>
      </w:pPr>
      <w:r>
        <w:separator/>
      </w:r>
    </w:p>
  </w:footnote>
  <w:footnote w:type="continuationSeparator" w:id="0">
    <w:p w14:paraId="7F08E4A2" w14:textId="77777777" w:rsidR="000043D4" w:rsidRDefault="000043D4" w:rsidP="00527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DA"/>
    <w:rsid w:val="00000790"/>
    <w:rsid w:val="000043D4"/>
    <w:rsid w:val="0003760A"/>
    <w:rsid w:val="00051C57"/>
    <w:rsid w:val="00055F4F"/>
    <w:rsid w:val="000566A3"/>
    <w:rsid w:val="00065697"/>
    <w:rsid w:val="00091260"/>
    <w:rsid w:val="000E5A12"/>
    <w:rsid w:val="000E5EC0"/>
    <w:rsid w:val="000F7AA8"/>
    <w:rsid w:val="00100478"/>
    <w:rsid w:val="00110F7A"/>
    <w:rsid w:val="00120E15"/>
    <w:rsid w:val="00126132"/>
    <w:rsid w:val="00127066"/>
    <w:rsid w:val="001343C2"/>
    <w:rsid w:val="0013450B"/>
    <w:rsid w:val="001353A6"/>
    <w:rsid w:val="00135DE3"/>
    <w:rsid w:val="00150C9C"/>
    <w:rsid w:val="00164F63"/>
    <w:rsid w:val="00171B65"/>
    <w:rsid w:val="0018185E"/>
    <w:rsid w:val="00186F5F"/>
    <w:rsid w:val="001906EA"/>
    <w:rsid w:val="001D7C90"/>
    <w:rsid w:val="001E5074"/>
    <w:rsid w:val="0021325E"/>
    <w:rsid w:val="0023388C"/>
    <w:rsid w:val="0025784C"/>
    <w:rsid w:val="00275A9B"/>
    <w:rsid w:val="0028594B"/>
    <w:rsid w:val="002B03A4"/>
    <w:rsid w:val="002C4BBF"/>
    <w:rsid w:val="002E0700"/>
    <w:rsid w:val="002E357F"/>
    <w:rsid w:val="002F4F34"/>
    <w:rsid w:val="00334A96"/>
    <w:rsid w:val="00353057"/>
    <w:rsid w:val="00367F62"/>
    <w:rsid w:val="003B02B3"/>
    <w:rsid w:val="003B1117"/>
    <w:rsid w:val="003C0A55"/>
    <w:rsid w:val="003F75E5"/>
    <w:rsid w:val="004018C0"/>
    <w:rsid w:val="00401C2C"/>
    <w:rsid w:val="0040486D"/>
    <w:rsid w:val="0044163C"/>
    <w:rsid w:val="0047787B"/>
    <w:rsid w:val="004B5403"/>
    <w:rsid w:val="004C032D"/>
    <w:rsid w:val="004C62DA"/>
    <w:rsid w:val="004D271B"/>
    <w:rsid w:val="004D2B50"/>
    <w:rsid w:val="004E7AFA"/>
    <w:rsid w:val="0050583F"/>
    <w:rsid w:val="00521365"/>
    <w:rsid w:val="00522048"/>
    <w:rsid w:val="00527E17"/>
    <w:rsid w:val="005300C9"/>
    <w:rsid w:val="00542545"/>
    <w:rsid w:val="00564322"/>
    <w:rsid w:val="005714EA"/>
    <w:rsid w:val="005A7DA2"/>
    <w:rsid w:val="005B29BB"/>
    <w:rsid w:val="005F3CE5"/>
    <w:rsid w:val="00601B49"/>
    <w:rsid w:val="006359BF"/>
    <w:rsid w:val="00640B31"/>
    <w:rsid w:val="00651AFD"/>
    <w:rsid w:val="006562F0"/>
    <w:rsid w:val="006B31E0"/>
    <w:rsid w:val="006D4B74"/>
    <w:rsid w:val="006F372D"/>
    <w:rsid w:val="00722BDA"/>
    <w:rsid w:val="0073408B"/>
    <w:rsid w:val="00752C6F"/>
    <w:rsid w:val="0076112B"/>
    <w:rsid w:val="00780628"/>
    <w:rsid w:val="00791E82"/>
    <w:rsid w:val="00794738"/>
    <w:rsid w:val="007A1E54"/>
    <w:rsid w:val="007A78D1"/>
    <w:rsid w:val="00814B0F"/>
    <w:rsid w:val="00826A9B"/>
    <w:rsid w:val="008279E2"/>
    <w:rsid w:val="00834C78"/>
    <w:rsid w:val="00841B13"/>
    <w:rsid w:val="008563A2"/>
    <w:rsid w:val="0086168A"/>
    <w:rsid w:val="00874ADC"/>
    <w:rsid w:val="0089112E"/>
    <w:rsid w:val="00897B5D"/>
    <w:rsid w:val="008A71DF"/>
    <w:rsid w:val="008A7B09"/>
    <w:rsid w:val="008D1BD5"/>
    <w:rsid w:val="009215ED"/>
    <w:rsid w:val="009431B7"/>
    <w:rsid w:val="0096343B"/>
    <w:rsid w:val="00986863"/>
    <w:rsid w:val="009910F9"/>
    <w:rsid w:val="009B06C5"/>
    <w:rsid w:val="009C5096"/>
    <w:rsid w:val="009D0D7F"/>
    <w:rsid w:val="009D0FED"/>
    <w:rsid w:val="009D23E2"/>
    <w:rsid w:val="009D4673"/>
    <w:rsid w:val="00A03765"/>
    <w:rsid w:val="00A127D6"/>
    <w:rsid w:val="00A342F8"/>
    <w:rsid w:val="00A35D00"/>
    <w:rsid w:val="00A66CA9"/>
    <w:rsid w:val="00A86352"/>
    <w:rsid w:val="00AB6310"/>
    <w:rsid w:val="00B502F2"/>
    <w:rsid w:val="00B566E9"/>
    <w:rsid w:val="00B65587"/>
    <w:rsid w:val="00B7430E"/>
    <w:rsid w:val="00BA05DA"/>
    <w:rsid w:val="00BC3BC7"/>
    <w:rsid w:val="00BE4732"/>
    <w:rsid w:val="00C24795"/>
    <w:rsid w:val="00C31E08"/>
    <w:rsid w:val="00C534EE"/>
    <w:rsid w:val="00C640F3"/>
    <w:rsid w:val="00C83BCB"/>
    <w:rsid w:val="00CD58ED"/>
    <w:rsid w:val="00D01B0F"/>
    <w:rsid w:val="00D01DEB"/>
    <w:rsid w:val="00D0315D"/>
    <w:rsid w:val="00D04AB7"/>
    <w:rsid w:val="00D37D62"/>
    <w:rsid w:val="00D73858"/>
    <w:rsid w:val="00DD3932"/>
    <w:rsid w:val="00E0348F"/>
    <w:rsid w:val="00E07FFD"/>
    <w:rsid w:val="00E2498B"/>
    <w:rsid w:val="00E42D27"/>
    <w:rsid w:val="00E44996"/>
    <w:rsid w:val="00E473E8"/>
    <w:rsid w:val="00E87382"/>
    <w:rsid w:val="00EA5DB4"/>
    <w:rsid w:val="00EB4AF8"/>
    <w:rsid w:val="00ED23DF"/>
    <w:rsid w:val="00ED2F2E"/>
    <w:rsid w:val="00EE11B9"/>
    <w:rsid w:val="00EF5145"/>
    <w:rsid w:val="00F0011A"/>
    <w:rsid w:val="00F06D18"/>
    <w:rsid w:val="00F86533"/>
    <w:rsid w:val="00FE0B66"/>
    <w:rsid w:val="00FE2E55"/>
    <w:rsid w:val="00FF5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4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5ED"/>
    <w:pPr>
      <w:spacing w:after="0" w:line="240" w:lineRule="auto"/>
    </w:pPr>
    <w:rPr>
      <w:rFonts w:ascii="新細明體" w:eastAsia="新細明體"/>
      <w:sz w:val="18"/>
      <w:szCs w:val="18"/>
    </w:rPr>
  </w:style>
  <w:style w:type="character" w:customStyle="1" w:styleId="a4">
    <w:name w:val="註解方塊文字 字元"/>
    <w:basedOn w:val="a0"/>
    <w:link w:val="a3"/>
    <w:uiPriority w:val="99"/>
    <w:semiHidden/>
    <w:rsid w:val="009215ED"/>
    <w:rPr>
      <w:rFonts w:ascii="新細明體" w:eastAsia="新細明體"/>
      <w:sz w:val="18"/>
      <w:szCs w:val="18"/>
    </w:rPr>
  </w:style>
  <w:style w:type="paragraph" w:styleId="a5">
    <w:name w:val="header"/>
    <w:basedOn w:val="a"/>
    <w:link w:val="a6"/>
    <w:uiPriority w:val="99"/>
    <w:unhideWhenUsed/>
    <w:rsid w:val="00527E17"/>
    <w:pPr>
      <w:tabs>
        <w:tab w:val="center" w:pos="4153"/>
        <w:tab w:val="right" w:pos="8306"/>
      </w:tabs>
      <w:snapToGrid w:val="0"/>
    </w:pPr>
    <w:rPr>
      <w:sz w:val="20"/>
      <w:szCs w:val="20"/>
    </w:rPr>
  </w:style>
  <w:style w:type="character" w:customStyle="1" w:styleId="a6">
    <w:name w:val="頁首 字元"/>
    <w:basedOn w:val="a0"/>
    <w:link w:val="a5"/>
    <w:uiPriority w:val="99"/>
    <w:rsid w:val="00527E17"/>
    <w:rPr>
      <w:sz w:val="20"/>
      <w:szCs w:val="20"/>
    </w:rPr>
  </w:style>
  <w:style w:type="paragraph" w:styleId="a7">
    <w:name w:val="footer"/>
    <w:basedOn w:val="a"/>
    <w:link w:val="a8"/>
    <w:uiPriority w:val="99"/>
    <w:unhideWhenUsed/>
    <w:rsid w:val="00527E17"/>
    <w:pPr>
      <w:tabs>
        <w:tab w:val="center" w:pos="4153"/>
        <w:tab w:val="right" w:pos="8306"/>
      </w:tabs>
      <w:snapToGrid w:val="0"/>
    </w:pPr>
    <w:rPr>
      <w:sz w:val="20"/>
      <w:szCs w:val="20"/>
    </w:rPr>
  </w:style>
  <w:style w:type="character" w:customStyle="1" w:styleId="a8">
    <w:name w:val="頁尾 字元"/>
    <w:basedOn w:val="a0"/>
    <w:link w:val="a7"/>
    <w:uiPriority w:val="99"/>
    <w:rsid w:val="00527E17"/>
    <w:rPr>
      <w:sz w:val="20"/>
      <w:szCs w:val="20"/>
    </w:rPr>
  </w:style>
  <w:style w:type="character" w:styleId="a9">
    <w:name w:val="Strong"/>
    <w:basedOn w:val="a0"/>
    <w:uiPriority w:val="22"/>
    <w:qFormat/>
    <w:rsid w:val="00C83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9987">
      <w:bodyDiv w:val="1"/>
      <w:marLeft w:val="0"/>
      <w:marRight w:val="0"/>
      <w:marTop w:val="0"/>
      <w:marBottom w:val="0"/>
      <w:divBdr>
        <w:top w:val="none" w:sz="0" w:space="0" w:color="auto"/>
        <w:left w:val="none" w:sz="0" w:space="0" w:color="auto"/>
        <w:bottom w:val="none" w:sz="0" w:space="0" w:color="auto"/>
        <w:right w:val="none" w:sz="0" w:space="0" w:color="auto"/>
      </w:divBdr>
    </w:div>
    <w:div w:id="995256775">
      <w:bodyDiv w:val="1"/>
      <w:marLeft w:val="0"/>
      <w:marRight w:val="0"/>
      <w:marTop w:val="0"/>
      <w:marBottom w:val="0"/>
      <w:divBdr>
        <w:top w:val="none" w:sz="0" w:space="0" w:color="auto"/>
        <w:left w:val="none" w:sz="0" w:space="0" w:color="auto"/>
        <w:bottom w:val="none" w:sz="0" w:space="0" w:color="auto"/>
        <w:right w:val="none" w:sz="0" w:space="0" w:color="auto"/>
      </w:divBdr>
      <w:divsChild>
        <w:div w:id="33115820">
          <w:marLeft w:val="446"/>
          <w:marRight w:val="0"/>
          <w:marTop w:val="0"/>
          <w:marBottom w:val="0"/>
          <w:divBdr>
            <w:top w:val="none" w:sz="0" w:space="0" w:color="auto"/>
            <w:left w:val="none" w:sz="0" w:space="0" w:color="auto"/>
            <w:bottom w:val="none" w:sz="0" w:space="0" w:color="auto"/>
            <w:right w:val="none" w:sz="0" w:space="0" w:color="auto"/>
          </w:divBdr>
        </w:div>
      </w:divsChild>
    </w:div>
    <w:div w:id="1075736723">
      <w:bodyDiv w:val="1"/>
      <w:marLeft w:val="0"/>
      <w:marRight w:val="0"/>
      <w:marTop w:val="0"/>
      <w:marBottom w:val="0"/>
      <w:divBdr>
        <w:top w:val="none" w:sz="0" w:space="0" w:color="auto"/>
        <w:left w:val="none" w:sz="0" w:space="0" w:color="auto"/>
        <w:bottom w:val="none" w:sz="0" w:space="0" w:color="auto"/>
        <w:right w:val="none" w:sz="0" w:space="0" w:color="auto"/>
      </w:divBdr>
    </w:div>
    <w:div w:id="1283414638">
      <w:bodyDiv w:val="1"/>
      <w:marLeft w:val="0"/>
      <w:marRight w:val="0"/>
      <w:marTop w:val="0"/>
      <w:marBottom w:val="0"/>
      <w:divBdr>
        <w:top w:val="none" w:sz="0" w:space="0" w:color="auto"/>
        <w:left w:val="none" w:sz="0" w:space="0" w:color="auto"/>
        <w:bottom w:val="none" w:sz="0" w:space="0" w:color="auto"/>
        <w:right w:val="none" w:sz="0" w:space="0" w:color="auto"/>
      </w:divBdr>
      <w:divsChild>
        <w:div w:id="9521272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1377</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詹方冠</dc:creator>
  <cp:lastModifiedBy>濟蕙 王</cp:lastModifiedBy>
  <cp:revision>3</cp:revision>
  <cp:lastPrinted>2019-12-25T02:56:00Z</cp:lastPrinted>
  <dcterms:created xsi:type="dcterms:W3CDTF">2019-12-25T11:09:00Z</dcterms:created>
  <dcterms:modified xsi:type="dcterms:W3CDTF">2019-12-25T11:09:00Z</dcterms:modified>
</cp:coreProperties>
</file>