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4" w:rsidRPr="006C4D86" w:rsidRDefault="009D2824" w:rsidP="009D2824">
      <w:pPr>
        <w:spacing w:line="500" w:lineRule="exact"/>
        <w:ind w:left="0" w:firstLine="0"/>
        <w:textAlignment w:val="top"/>
        <w:rPr>
          <w:rFonts w:asciiTheme="majorEastAsia" w:eastAsiaTheme="majorEastAsia" w:hAnsiTheme="majorEastAsia" w:cs="Times New Roman"/>
          <w:b/>
          <w:color w:val="000000"/>
          <w:sz w:val="40"/>
          <w:szCs w:val="40"/>
        </w:rPr>
      </w:pPr>
      <w:r w:rsidRPr="006C4D86">
        <w:rPr>
          <w:rFonts w:asciiTheme="majorEastAsia" w:eastAsiaTheme="majorEastAsia" w:hAnsiTheme="majorEastAsia"/>
          <w:b/>
          <w:noProof/>
          <w:color w:val="000000" w:themeColor="text1"/>
          <w:sz w:val="40"/>
          <w:szCs w:val="40"/>
        </w:rPr>
        <w:drawing>
          <wp:inline distT="0" distB="0" distL="0" distR="0" wp14:anchorId="44F8F677" wp14:editId="1E13FED6">
            <wp:extent cx="1450953" cy="2939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4" cy="296364"/>
                    </a:xfrm>
                    <a:prstGeom prst="rect">
                      <a:avLst/>
                    </a:prstGeom>
                    <a:noFill/>
                    <a:ln>
                      <a:noFill/>
                    </a:ln>
                  </pic:spPr>
                </pic:pic>
              </a:graphicData>
            </a:graphic>
          </wp:inline>
        </w:drawing>
      </w:r>
    </w:p>
    <w:p w:rsidR="00FE1584" w:rsidRPr="006C4D86" w:rsidRDefault="009D2824" w:rsidP="006C4D86">
      <w:pPr>
        <w:snapToGrid w:val="0"/>
        <w:spacing w:beforeLines="100" w:before="360" w:afterLines="100" w:after="360" w:line="500" w:lineRule="exact"/>
        <w:ind w:left="0" w:firstLine="0"/>
        <w:jc w:val="center"/>
        <w:textAlignment w:val="top"/>
        <w:rPr>
          <w:rFonts w:asciiTheme="majorEastAsia" w:eastAsiaTheme="majorEastAsia" w:hAnsiTheme="majorEastAsia" w:cs="Times New Roman"/>
          <w:b/>
          <w:color w:val="000000" w:themeColor="text1"/>
          <w:sz w:val="32"/>
          <w:szCs w:val="32"/>
        </w:rPr>
      </w:pPr>
      <w:r w:rsidRPr="006C4D86">
        <w:rPr>
          <w:rFonts w:asciiTheme="majorEastAsia" w:eastAsiaTheme="majorEastAsia" w:hAnsiTheme="majorEastAsia" w:cs="Times New Roman"/>
          <w:b/>
          <w:color w:val="000000" w:themeColor="text1"/>
          <w:sz w:val="40"/>
          <w:szCs w:val="40"/>
        </w:rPr>
        <w:t>國家發展委員會</w:t>
      </w:r>
      <w:r w:rsidRPr="006C4D86">
        <w:rPr>
          <w:rFonts w:asciiTheme="majorEastAsia" w:eastAsiaTheme="majorEastAsia" w:hAnsiTheme="majorEastAsia" w:cs="Times New Roman" w:hint="eastAsia"/>
          <w:b/>
          <w:color w:val="000000" w:themeColor="text1"/>
          <w:sz w:val="40"/>
          <w:szCs w:val="40"/>
        </w:rPr>
        <w:t xml:space="preserve"> </w:t>
      </w:r>
      <w:r w:rsidR="00420BFB" w:rsidRPr="006C4D86">
        <w:rPr>
          <w:rFonts w:asciiTheme="majorEastAsia" w:eastAsiaTheme="majorEastAsia" w:hAnsiTheme="majorEastAsia" w:cs="Times New Roman" w:hint="eastAsia"/>
          <w:b/>
          <w:color w:val="000000" w:themeColor="text1"/>
          <w:sz w:val="40"/>
          <w:szCs w:val="40"/>
        </w:rPr>
        <w:t>回應</w:t>
      </w:r>
      <w:r w:rsidRPr="006C4D86">
        <w:rPr>
          <w:rFonts w:asciiTheme="majorEastAsia" w:eastAsiaTheme="majorEastAsia" w:hAnsiTheme="majorEastAsia" w:cs="Times New Roman"/>
          <w:b/>
          <w:color w:val="000000" w:themeColor="text1"/>
          <w:sz w:val="40"/>
          <w:szCs w:val="40"/>
        </w:rPr>
        <w:t>稿</w:t>
      </w:r>
    </w:p>
    <w:p w:rsidR="009D2824" w:rsidRPr="006C4D86" w:rsidRDefault="009D2824" w:rsidP="0017600D">
      <w:pPr>
        <w:snapToGrid w:val="0"/>
        <w:spacing w:beforeLines="50" w:before="180" w:line="440" w:lineRule="exact"/>
        <w:ind w:left="0" w:right="40" w:firstLine="0"/>
        <w:textAlignment w:val="top"/>
        <w:rPr>
          <w:rFonts w:asciiTheme="majorEastAsia" w:eastAsiaTheme="majorEastAsia" w:hAnsiTheme="majorEastAsia" w:cs="Times New Roman"/>
          <w:bCs/>
          <w:color w:val="000000" w:themeColor="text1"/>
          <w:sz w:val="28"/>
          <w:szCs w:val="28"/>
        </w:rPr>
      </w:pPr>
      <w:r w:rsidRPr="006C4D86">
        <w:rPr>
          <w:rFonts w:asciiTheme="majorEastAsia" w:eastAsiaTheme="majorEastAsia" w:hAnsiTheme="majorEastAsia" w:cs="Times New Roman" w:hint="eastAsia"/>
          <w:bCs/>
          <w:color w:val="000000" w:themeColor="text1"/>
          <w:sz w:val="28"/>
          <w:szCs w:val="28"/>
        </w:rPr>
        <w:t>發布日期：</w:t>
      </w:r>
      <w:r w:rsidRPr="006C4D86">
        <w:rPr>
          <w:rFonts w:asciiTheme="majorEastAsia" w:eastAsiaTheme="majorEastAsia" w:hAnsiTheme="majorEastAsia" w:cs="Times New Roman"/>
          <w:bCs/>
          <w:color w:val="000000" w:themeColor="text1"/>
          <w:sz w:val="28"/>
          <w:szCs w:val="28"/>
        </w:rPr>
        <w:t>10</w:t>
      </w:r>
      <w:r w:rsidR="004B2E52" w:rsidRPr="006C4D86">
        <w:rPr>
          <w:rFonts w:asciiTheme="majorEastAsia" w:eastAsiaTheme="majorEastAsia" w:hAnsiTheme="majorEastAsia" w:cs="Times New Roman" w:hint="eastAsia"/>
          <w:bCs/>
          <w:color w:val="000000" w:themeColor="text1"/>
          <w:sz w:val="28"/>
          <w:szCs w:val="28"/>
        </w:rPr>
        <w:t>8</w:t>
      </w:r>
      <w:r w:rsidRPr="006C4D86">
        <w:rPr>
          <w:rFonts w:asciiTheme="majorEastAsia" w:eastAsiaTheme="majorEastAsia" w:hAnsiTheme="majorEastAsia" w:cs="Times New Roman"/>
          <w:bCs/>
          <w:color w:val="000000" w:themeColor="text1"/>
          <w:sz w:val="28"/>
          <w:szCs w:val="28"/>
        </w:rPr>
        <w:t>年</w:t>
      </w:r>
      <w:r w:rsidR="006C34B6" w:rsidRPr="006C4D86">
        <w:rPr>
          <w:rFonts w:asciiTheme="majorEastAsia" w:eastAsiaTheme="majorEastAsia" w:hAnsiTheme="majorEastAsia" w:cs="Times New Roman" w:hint="eastAsia"/>
          <w:bCs/>
          <w:color w:val="000000" w:themeColor="text1"/>
          <w:sz w:val="28"/>
          <w:szCs w:val="28"/>
        </w:rPr>
        <w:t>9</w:t>
      </w:r>
      <w:r w:rsidRPr="006C4D86">
        <w:rPr>
          <w:rFonts w:asciiTheme="majorEastAsia" w:eastAsiaTheme="majorEastAsia" w:hAnsiTheme="majorEastAsia" w:cs="Times New Roman"/>
          <w:bCs/>
          <w:color w:val="000000" w:themeColor="text1"/>
          <w:sz w:val="28"/>
          <w:szCs w:val="28"/>
        </w:rPr>
        <w:t>月</w:t>
      </w:r>
      <w:r w:rsidR="00C6766F">
        <w:rPr>
          <w:rFonts w:asciiTheme="majorEastAsia" w:eastAsiaTheme="majorEastAsia" w:hAnsiTheme="majorEastAsia" w:cs="Times New Roman" w:hint="eastAsia"/>
          <w:bCs/>
          <w:color w:val="000000" w:themeColor="text1"/>
          <w:sz w:val="28"/>
          <w:szCs w:val="28"/>
        </w:rPr>
        <w:t>20</w:t>
      </w:r>
      <w:bookmarkStart w:id="0" w:name="_GoBack"/>
      <w:bookmarkEnd w:id="0"/>
      <w:r w:rsidRPr="006C4D86">
        <w:rPr>
          <w:rFonts w:asciiTheme="majorEastAsia" w:eastAsiaTheme="majorEastAsia" w:hAnsiTheme="majorEastAsia" w:cs="Times New Roman"/>
          <w:bCs/>
          <w:color w:val="000000" w:themeColor="text1"/>
          <w:sz w:val="28"/>
          <w:szCs w:val="28"/>
        </w:rPr>
        <w:t>日</w:t>
      </w:r>
    </w:p>
    <w:p w:rsidR="0017600D" w:rsidRPr="006C4D86" w:rsidRDefault="0017600D" w:rsidP="0017600D">
      <w:pPr>
        <w:snapToGrid w:val="0"/>
        <w:spacing w:line="440" w:lineRule="exact"/>
        <w:ind w:left="0" w:right="40" w:firstLine="0"/>
        <w:textAlignment w:val="top"/>
        <w:rPr>
          <w:rFonts w:asciiTheme="majorEastAsia" w:eastAsiaTheme="majorEastAsia" w:hAnsiTheme="majorEastAsia" w:cs="Times New Roman"/>
          <w:bCs/>
          <w:color w:val="000000" w:themeColor="text1"/>
          <w:sz w:val="28"/>
          <w:szCs w:val="28"/>
        </w:rPr>
      </w:pPr>
      <w:r w:rsidRPr="006C4D86">
        <w:rPr>
          <w:rFonts w:asciiTheme="majorEastAsia" w:eastAsiaTheme="majorEastAsia" w:hAnsiTheme="majorEastAsia" w:cs="Times New Roman" w:hint="eastAsia"/>
          <w:bCs/>
          <w:color w:val="000000" w:themeColor="text1"/>
          <w:sz w:val="28"/>
          <w:szCs w:val="28"/>
        </w:rPr>
        <w:t>發布單位：</w:t>
      </w:r>
      <w:r w:rsidR="006C4D86">
        <w:rPr>
          <w:rFonts w:asciiTheme="majorEastAsia" w:eastAsiaTheme="majorEastAsia" w:hAnsiTheme="majorEastAsia" w:cs="Times New Roman" w:hint="eastAsia"/>
          <w:bCs/>
          <w:color w:val="000000" w:themeColor="text1"/>
          <w:sz w:val="28"/>
          <w:szCs w:val="28"/>
        </w:rPr>
        <w:t>國發基金</w:t>
      </w:r>
    </w:p>
    <w:p w:rsidR="004B2E52" w:rsidRDefault="006C4D86" w:rsidP="00FC4FD5">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有關蘋果日報報導：國發基金投資</w:t>
      </w:r>
      <w:proofErr w:type="spellStart"/>
      <w:r w:rsidRPr="006C4D86">
        <w:rPr>
          <w:rFonts w:asciiTheme="majorEastAsia" w:eastAsiaTheme="majorEastAsia" w:hAnsiTheme="majorEastAsia" w:cs="Times New Roman" w:hint="eastAsia"/>
          <w:color w:val="000000" w:themeColor="text1"/>
          <w:sz w:val="32"/>
          <w:szCs w:val="32"/>
        </w:rPr>
        <w:t>iStaging</w:t>
      </w:r>
      <w:proofErr w:type="spellEnd"/>
      <w:proofErr w:type="gramStart"/>
      <w:r w:rsidRPr="006C4D86">
        <w:rPr>
          <w:rFonts w:asciiTheme="majorEastAsia" w:eastAsiaTheme="majorEastAsia" w:hAnsiTheme="majorEastAsia" w:cs="Times New Roman" w:hint="eastAsia"/>
          <w:color w:val="000000" w:themeColor="text1"/>
          <w:sz w:val="32"/>
          <w:szCs w:val="32"/>
        </w:rPr>
        <w:t>數位宅妝公司</w:t>
      </w:r>
      <w:proofErr w:type="gramEnd"/>
      <w:r w:rsidRPr="006C4D86">
        <w:rPr>
          <w:rFonts w:asciiTheme="majorEastAsia" w:eastAsiaTheme="majorEastAsia" w:hAnsiTheme="majorEastAsia" w:cs="Times New Roman" w:hint="eastAsia"/>
          <w:color w:val="000000" w:themeColor="text1"/>
          <w:sz w:val="32"/>
          <w:szCs w:val="32"/>
        </w:rPr>
        <w:t>，是否扶植</w:t>
      </w:r>
      <w:proofErr w:type="gramStart"/>
      <w:r w:rsidRPr="006C4D86">
        <w:rPr>
          <w:rFonts w:asciiTheme="majorEastAsia" w:eastAsiaTheme="majorEastAsia" w:hAnsiTheme="majorEastAsia" w:cs="Times New Roman" w:hint="eastAsia"/>
          <w:color w:val="000000" w:themeColor="text1"/>
          <w:sz w:val="32"/>
          <w:szCs w:val="32"/>
        </w:rPr>
        <w:t>做假財報</w:t>
      </w:r>
      <w:proofErr w:type="gramEnd"/>
      <w:r w:rsidRPr="006C4D86">
        <w:rPr>
          <w:rFonts w:asciiTheme="majorEastAsia" w:eastAsiaTheme="majorEastAsia" w:hAnsiTheme="majorEastAsia" w:cs="Times New Roman" w:hint="eastAsia"/>
          <w:color w:val="000000" w:themeColor="text1"/>
          <w:sz w:val="32"/>
          <w:szCs w:val="32"/>
        </w:rPr>
        <w:t>的公司乙事，經濟部工業局與國發基金澄清說明如下：</w:t>
      </w:r>
    </w:p>
    <w:p w:rsidR="006C4D86" w:rsidRDefault="006C4D86" w:rsidP="00FC4FD5">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國發基金為協助國內策略性產業發展，</w:t>
      </w:r>
      <w:proofErr w:type="gramStart"/>
      <w:r w:rsidRPr="006C4D86">
        <w:rPr>
          <w:rFonts w:asciiTheme="majorEastAsia" w:eastAsiaTheme="majorEastAsia" w:hAnsiTheme="majorEastAsia" w:cs="Times New Roman" w:hint="eastAsia"/>
          <w:color w:val="000000" w:themeColor="text1"/>
          <w:sz w:val="32"/>
          <w:szCs w:val="32"/>
        </w:rPr>
        <w:t>匡列新台幣</w:t>
      </w:r>
      <w:proofErr w:type="gramEnd"/>
      <w:r w:rsidRPr="006C4D86">
        <w:rPr>
          <w:rFonts w:asciiTheme="majorEastAsia" w:eastAsiaTheme="majorEastAsia" w:hAnsiTheme="majorEastAsia" w:cs="Times New Roman" w:hint="eastAsia"/>
          <w:color w:val="000000" w:themeColor="text1"/>
          <w:sz w:val="32"/>
          <w:szCs w:val="32"/>
        </w:rPr>
        <w:t>100億元辦理「加強投資策略性服務業實施方案」，並由經濟部工業局擔任方案執行機構，採用結合民間專業投資機構共同投資模式，</w:t>
      </w:r>
      <w:proofErr w:type="gramStart"/>
      <w:r w:rsidRPr="006C4D86">
        <w:rPr>
          <w:rFonts w:asciiTheme="majorEastAsia" w:eastAsiaTheme="majorEastAsia" w:hAnsiTheme="majorEastAsia" w:cs="Times New Roman" w:hint="eastAsia"/>
          <w:color w:val="000000" w:themeColor="text1"/>
          <w:sz w:val="32"/>
          <w:szCs w:val="32"/>
        </w:rPr>
        <w:t>挹</w:t>
      </w:r>
      <w:proofErr w:type="gramEnd"/>
      <w:r w:rsidRPr="006C4D86">
        <w:rPr>
          <w:rFonts w:asciiTheme="majorEastAsia" w:eastAsiaTheme="majorEastAsia" w:hAnsiTheme="majorEastAsia" w:cs="Times New Roman" w:hint="eastAsia"/>
          <w:color w:val="000000" w:themeColor="text1"/>
          <w:sz w:val="32"/>
          <w:szCs w:val="32"/>
        </w:rPr>
        <w:t>注企業發展所需資金與加值輔導服務。</w:t>
      </w:r>
    </w:p>
    <w:p w:rsidR="006C4D86" w:rsidRDefault="00CC6EBF" w:rsidP="00FC4FD5">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proofErr w:type="spellStart"/>
      <w:r w:rsidRPr="006C4D86">
        <w:rPr>
          <w:rFonts w:asciiTheme="majorEastAsia" w:eastAsiaTheme="majorEastAsia" w:hAnsiTheme="majorEastAsia" w:cs="Times New Roman" w:hint="eastAsia"/>
          <w:color w:val="000000" w:themeColor="text1"/>
          <w:sz w:val="32"/>
          <w:szCs w:val="32"/>
        </w:rPr>
        <w:t>iStaging</w:t>
      </w:r>
      <w:proofErr w:type="spellEnd"/>
      <w:r w:rsidR="006C4D86" w:rsidRPr="006C4D86">
        <w:rPr>
          <w:rFonts w:asciiTheme="majorEastAsia" w:eastAsiaTheme="majorEastAsia" w:hAnsiTheme="majorEastAsia" w:cs="Times New Roman" w:hint="eastAsia"/>
          <w:color w:val="000000" w:themeColor="text1"/>
          <w:sz w:val="32"/>
          <w:szCs w:val="32"/>
        </w:rPr>
        <w:t>公司投資案係由大亞創投公司評估決議參與投資1,440萬元後，申請「加強投資策略性服務業實施方案」搭配投資1,440萬元。</w:t>
      </w:r>
    </w:p>
    <w:p w:rsidR="006C4D86" w:rsidRDefault="006C4D86" w:rsidP="00FC4FD5">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大亞創投公司</w:t>
      </w:r>
      <w:proofErr w:type="gramStart"/>
      <w:r w:rsidRPr="006C4D86">
        <w:rPr>
          <w:rFonts w:asciiTheme="majorEastAsia" w:eastAsiaTheme="majorEastAsia" w:hAnsiTheme="majorEastAsia" w:cs="Times New Roman" w:hint="eastAsia"/>
          <w:color w:val="000000" w:themeColor="text1"/>
          <w:sz w:val="32"/>
          <w:szCs w:val="32"/>
        </w:rPr>
        <w:t>投資前業就</w:t>
      </w:r>
      <w:proofErr w:type="spellStart"/>
      <w:proofErr w:type="gramEnd"/>
      <w:r w:rsidRPr="006C4D86">
        <w:rPr>
          <w:rFonts w:asciiTheme="majorEastAsia" w:eastAsiaTheme="majorEastAsia" w:hAnsiTheme="majorEastAsia" w:cs="Times New Roman" w:hint="eastAsia"/>
          <w:color w:val="000000" w:themeColor="text1"/>
          <w:sz w:val="32"/>
          <w:szCs w:val="32"/>
        </w:rPr>
        <w:t>iStaging</w:t>
      </w:r>
      <w:proofErr w:type="spellEnd"/>
      <w:r w:rsidRPr="006C4D86">
        <w:rPr>
          <w:rFonts w:asciiTheme="majorEastAsia" w:eastAsiaTheme="majorEastAsia" w:hAnsiTheme="majorEastAsia" w:cs="Times New Roman" w:hint="eastAsia"/>
          <w:color w:val="000000" w:themeColor="text1"/>
          <w:sz w:val="32"/>
          <w:szCs w:val="32"/>
        </w:rPr>
        <w:t>公司經營模式、資金來源、技術研發、營運計畫、財務結構等進行綜合評估，經公司審議通過參與投資後，並由經濟部工業局召開投資溝通會通過，及創投公司、經濟部工業局、國發基金共同投資審議會通過後，才由「加強投資策略性服務業實施方案」撥款投資。</w:t>
      </w:r>
    </w:p>
    <w:p w:rsidR="006C4D86" w:rsidRPr="006C4D86" w:rsidRDefault="006C4D86" w:rsidP="006C4D86">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 xml:space="preserve">大亞創投公司參與投資後，並請 </w:t>
      </w:r>
      <w:proofErr w:type="spellStart"/>
      <w:r w:rsidRPr="006C4D86">
        <w:rPr>
          <w:rFonts w:asciiTheme="majorEastAsia" w:eastAsiaTheme="majorEastAsia" w:hAnsiTheme="majorEastAsia" w:cs="Times New Roman" w:hint="eastAsia"/>
          <w:color w:val="000000" w:themeColor="text1"/>
          <w:sz w:val="32"/>
          <w:szCs w:val="32"/>
        </w:rPr>
        <w:t>iStaging</w:t>
      </w:r>
      <w:proofErr w:type="spellEnd"/>
      <w:r w:rsidRPr="006C4D86">
        <w:rPr>
          <w:rFonts w:asciiTheme="majorEastAsia" w:eastAsiaTheme="majorEastAsia" w:hAnsiTheme="majorEastAsia" w:cs="Times New Roman" w:hint="eastAsia"/>
          <w:color w:val="000000" w:themeColor="text1"/>
          <w:sz w:val="32"/>
          <w:szCs w:val="32"/>
        </w:rPr>
        <w:t>公司改由四大會計師事務所之</w:t>
      </w:r>
      <w:proofErr w:type="gramStart"/>
      <w:r w:rsidRPr="006C4D86">
        <w:rPr>
          <w:rFonts w:asciiTheme="majorEastAsia" w:eastAsiaTheme="majorEastAsia" w:hAnsiTheme="majorEastAsia" w:cs="Times New Roman" w:hint="eastAsia"/>
          <w:color w:val="000000" w:themeColor="text1"/>
          <w:sz w:val="32"/>
          <w:szCs w:val="32"/>
        </w:rPr>
        <w:t>勤業眾信</w:t>
      </w:r>
      <w:proofErr w:type="gramEnd"/>
      <w:r w:rsidRPr="006C4D86">
        <w:rPr>
          <w:rFonts w:asciiTheme="majorEastAsia" w:eastAsiaTheme="majorEastAsia" w:hAnsiTheme="majorEastAsia" w:cs="Times New Roman" w:hint="eastAsia"/>
          <w:color w:val="000000" w:themeColor="text1"/>
          <w:sz w:val="32"/>
          <w:szCs w:val="32"/>
        </w:rPr>
        <w:t>會計師事務所辦理財務簽證；經濟部工業局每季亦會掌握公司財務狀況與業務發展情形，並邀請創投公司、學者專家及國發基金進行訪視，瞭解公司營運及財務狀況。</w:t>
      </w:r>
    </w:p>
    <w:p w:rsidR="006C4D86" w:rsidRPr="006C4D86" w:rsidRDefault="006C4D86" w:rsidP="006C4D86">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綜上所述，</w:t>
      </w:r>
      <w:proofErr w:type="spellStart"/>
      <w:r w:rsidRPr="006C4D86">
        <w:rPr>
          <w:rFonts w:asciiTheme="majorEastAsia" w:eastAsiaTheme="majorEastAsia" w:hAnsiTheme="majorEastAsia" w:cs="Times New Roman" w:hint="eastAsia"/>
          <w:color w:val="000000" w:themeColor="text1"/>
          <w:sz w:val="32"/>
          <w:szCs w:val="32"/>
        </w:rPr>
        <w:t>iStaging</w:t>
      </w:r>
      <w:proofErr w:type="spellEnd"/>
      <w:r w:rsidRPr="006C4D86">
        <w:rPr>
          <w:rFonts w:asciiTheme="majorEastAsia" w:eastAsiaTheme="majorEastAsia" w:hAnsiTheme="majorEastAsia" w:cs="Times New Roman" w:hint="eastAsia"/>
          <w:color w:val="000000" w:themeColor="text1"/>
          <w:sz w:val="32"/>
          <w:szCs w:val="32"/>
        </w:rPr>
        <w:t>公司投資案係經過完整的投資前評估審議程序與投資後監督管理作業，絕無投資或扶植</w:t>
      </w:r>
      <w:proofErr w:type="gramStart"/>
      <w:r w:rsidRPr="006C4D86">
        <w:rPr>
          <w:rFonts w:asciiTheme="majorEastAsia" w:eastAsiaTheme="majorEastAsia" w:hAnsiTheme="majorEastAsia" w:cs="Times New Roman" w:hint="eastAsia"/>
          <w:color w:val="000000" w:themeColor="text1"/>
          <w:sz w:val="32"/>
          <w:szCs w:val="32"/>
        </w:rPr>
        <w:t>做假財報</w:t>
      </w:r>
      <w:proofErr w:type="gramEnd"/>
      <w:r w:rsidRPr="006C4D86">
        <w:rPr>
          <w:rFonts w:asciiTheme="majorEastAsia" w:eastAsiaTheme="majorEastAsia" w:hAnsiTheme="majorEastAsia" w:cs="Times New Roman" w:hint="eastAsia"/>
          <w:color w:val="000000" w:themeColor="text1"/>
          <w:sz w:val="32"/>
          <w:szCs w:val="32"/>
        </w:rPr>
        <w:t>企業之情形。</w:t>
      </w:r>
    </w:p>
    <w:p w:rsidR="006C4D86" w:rsidRPr="006C4D86" w:rsidRDefault="006C4D86" w:rsidP="006C4D86">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proofErr w:type="spellStart"/>
      <w:r w:rsidRPr="006C4D86">
        <w:rPr>
          <w:rFonts w:asciiTheme="majorEastAsia" w:eastAsiaTheme="majorEastAsia" w:hAnsiTheme="majorEastAsia" w:cs="Times New Roman" w:hint="eastAsia"/>
          <w:color w:val="000000" w:themeColor="text1"/>
          <w:sz w:val="32"/>
          <w:szCs w:val="32"/>
        </w:rPr>
        <w:lastRenderedPageBreak/>
        <w:t>iStaging</w:t>
      </w:r>
      <w:proofErr w:type="spellEnd"/>
      <w:r w:rsidRPr="006C4D86">
        <w:rPr>
          <w:rFonts w:asciiTheme="majorEastAsia" w:eastAsiaTheme="majorEastAsia" w:hAnsiTheme="majorEastAsia" w:cs="Times New Roman" w:hint="eastAsia"/>
          <w:color w:val="000000" w:themeColor="text1"/>
          <w:sz w:val="32"/>
          <w:szCs w:val="32"/>
        </w:rPr>
        <w:t>公司透過「廣角度</w:t>
      </w:r>
      <w:proofErr w:type="gramStart"/>
      <w:r w:rsidRPr="006C4D86">
        <w:rPr>
          <w:rFonts w:asciiTheme="majorEastAsia" w:eastAsiaTheme="majorEastAsia" w:hAnsiTheme="majorEastAsia" w:cs="Times New Roman" w:hint="eastAsia"/>
          <w:color w:val="000000" w:themeColor="text1"/>
          <w:sz w:val="32"/>
          <w:szCs w:val="32"/>
        </w:rPr>
        <w:t>擴增實境</w:t>
      </w:r>
      <w:proofErr w:type="gramEnd"/>
      <w:r w:rsidRPr="006C4D86">
        <w:rPr>
          <w:rFonts w:asciiTheme="majorEastAsia" w:eastAsiaTheme="majorEastAsia" w:hAnsiTheme="majorEastAsia" w:cs="Times New Roman" w:hint="eastAsia"/>
          <w:color w:val="000000" w:themeColor="text1"/>
          <w:sz w:val="32"/>
          <w:szCs w:val="32"/>
        </w:rPr>
        <w:t>」核心技術，推出虛擬看屋解決方案，串聯房地產買家、房仲、建築及裝潢業等，形成新型態電商平台。該公司曾於2015年 獲得APEC創業挑戰賽英特爾首獎，並得到IECIA(國際電商創新協會)在美國紐約始創的艾奇獎。</w:t>
      </w:r>
    </w:p>
    <w:p w:rsidR="006C4D86" w:rsidRPr="006C4D86" w:rsidRDefault="002651EA" w:rsidP="006C4D86">
      <w:pPr>
        <w:widowControl w:val="0"/>
        <w:spacing w:beforeLines="50" w:before="180" w:afterLines="50" w:after="180" w:line="440" w:lineRule="exact"/>
        <w:ind w:left="0" w:firstLine="0"/>
        <w:jc w:val="both"/>
        <w:rPr>
          <w:rFonts w:asciiTheme="majorEastAsia" w:eastAsiaTheme="majorEastAsia" w:hAnsiTheme="majorEastAsia" w:cs="Times New Roman"/>
          <w:color w:val="000000" w:themeColor="text1"/>
          <w:sz w:val="32"/>
          <w:szCs w:val="32"/>
        </w:rPr>
      </w:pPr>
      <w:r w:rsidRPr="006C4D86">
        <w:rPr>
          <w:rFonts w:asciiTheme="majorEastAsia" w:eastAsiaTheme="majorEastAsia" w:hAnsiTheme="majorEastAsia" w:cs="Times New Roman" w:hint="eastAsia"/>
          <w:color w:val="000000" w:themeColor="text1"/>
          <w:sz w:val="32"/>
          <w:szCs w:val="32"/>
        </w:rPr>
        <w:t>iStaging</w:t>
      </w:r>
      <w:r w:rsidR="006C4D86" w:rsidRPr="006C4D86">
        <w:rPr>
          <w:rFonts w:asciiTheme="majorEastAsia" w:eastAsiaTheme="majorEastAsia" w:hAnsiTheme="majorEastAsia" w:cs="Times New Roman" w:hint="eastAsia"/>
          <w:color w:val="000000" w:themeColor="text1"/>
          <w:sz w:val="32"/>
          <w:szCs w:val="32"/>
        </w:rPr>
        <w:t>公司虛擬看屋服務於國內已有遠雄、國揚、甲山林等大型建商合作，並與信義、永慶房屋等進行專案合作，未來將拓展日本、馬來西亞、柬埔寨等地事業版圖</w:t>
      </w:r>
      <w:r w:rsidR="006C4D86">
        <w:rPr>
          <w:rFonts w:asciiTheme="majorEastAsia" w:eastAsiaTheme="majorEastAsia" w:hAnsiTheme="majorEastAsia" w:cs="Times New Roman" w:hint="eastAsia"/>
          <w:color w:val="000000" w:themeColor="text1"/>
          <w:sz w:val="32"/>
          <w:szCs w:val="32"/>
        </w:rPr>
        <w:t>。</w:t>
      </w:r>
    </w:p>
    <w:p w:rsidR="00DD75D3" w:rsidRDefault="00DD75D3" w:rsidP="006C4D86">
      <w:pPr>
        <w:widowControl w:val="0"/>
        <w:spacing w:beforeLines="100" w:before="360" w:line="440" w:lineRule="exact"/>
        <w:ind w:left="1600" w:hangingChars="500" w:hanging="1600"/>
        <w:jc w:val="both"/>
        <w:rPr>
          <w:rFonts w:asciiTheme="majorEastAsia" w:eastAsiaTheme="majorEastAsia" w:hAnsiTheme="majorEastAsia" w:cs="Times New Roman"/>
          <w:color w:val="000000" w:themeColor="text1"/>
          <w:sz w:val="32"/>
          <w:szCs w:val="32"/>
        </w:rPr>
      </w:pPr>
    </w:p>
    <w:p w:rsidR="004B2E52" w:rsidRPr="006C4D86" w:rsidRDefault="006C4D86" w:rsidP="006C4D86">
      <w:pPr>
        <w:widowControl w:val="0"/>
        <w:spacing w:beforeLines="100" w:before="360" w:line="440" w:lineRule="exact"/>
        <w:ind w:left="1600" w:hangingChars="500" w:hanging="1600"/>
        <w:jc w:val="both"/>
        <w:rPr>
          <w:rFonts w:asciiTheme="majorEastAsia" w:eastAsiaTheme="majorEastAsia" w:hAnsiTheme="majorEastAsia" w:cs="Times New Roman"/>
          <w:color w:val="000000" w:themeColor="text1"/>
          <w:sz w:val="32"/>
          <w:szCs w:val="32"/>
        </w:rPr>
      </w:pPr>
      <w:r>
        <w:rPr>
          <w:rFonts w:asciiTheme="majorEastAsia" w:eastAsiaTheme="majorEastAsia" w:hAnsiTheme="majorEastAsia" w:cs="Times New Roman" w:hint="eastAsia"/>
          <w:color w:val="000000" w:themeColor="text1"/>
          <w:sz w:val="32"/>
          <w:szCs w:val="32"/>
        </w:rPr>
        <w:t>聯絡方式</w:t>
      </w:r>
      <w:r w:rsidR="00AC5027" w:rsidRPr="006C4D86">
        <w:rPr>
          <w:rFonts w:asciiTheme="majorEastAsia" w:eastAsiaTheme="majorEastAsia" w:hAnsiTheme="majorEastAsia" w:cs="Times New Roman" w:hint="eastAsia"/>
          <w:color w:val="000000" w:themeColor="text1"/>
          <w:sz w:val="32"/>
          <w:szCs w:val="32"/>
        </w:rPr>
        <w:t>：</w:t>
      </w:r>
      <w:r>
        <w:rPr>
          <w:rFonts w:asciiTheme="majorEastAsia" w:eastAsiaTheme="majorEastAsia" w:hAnsiTheme="majorEastAsia" w:cs="Times New Roman" w:hint="eastAsia"/>
          <w:color w:val="000000" w:themeColor="text1"/>
          <w:sz w:val="32"/>
          <w:szCs w:val="32"/>
        </w:rPr>
        <w:t>經濟部工業局吳科長明徽 02-2754-1255#2421</w:t>
      </w:r>
      <w:r>
        <w:rPr>
          <w:rFonts w:asciiTheme="majorEastAsia" w:eastAsiaTheme="majorEastAsia" w:hAnsiTheme="majorEastAsia" w:cs="Times New Roman"/>
          <w:color w:val="000000" w:themeColor="text1"/>
          <w:sz w:val="32"/>
          <w:szCs w:val="32"/>
        </w:rPr>
        <w:br/>
      </w:r>
      <w:r>
        <w:rPr>
          <w:rFonts w:asciiTheme="majorEastAsia" w:eastAsiaTheme="majorEastAsia" w:hAnsiTheme="majorEastAsia" w:cs="Times New Roman" w:hint="eastAsia"/>
          <w:color w:val="000000" w:themeColor="text1"/>
          <w:sz w:val="32"/>
          <w:szCs w:val="32"/>
        </w:rPr>
        <w:t xml:space="preserve">國發基金蘇副執行秘書來守 </w:t>
      </w:r>
      <w:r w:rsidR="007A7214" w:rsidRPr="006C4D86">
        <w:rPr>
          <w:rFonts w:asciiTheme="majorEastAsia" w:eastAsiaTheme="majorEastAsia" w:hAnsiTheme="majorEastAsia" w:cs="Times New Roman"/>
          <w:sz w:val="32"/>
          <w:szCs w:val="32"/>
        </w:rPr>
        <w:t>02-</w:t>
      </w:r>
      <w:r>
        <w:rPr>
          <w:rFonts w:asciiTheme="majorEastAsia" w:eastAsiaTheme="majorEastAsia" w:hAnsiTheme="majorEastAsia" w:cs="Times New Roman"/>
          <w:color w:val="000000" w:themeColor="text1"/>
          <w:sz w:val="32"/>
          <w:szCs w:val="32"/>
        </w:rPr>
        <w:t>2316-</w:t>
      </w:r>
      <w:r>
        <w:rPr>
          <w:rFonts w:asciiTheme="majorEastAsia" w:eastAsiaTheme="majorEastAsia" w:hAnsiTheme="majorEastAsia" w:cs="Times New Roman" w:hint="eastAsia"/>
          <w:color w:val="000000" w:themeColor="text1"/>
          <w:sz w:val="32"/>
          <w:szCs w:val="32"/>
        </w:rPr>
        <w:t>8203</w:t>
      </w:r>
    </w:p>
    <w:sectPr w:rsidR="004B2E52" w:rsidRPr="006C4D86" w:rsidSect="00B13A01">
      <w:footerReference w:type="default" r:id="rId10"/>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2B" w:rsidRDefault="00E8402B" w:rsidP="001D1AB2">
      <w:pPr>
        <w:spacing w:line="240" w:lineRule="auto"/>
      </w:pPr>
      <w:r>
        <w:separator/>
      </w:r>
    </w:p>
  </w:endnote>
  <w:endnote w:type="continuationSeparator" w:id="0">
    <w:p w:rsidR="00E8402B" w:rsidRDefault="00E8402B" w:rsidP="001D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51335"/>
      <w:docPartObj>
        <w:docPartGallery w:val="Page Numbers (Bottom of Page)"/>
        <w:docPartUnique/>
      </w:docPartObj>
    </w:sdtPr>
    <w:sdtEndPr/>
    <w:sdtContent>
      <w:p w:rsidR="009B41EA" w:rsidRDefault="009B41EA" w:rsidP="00192861">
        <w:pPr>
          <w:pStyle w:val="a8"/>
          <w:jc w:val="center"/>
        </w:pPr>
        <w:r>
          <w:fldChar w:fldCharType="begin"/>
        </w:r>
        <w:r>
          <w:instrText>PAGE   \* MERGEFORMAT</w:instrText>
        </w:r>
        <w:r>
          <w:fldChar w:fldCharType="separate"/>
        </w:r>
        <w:r w:rsidR="00C6766F" w:rsidRPr="00C6766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2B" w:rsidRDefault="00E8402B" w:rsidP="001D1AB2">
      <w:pPr>
        <w:spacing w:line="240" w:lineRule="auto"/>
      </w:pPr>
      <w:r>
        <w:separator/>
      </w:r>
    </w:p>
  </w:footnote>
  <w:footnote w:type="continuationSeparator" w:id="0">
    <w:p w:rsidR="00E8402B" w:rsidRDefault="00E8402B" w:rsidP="001D1A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07"/>
    <w:multiLevelType w:val="hybridMultilevel"/>
    <w:tmpl w:val="CE00592E"/>
    <w:lvl w:ilvl="0" w:tplc="0C8A736E">
      <w:start w:val="1"/>
      <w:numFmt w:val="taiwaneseCountingThousand"/>
      <w:suff w:val="space"/>
      <w:lvlText w:val="%1、"/>
      <w:lvlJc w:val="left"/>
      <w:pPr>
        <w:ind w:left="737" w:hanging="73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DC7EFF"/>
    <w:multiLevelType w:val="hybridMultilevel"/>
    <w:tmpl w:val="ACDE6D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BA2ADC"/>
    <w:multiLevelType w:val="hybridMultilevel"/>
    <w:tmpl w:val="0AC2F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E31EFD"/>
    <w:multiLevelType w:val="hybridMultilevel"/>
    <w:tmpl w:val="2180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B1640"/>
    <w:multiLevelType w:val="hybridMultilevel"/>
    <w:tmpl w:val="204EAFC8"/>
    <w:lvl w:ilvl="0" w:tplc="5C0255E2">
      <w:start w:val="1"/>
      <w:numFmt w:val="decimal"/>
      <w:lvlText w:val="%1."/>
      <w:lvlJc w:val="left"/>
      <w:pPr>
        <w:ind w:left="1045" w:hanging="405"/>
      </w:pPr>
      <w:rPr>
        <w:rFonts w:hint="default"/>
        <w:color w:val="000000" w:themeColor="text1"/>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5">
    <w:nsid w:val="63A278E6"/>
    <w:multiLevelType w:val="hybridMultilevel"/>
    <w:tmpl w:val="DED2C89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6">
    <w:nsid w:val="63C661ED"/>
    <w:multiLevelType w:val="hybridMultilevel"/>
    <w:tmpl w:val="E998174A"/>
    <w:lvl w:ilvl="0" w:tplc="F4560D68">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CEE2A38"/>
    <w:multiLevelType w:val="hybridMultilevel"/>
    <w:tmpl w:val="382A0B76"/>
    <w:lvl w:ilvl="0" w:tplc="0AD6EE3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71535C1E"/>
    <w:multiLevelType w:val="hybridMultilevel"/>
    <w:tmpl w:val="70584BB0"/>
    <w:lvl w:ilvl="0" w:tplc="9B3E03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3A2E1A"/>
    <w:multiLevelType w:val="hybridMultilevel"/>
    <w:tmpl w:val="C6728DF6"/>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0">
    <w:nsid w:val="792717A9"/>
    <w:multiLevelType w:val="hybridMultilevel"/>
    <w:tmpl w:val="E7428B7C"/>
    <w:lvl w:ilvl="0" w:tplc="99667E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FF4372"/>
    <w:multiLevelType w:val="hybridMultilevel"/>
    <w:tmpl w:val="5E6A6316"/>
    <w:lvl w:ilvl="0" w:tplc="9B3E03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9"/>
  </w:num>
  <w:num w:numId="4">
    <w:abstractNumId w:val="1"/>
  </w:num>
  <w:num w:numId="5">
    <w:abstractNumId w:val="2"/>
  </w:num>
  <w:num w:numId="6">
    <w:abstractNumId w:val="3"/>
  </w:num>
  <w:num w:numId="7">
    <w:abstractNumId w:val="10"/>
  </w:num>
  <w:num w:numId="8">
    <w:abstractNumId w:val="6"/>
  </w:num>
  <w:num w:numId="9">
    <w:abstractNumId w:val="7"/>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24"/>
    <w:rsid w:val="000171F8"/>
    <w:rsid w:val="0002351A"/>
    <w:rsid w:val="000277D2"/>
    <w:rsid w:val="000307B1"/>
    <w:rsid w:val="00037C0B"/>
    <w:rsid w:val="00037F78"/>
    <w:rsid w:val="000627E9"/>
    <w:rsid w:val="00066992"/>
    <w:rsid w:val="000717DD"/>
    <w:rsid w:val="000B045A"/>
    <w:rsid w:val="000B34AF"/>
    <w:rsid w:val="000B59C3"/>
    <w:rsid w:val="000C53B0"/>
    <w:rsid w:val="000E03E6"/>
    <w:rsid w:val="00106ABF"/>
    <w:rsid w:val="00141081"/>
    <w:rsid w:val="00144477"/>
    <w:rsid w:val="00156910"/>
    <w:rsid w:val="00160146"/>
    <w:rsid w:val="00163FC5"/>
    <w:rsid w:val="0017600D"/>
    <w:rsid w:val="0019085C"/>
    <w:rsid w:val="00192861"/>
    <w:rsid w:val="00195525"/>
    <w:rsid w:val="001C1C86"/>
    <w:rsid w:val="001D1AB2"/>
    <w:rsid w:val="001D6465"/>
    <w:rsid w:val="001E34F5"/>
    <w:rsid w:val="002020EB"/>
    <w:rsid w:val="00207AE2"/>
    <w:rsid w:val="0021086F"/>
    <w:rsid w:val="002142AD"/>
    <w:rsid w:val="00234FAD"/>
    <w:rsid w:val="002458A7"/>
    <w:rsid w:val="00263C9B"/>
    <w:rsid w:val="00264BFB"/>
    <w:rsid w:val="002651EA"/>
    <w:rsid w:val="002717CD"/>
    <w:rsid w:val="002724FF"/>
    <w:rsid w:val="00280889"/>
    <w:rsid w:val="002A124C"/>
    <w:rsid w:val="002B306B"/>
    <w:rsid w:val="002D50DA"/>
    <w:rsid w:val="002E70D6"/>
    <w:rsid w:val="0032401B"/>
    <w:rsid w:val="003326B0"/>
    <w:rsid w:val="00332D31"/>
    <w:rsid w:val="003735E6"/>
    <w:rsid w:val="0037484B"/>
    <w:rsid w:val="003C2C3C"/>
    <w:rsid w:val="003C7E7B"/>
    <w:rsid w:val="003E20DB"/>
    <w:rsid w:val="003F11D5"/>
    <w:rsid w:val="003F12A7"/>
    <w:rsid w:val="003F307F"/>
    <w:rsid w:val="003F6F28"/>
    <w:rsid w:val="0041753A"/>
    <w:rsid w:val="00420BFB"/>
    <w:rsid w:val="004254C5"/>
    <w:rsid w:val="004321C3"/>
    <w:rsid w:val="00442755"/>
    <w:rsid w:val="00443904"/>
    <w:rsid w:val="00443D7E"/>
    <w:rsid w:val="004541F5"/>
    <w:rsid w:val="00474A1E"/>
    <w:rsid w:val="00476621"/>
    <w:rsid w:val="00490129"/>
    <w:rsid w:val="004B2E52"/>
    <w:rsid w:val="004D2BAB"/>
    <w:rsid w:val="004E2219"/>
    <w:rsid w:val="004E6F93"/>
    <w:rsid w:val="00500BC7"/>
    <w:rsid w:val="005027EB"/>
    <w:rsid w:val="00522796"/>
    <w:rsid w:val="00554557"/>
    <w:rsid w:val="00571D1A"/>
    <w:rsid w:val="00575BF1"/>
    <w:rsid w:val="005835EF"/>
    <w:rsid w:val="005929DD"/>
    <w:rsid w:val="005B45CD"/>
    <w:rsid w:val="005B70AB"/>
    <w:rsid w:val="005D3702"/>
    <w:rsid w:val="005E775B"/>
    <w:rsid w:val="0062572A"/>
    <w:rsid w:val="006257D0"/>
    <w:rsid w:val="00641C07"/>
    <w:rsid w:val="00650440"/>
    <w:rsid w:val="00663649"/>
    <w:rsid w:val="00677D5C"/>
    <w:rsid w:val="006A57F9"/>
    <w:rsid w:val="006A5E7A"/>
    <w:rsid w:val="006B741D"/>
    <w:rsid w:val="006C34B6"/>
    <w:rsid w:val="006C4D86"/>
    <w:rsid w:val="006E4C50"/>
    <w:rsid w:val="00701946"/>
    <w:rsid w:val="00701A67"/>
    <w:rsid w:val="00731E83"/>
    <w:rsid w:val="007560FF"/>
    <w:rsid w:val="007711BC"/>
    <w:rsid w:val="007A37C0"/>
    <w:rsid w:val="007A7214"/>
    <w:rsid w:val="007D6809"/>
    <w:rsid w:val="007F2C09"/>
    <w:rsid w:val="00814BE4"/>
    <w:rsid w:val="00845882"/>
    <w:rsid w:val="008619B6"/>
    <w:rsid w:val="00893A60"/>
    <w:rsid w:val="008B06F1"/>
    <w:rsid w:val="008D3748"/>
    <w:rsid w:val="008F5E35"/>
    <w:rsid w:val="00936C62"/>
    <w:rsid w:val="00951A6A"/>
    <w:rsid w:val="00952480"/>
    <w:rsid w:val="00961C16"/>
    <w:rsid w:val="00980716"/>
    <w:rsid w:val="009961D6"/>
    <w:rsid w:val="009A0194"/>
    <w:rsid w:val="009A4773"/>
    <w:rsid w:val="009B3F88"/>
    <w:rsid w:val="009B41EA"/>
    <w:rsid w:val="009C2282"/>
    <w:rsid w:val="009D0377"/>
    <w:rsid w:val="009D2824"/>
    <w:rsid w:val="009E1758"/>
    <w:rsid w:val="009E728D"/>
    <w:rsid w:val="009F06B3"/>
    <w:rsid w:val="00A16C46"/>
    <w:rsid w:val="00A375BD"/>
    <w:rsid w:val="00A42057"/>
    <w:rsid w:val="00A54F95"/>
    <w:rsid w:val="00A655F8"/>
    <w:rsid w:val="00A7531E"/>
    <w:rsid w:val="00A83A91"/>
    <w:rsid w:val="00A93DB1"/>
    <w:rsid w:val="00AC5027"/>
    <w:rsid w:val="00AC514D"/>
    <w:rsid w:val="00B13A01"/>
    <w:rsid w:val="00B2669D"/>
    <w:rsid w:val="00B3353B"/>
    <w:rsid w:val="00B349D2"/>
    <w:rsid w:val="00B36197"/>
    <w:rsid w:val="00B66F5E"/>
    <w:rsid w:val="00B764B1"/>
    <w:rsid w:val="00B94646"/>
    <w:rsid w:val="00BA6FFB"/>
    <w:rsid w:val="00BC3C07"/>
    <w:rsid w:val="00BD0661"/>
    <w:rsid w:val="00BD4B0D"/>
    <w:rsid w:val="00BF212C"/>
    <w:rsid w:val="00C17554"/>
    <w:rsid w:val="00C2107D"/>
    <w:rsid w:val="00C22BA8"/>
    <w:rsid w:val="00C421C0"/>
    <w:rsid w:val="00C437E4"/>
    <w:rsid w:val="00C612EC"/>
    <w:rsid w:val="00C63E4B"/>
    <w:rsid w:val="00C64618"/>
    <w:rsid w:val="00C6766F"/>
    <w:rsid w:val="00C70ADB"/>
    <w:rsid w:val="00CC6EBF"/>
    <w:rsid w:val="00CE49BE"/>
    <w:rsid w:val="00CE7ED1"/>
    <w:rsid w:val="00CF463B"/>
    <w:rsid w:val="00D07DCA"/>
    <w:rsid w:val="00D401CF"/>
    <w:rsid w:val="00D476E6"/>
    <w:rsid w:val="00D63528"/>
    <w:rsid w:val="00D777C4"/>
    <w:rsid w:val="00D94ED9"/>
    <w:rsid w:val="00D9773D"/>
    <w:rsid w:val="00DA2329"/>
    <w:rsid w:val="00DD75D3"/>
    <w:rsid w:val="00DE09BD"/>
    <w:rsid w:val="00DE1C19"/>
    <w:rsid w:val="00E13863"/>
    <w:rsid w:val="00E157CF"/>
    <w:rsid w:val="00E22090"/>
    <w:rsid w:val="00E67016"/>
    <w:rsid w:val="00E8402B"/>
    <w:rsid w:val="00EA1832"/>
    <w:rsid w:val="00EC0DB5"/>
    <w:rsid w:val="00EC432E"/>
    <w:rsid w:val="00F03772"/>
    <w:rsid w:val="00F06649"/>
    <w:rsid w:val="00F4050B"/>
    <w:rsid w:val="00F4130B"/>
    <w:rsid w:val="00F6398F"/>
    <w:rsid w:val="00F67FB7"/>
    <w:rsid w:val="00F772A9"/>
    <w:rsid w:val="00F80957"/>
    <w:rsid w:val="00FA5A03"/>
    <w:rsid w:val="00FB08D3"/>
    <w:rsid w:val="00FC4FD5"/>
    <w:rsid w:val="00FD5266"/>
    <w:rsid w:val="00FE0CE6"/>
    <w:rsid w:val="00FE1584"/>
    <w:rsid w:val="00FE2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24"/>
    <w:pPr>
      <w:spacing w:line="520" w:lineRule="atLeast"/>
      <w:ind w:left="1678" w:hanging="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824"/>
    <w:rPr>
      <w:rFonts w:asciiTheme="majorHAnsi" w:eastAsiaTheme="majorEastAsia" w:hAnsiTheme="majorHAnsi" w:cstheme="majorBidi"/>
      <w:sz w:val="18"/>
      <w:szCs w:val="18"/>
    </w:rPr>
  </w:style>
  <w:style w:type="paragraph" w:styleId="a5">
    <w:name w:val="List Paragraph"/>
    <w:basedOn w:val="a"/>
    <w:uiPriority w:val="34"/>
    <w:qFormat/>
    <w:rsid w:val="003F307F"/>
    <w:pPr>
      <w:ind w:leftChars="200" w:left="480"/>
    </w:pPr>
  </w:style>
  <w:style w:type="paragraph" w:styleId="a6">
    <w:name w:val="header"/>
    <w:basedOn w:val="a"/>
    <w:link w:val="a7"/>
    <w:uiPriority w:val="99"/>
    <w:unhideWhenUsed/>
    <w:rsid w:val="001D1AB2"/>
    <w:pPr>
      <w:tabs>
        <w:tab w:val="center" w:pos="4153"/>
        <w:tab w:val="right" w:pos="8306"/>
      </w:tabs>
      <w:snapToGrid w:val="0"/>
    </w:pPr>
    <w:rPr>
      <w:sz w:val="20"/>
      <w:szCs w:val="20"/>
    </w:rPr>
  </w:style>
  <w:style w:type="character" w:customStyle="1" w:styleId="a7">
    <w:name w:val="頁首 字元"/>
    <w:basedOn w:val="a0"/>
    <w:link w:val="a6"/>
    <w:uiPriority w:val="99"/>
    <w:rsid w:val="001D1AB2"/>
    <w:rPr>
      <w:sz w:val="20"/>
      <w:szCs w:val="20"/>
    </w:rPr>
  </w:style>
  <w:style w:type="paragraph" w:styleId="a8">
    <w:name w:val="footer"/>
    <w:basedOn w:val="a"/>
    <w:link w:val="a9"/>
    <w:uiPriority w:val="99"/>
    <w:unhideWhenUsed/>
    <w:rsid w:val="001D1AB2"/>
    <w:pPr>
      <w:tabs>
        <w:tab w:val="center" w:pos="4153"/>
        <w:tab w:val="right" w:pos="8306"/>
      </w:tabs>
      <w:snapToGrid w:val="0"/>
    </w:pPr>
    <w:rPr>
      <w:sz w:val="20"/>
      <w:szCs w:val="20"/>
    </w:rPr>
  </w:style>
  <w:style w:type="character" w:customStyle="1" w:styleId="a9">
    <w:name w:val="頁尾 字元"/>
    <w:basedOn w:val="a0"/>
    <w:link w:val="a8"/>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 w:type="paragraph" w:customStyle="1" w:styleId="k02">
    <w:name w:val="k02"/>
    <w:basedOn w:val="a"/>
    <w:rsid w:val="00A83A91"/>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left="0" w:firstLine="567"/>
      <w:jc w:val="both"/>
      <w:textAlignment w:val="center"/>
    </w:pPr>
    <w:rPr>
      <w:rFonts w:ascii="Times New Roman"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24"/>
    <w:pPr>
      <w:spacing w:line="520" w:lineRule="atLeast"/>
      <w:ind w:left="1678" w:hanging="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824"/>
    <w:rPr>
      <w:rFonts w:asciiTheme="majorHAnsi" w:eastAsiaTheme="majorEastAsia" w:hAnsiTheme="majorHAnsi" w:cstheme="majorBidi"/>
      <w:sz w:val="18"/>
      <w:szCs w:val="18"/>
    </w:rPr>
  </w:style>
  <w:style w:type="paragraph" w:styleId="a5">
    <w:name w:val="List Paragraph"/>
    <w:basedOn w:val="a"/>
    <w:uiPriority w:val="34"/>
    <w:qFormat/>
    <w:rsid w:val="003F307F"/>
    <w:pPr>
      <w:ind w:leftChars="200" w:left="480"/>
    </w:pPr>
  </w:style>
  <w:style w:type="paragraph" w:styleId="a6">
    <w:name w:val="header"/>
    <w:basedOn w:val="a"/>
    <w:link w:val="a7"/>
    <w:uiPriority w:val="99"/>
    <w:unhideWhenUsed/>
    <w:rsid w:val="001D1AB2"/>
    <w:pPr>
      <w:tabs>
        <w:tab w:val="center" w:pos="4153"/>
        <w:tab w:val="right" w:pos="8306"/>
      </w:tabs>
      <w:snapToGrid w:val="0"/>
    </w:pPr>
    <w:rPr>
      <w:sz w:val="20"/>
      <w:szCs w:val="20"/>
    </w:rPr>
  </w:style>
  <w:style w:type="character" w:customStyle="1" w:styleId="a7">
    <w:name w:val="頁首 字元"/>
    <w:basedOn w:val="a0"/>
    <w:link w:val="a6"/>
    <w:uiPriority w:val="99"/>
    <w:rsid w:val="001D1AB2"/>
    <w:rPr>
      <w:sz w:val="20"/>
      <w:szCs w:val="20"/>
    </w:rPr>
  </w:style>
  <w:style w:type="paragraph" w:styleId="a8">
    <w:name w:val="footer"/>
    <w:basedOn w:val="a"/>
    <w:link w:val="a9"/>
    <w:uiPriority w:val="99"/>
    <w:unhideWhenUsed/>
    <w:rsid w:val="001D1AB2"/>
    <w:pPr>
      <w:tabs>
        <w:tab w:val="center" w:pos="4153"/>
        <w:tab w:val="right" w:pos="8306"/>
      </w:tabs>
      <w:snapToGrid w:val="0"/>
    </w:pPr>
    <w:rPr>
      <w:sz w:val="20"/>
      <w:szCs w:val="20"/>
    </w:rPr>
  </w:style>
  <w:style w:type="character" w:customStyle="1" w:styleId="a9">
    <w:name w:val="頁尾 字元"/>
    <w:basedOn w:val="a0"/>
    <w:link w:val="a8"/>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 w:type="paragraph" w:customStyle="1" w:styleId="k02">
    <w:name w:val="k02"/>
    <w:basedOn w:val="a"/>
    <w:rsid w:val="00A83A91"/>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left="0"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387">
      <w:bodyDiv w:val="1"/>
      <w:marLeft w:val="0"/>
      <w:marRight w:val="0"/>
      <w:marTop w:val="0"/>
      <w:marBottom w:val="0"/>
      <w:divBdr>
        <w:top w:val="none" w:sz="0" w:space="0" w:color="auto"/>
        <w:left w:val="none" w:sz="0" w:space="0" w:color="auto"/>
        <w:bottom w:val="none" w:sz="0" w:space="0" w:color="auto"/>
        <w:right w:val="none" w:sz="0" w:space="0" w:color="auto"/>
      </w:divBdr>
    </w:div>
    <w:div w:id="1146359532">
      <w:bodyDiv w:val="1"/>
      <w:marLeft w:val="0"/>
      <w:marRight w:val="0"/>
      <w:marTop w:val="0"/>
      <w:marBottom w:val="0"/>
      <w:divBdr>
        <w:top w:val="none" w:sz="0" w:space="0" w:color="auto"/>
        <w:left w:val="none" w:sz="0" w:space="0" w:color="auto"/>
        <w:bottom w:val="none" w:sz="0" w:space="0" w:color="auto"/>
        <w:right w:val="none" w:sz="0" w:space="0" w:color="auto"/>
      </w:divBdr>
    </w:div>
    <w:div w:id="1533609376">
      <w:bodyDiv w:val="1"/>
      <w:marLeft w:val="0"/>
      <w:marRight w:val="0"/>
      <w:marTop w:val="0"/>
      <w:marBottom w:val="0"/>
      <w:divBdr>
        <w:top w:val="none" w:sz="0" w:space="0" w:color="auto"/>
        <w:left w:val="none" w:sz="0" w:space="0" w:color="auto"/>
        <w:bottom w:val="none" w:sz="0" w:space="0" w:color="auto"/>
        <w:right w:val="none" w:sz="0" w:space="0" w:color="auto"/>
      </w:divBdr>
    </w:div>
    <w:div w:id="17180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CD56-6630-4321-B418-68D186E7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曾奕達</dc:creator>
  <cp:lastModifiedBy>平安</cp:lastModifiedBy>
  <cp:revision>7</cp:revision>
  <cp:lastPrinted>2019-09-09T08:55:00Z</cp:lastPrinted>
  <dcterms:created xsi:type="dcterms:W3CDTF">2019-09-18T05:39:00Z</dcterms:created>
  <dcterms:modified xsi:type="dcterms:W3CDTF">2019-09-20T03:20:00Z</dcterms:modified>
</cp:coreProperties>
</file>