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70" w:rsidRDefault="00CF5226" w:rsidP="007F48DC">
      <w:pPr>
        <w:widowControl/>
        <w:adjustRightInd w:val="0"/>
        <w:snapToGrid w:val="0"/>
        <w:spacing w:afterLines="50" w:after="180"/>
        <w:jc w:val="center"/>
        <w:rPr>
          <w:rFonts w:ascii="Times New Roman" w:eastAsia="標楷體" w:hAnsi="標楷體" w:cs="Times New Roman"/>
          <w:b/>
          <w:bCs/>
          <w:kern w:val="0"/>
          <w:sz w:val="36"/>
          <w:szCs w:val="28"/>
        </w:rPr>
      </w:pPr>
      <w:r>
        <w:rPr>
          <w:rFonts w:ascii="Times New Roman" w:eastAsia="標楷體" w:hAnsi="標楷體" w:cs="Times New Roman" w:hint="eastAsia"/>
          <w:b/>
          <w:bCs/>
          <w:kern w:val="0"/>
          <w:sz w:val="36"/>
          <w:szCs w:val="28"/>
        </w:rPr>
        <w:t>得獎</w:t>
      </w:r>
      <w:r w:rsidR="00EF4E7D" w:rsidRPr="00EF4E7D">
        <w:rPr>
          <w:rFonts w:ascii="Times New Roman" w:eastAsia="標楷體" w:hAnsi="標楷體" w:cs="Times New Roman" w:hint="eastAsia"/>
          <w:b/>
          <w:bCs/>
          <w:kern w:val="0"/>
          <w:sz w:val="36"/>
          <w:szCs w:val="28"/>
        </w:rPr>
        <w:t>機關服務績效摘要</w:t>
      </w:r>
      <w:r w:rsidR="00EF4E7D">
        <w:rPr>
          <w:rFonts w:ascii="Times New Roman" w:eastAsia="標楷體" w:hAnsi="標楷體" w:cs="Times New Roman" w:hint="eastAsia"/>
          <w:b/>
          <w:bCs/>
          <w:kern w:val="0"/>
          <w:sz w:val="36"/>
          <w:szCs w:val="28"/>
        </w:rPr>
        <w:t>(</w:t>
      </w:r>
      <w:r w:rsidR="00827C70" w:rsidRPr="00BC0F80">
        <w:rPr>
          <w:rFonts w:ascii="Times New Roman" w:eastAsia="標楷體" w:hAnsi="標楷體" w:cs="Times New Roman"/>
          <w:b/>
          <w:bCs/>
          <w:kern w:val="0"/>
          <w:sz w:val="36"/>
          <w:szCs w:val="28"/>
        </w:rPr>
        <w:t>專案規劃類</w:t>
      </w:r>
      <w:r w:rsidR="00EF4E7D">
        <w:rPr>
          <w:rFonts w:ascii="Times New Roman" w:eastAsia="標楷體" w:hAnsi="標楷體" w:cs="Times New Roman" w:hint="eastAsia"/>
          <w:b/>
          <w:bCs/>
          <w:kern w:val="0"/>
          <w:sz w:val="36"/>
          <w:szCs w:val="28"/>
        </w:rPr>
        <w:t>)</w:t>
      </w:r>
    </w:p>
    <w:p w:rsidR="00EF4E7D" w:rsidRPr="006363E1" w:rsidRDefault="00B0063F" w:rsidP="006363E1">
      <w:pPr>
        <w:snapToGrid w:val="0"/>
        <w:ind w:right="-30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  <w:b/>
          <w:bCs/>
          <w:kern w:val="0"/>
          <w:sz w:val="32"/>
          <w:szCs w:val="28"/>
        </w:rPr>
        <w:t xml:space="preserve">    </w:t>
      </w:r>
      <w:r w:rsidRPr="00B0063F">
        <w:rPr>
          <w:rFonts w:ascii="Times New Roman" w:eastAsia="標楷體" w:hAnsi="標楷體" w:cs="Times New Roman" w:hint="eastAsia"/>
          <w:b/>
          <w:bCs/>
          <w:kern w:val="0"/>
          <w:sz w:val="28"/>
          <w:szCs w:val="28"/>
        </w:rPr>
        <w:t xml:space="preserve"> </w:t>
      </w:r>
      <w:r w:rsidR="006363E1">
        <w:rPr>
          <w:rFonts w:ascii="Times New Roman" w:eastAsia="標楷體" w:hAnsi="標楷體" w:cs="Times New Roman" w:hint="eastAsia"/>
          <w:b/>
          <w:bCs/>
          <w:kern w:val="0"/>
          <w:sz w:val="32"/>
          <w:szCs w:val="28"/>
        </w:rPr>
        <w:t xml:space="preserve">                 </w:t>
      </w:r>
      <w:r w:rsidR="006363E1" w:rsidRPr="00730887">
        <w:rPr>
          <w:rFonts w:ascii="Times New Roman" w:eastAsia="標楷體" w:hAnsi="標楷體" w:cs="Times New Roman"/>
          <w:bCs/>
          <w:kern w:val="0"/>
          <w:sz w:val="32"/>
          <w:szCs w:val="28"/>
        </w:rPr>
        <w:t>（按主管機關排序）</w:t>
      </w:r>
      <w:r w:rsidR="006363E1">
        <w:rPr>
          <w:rFonts w:ascii="Times New Roman" w:eastAsia="標楷體" w:hAnsi="標楷體" w:cs="Times New Roman" w:hint="eastAsia"/>
          <w:b/>
          <w:bCs/>
          <w:kern w:val="0"/>
          <w:sz w:val="32"/>
          <w:szCs w:val="28"/>
        </w:rPr>
        <w:t xml:space="preserve">             </w:t>
      </w:r>
      <w:r w:rsidR="006363E1" w:rsidRPr="00730887">
        <w:rPr>
          <w:rFonts w:ascii="Times New Roman" w:eastAsia="標楷體" w:hAnsi="標楷體" w:cs="Times New Roman" w:hint="eastAsia"/>
          <w:bCs/>
          <w:kern w:val="0"/>
          <w:sz w:val="28"/>
          <w:szCs w:val="28"/>
        </w:rPr>
        <w:t>10</w:t>
      </w:r>
      <w:r w:rsidR="00AB09B1">
        <w:rPr>
          <w:rFonts w:ascii="Times New Roman" w:eastAsia="標楷體" w:hAnsi="標楷體" w:cs="Times New Roman" w:hint="eastAsia"/>
          <w:bCs/>
          <w:kern w:val="0"/>
          <w:sz w:val="28"/>
          <w:szCs w:val="28"/>
        </w:rPr>
        <w:t>8</w:t>
      </w:r>
      <w:r w:rsidR="006363E1" w:rsidRPr="00730887">
        <w:rPr>
          <w:rFonts w:ascii="Times New Roman" w:eastAsia="標楷體" w:hAnsi="標楷體" w:cs="Times New Roman" w:hint="eastAsia"/>
          <w:bCs/>
          <w:kern w:val="0"/>
          <w:sz w:val="28"/>
          <w:szCs w:val="28"/>
        </w:rPr>
        <w:t>.</w:t>
      </w:r>
      <w:r w:rsidR="006363E1" w:rsidRPr="00730887">
        <w:rPr>
          <w:rFonts w:ascii="Times New Roman" w:eastAsia="標楷體" w:hAnsi="標楷體" w:cs="Times New Roman"/>
          <w:bCs/>
          <w:kern w:val="0"/>
          <w:sz w:val="28"/>
          <w:szCs w:val="28"/>
        </w:rPr>
        <w:t>0</w:t>
      </w:r>
      <w:r w:rsidR="00FF2134">
        <w:rPr>
          <w:rFonts w:ascii="Times New Roman" w:eastAsia="標楷體" w:hAnsi="標楷體" w:cs="Times New Roman" w:hint="eastAsia"/>
          <w:bCs/>
          <w:kern w:val="0"/>
          <w:sz w:val="28"/>
          <w:szCs w:val="28"/>
        </w:rPr>
        <w:t>7</w:t>
      </w:r>
      <w:r w:rsidR="006363E1" w:rsidRPr="00730887">
        <w:rPr>
          <w:rFonts w:ascii="Times New Roman" w:eastAsia="標楷體" w:hAnsi="標楷體" w:cs="Times New Roman" w:hint="eastAsia"/>
          <w:bCs/>
          <w:kern w:val="0"/>
          <w:sz w:val="28"/>
          <w:szCs w:val="28"/>
        </w:rPr>
        <w:t>.</w:t>
      </w:r>
      <w:r w:rsidR="00FF2134">
        <w:rPr>
          <w:rFonts w:ascii="Times New Roman" w:eastAsia="標楷體" w:hAnsi="標楷體" w:cs="Times New Roman" w:hint="eastAsia"/>
          <w:bCs/>
          <w:kern w:val="0"/>
          <w:sz w:val="28"/>
          <w:szCs w:val="28"/>
        </w:rPr>
        <w:t>09</w:t>
      </w:r>
      <w:bookmarkStart w:id="0" w:name="_GoBack"/>
      <w:bookmarkEnd w:id="0"/>
      <w:r w:rsidR="005C5763">
        <w:rPr>
          <w:rFonts w:ascii="Times New Roman" w:eastAsia="標楷體" w:hAnsi="標楷體" w:cs="Times New Roman" w:hint="eastAsia"/>
          <w:bCs/>
          <w:kern w:val="0"/>
          <w:sz w:val="28"/>
          <w:szCs w:val="28"/>
        </w:rPr>
        <w:t xml:space="preserve"> </w:t>
      </w:r>
    </w:p>
    <w:tbl>
      <w:tblPr>
        <w:tblW w:w="10485" w:type="dxa"/>
        <w:jc w:val="center"/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992"/>
        <w:gridCol w:w="1276"/>
        <w:gridCol w:w="1984"/>
        <w:gridCol w:w="5812"/>
      </w:tblGrid>
      <w:tr w:rsidR="00762441" w:rsidRPr="00BC0F80" w:rsidTr="00183FC5">
        <w:trPr>
          <w:trHeight w:val="390"/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62441" w:rsidRPr="00BC0F80" w:rsidRDefault="00762441" w:rsidP="007624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BC0F80">
              <w:rPr>
                <w:rFonts w:ascii="Times New Roman" w:eastAsia="標楷體" w:hAnsi="標楷體" w:cs="Times New Roman"/>
                <w:b/>
                <w:bCs/>
                <w:kern w:val="0"/>
                <w:szCs w:val="24"/>
              </w:rPr>
              <w:t>序</w:t>
            </w:r>
          </w:p>
          <w:p w:rsidR="00762441" w:rsidRPr="00BC0F80" w:rsidRDefault="00762441" w:rsidP="007624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BC0F80">
              <w:rPr>
                <w:rFonts w:ascii="Times New Roman" w:eastAsia="標楷體" w:hAnsi="標楷體" w:cs="Times New Roman"/>
                <w:b/>
                <w:bCs/>
                <w:kern w:val="0"/>
                <w:szCs w:val="24"/>
              </w:rPr>
              <w:t>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83FC5" w:rsidRDefault="00762441" w:rsidP="004837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  <w:r w:rsidRPr="00B0063F">
              <w:rPr>
                <w:rFonts w:ascii="Times New Roman" w:eastAsia="標楷體" w:hAnsi="標楷體" w:cs="Times New Roman"/>
                <w:b/>
                <w:bCs/>
                <w:kern w:val="0"/>
                <w:sz w:val="28"/>
                <w:szCs w:val="28"/>
              </w:rPr>
              <w:t>主管</w:t>
            </w:r>
          </w:p>
          <w:p w:rsidR="00762441" w:rsidRPr="00BC0F80" w:rsidRDefault="00762441" w:rsidP="004837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0063F">
              <w:rPr>
                <w:rFonts w:ascii="Times New Roman" w:eastAsia="標楷體" w:hAnsi="標楷體" w:cs="Times New Roman"/>
                <w:b/>
                <w:bCs/>
                <w:kern w:val="0"/>
                <w:sz w:val="28"/>
                <w:szCs w:val="28"/>
              </w:rPr>
              <w:t>機關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762441" w:rsidRPr="00BC0F80" w:rsidRDefault="00762441" w:rsidP="004837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C0F80">
              <w:rPr>
                <w:rFonts w:ascii="Times New Roman" w:eastAsia="標楷體" w:hAnsi="標楷體" w:cs="Times New Roman"/>
                <w:b/>
                <w:bCs/>
                <w:kern w:val="0"/>
                <w:sz w:val="28"/>
                <w:szCs w:val="28"/>
              </w:rPr>
              <w:t>參獎機關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762441" w:rsidRPr="00BC0F80" w:rsidRDefault="00762441" w:rsidP="004837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BC0F80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>專案名稱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762441" w:rsidRPr="00BC0F80" w:rsidRDefault="00762441" w:rsidP="00EF4E7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BC0F80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>服務績效摘要</w:t>
            </w:r>
          </w:p>
        </w:tc>
      </w:tr>
      <w:tr w:rsidR="00762441" w:rsidRPr="00BC0F80" w:rsidTr="00183FC5">
        <w:trPr>
          <w:trHeight w:val="73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2441" w:rsidRPr="00BC0F80" w:rsidRDefault="00762441" w:rsidP="007624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BC0F8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441" w:rsidRPr="00BC0F80" w:rsidRDefault="00A72F46" w:rsidP="00F3272B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C0F80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財政部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441" w:rsidRPr="00BC0F80" w:rsidRDefault="00A72F46" w:rsidP="00483790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財政部</w:t>
            </w:r>
            <w:proofErr w:type="gramStart"/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北國稅局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2441" w:rsidRPr="00BC0F80" w:rsidRDefault="00A72F46" w:rsidP="003F5DF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境外電商報稅快</w:t>
            </w:r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</w:t>
            </w:r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通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81C" w:rsidRPr="007F6E1A" w:rsidRDefault="00D6281C" w:rsidP="00706FCC">
            <w:pPr>
              <w:pStyle w:val="a7"/>
              <w:widowControl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Chars="0" w:left="482" w:hanging="482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本專案</w:t>
            </w: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對境外電商銷售電子勞務予個人買受人課徵所得稅，</w:t>
            </w:r>
            <w:r w:rsidRPr="004A7B72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具創新性。</w:t>
            </w: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透過</w:t>
            </w:r>
            <w:r w:rsidRPr="004A7B72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檢討及</w:t>
            </w:r>
            <w:proofErr w:type="gramStart"/>
            <w:r w:rsidRPr="004A7B72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汰</w:t>
            </w:r>
            <w:proofErr w:type="gramEnd"/>
            <w:r w:rsidRPr="004A7B72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除不合時宜法規，建置境外</w:t>
            </w:r>
            <w:proofErr w:type="gramStart"/>
            <w:r w:rsidRPr="004A7B72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電商前瞻</w:t>
            </w:r>
            <w:proofErr w:type="gramEnd"/>
            <w:r w:rsidRPr="004A7B72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稅制，運用法規調適增修相關稅法及</w:t>
            </w:r>
            <w:proofErr w:type="gramStart"/>
            <w:r w:rsidRPr="004A7B72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稽</w:t>
            </w:r>
            <w:proofErr w:type="gramEnd"/>
            <w:r w:rsidRPr="004A7B72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徵規範，使境內與境外電商課稅方式衡平，維護租稅公平。</w:t>
            </w:r>
          </w:p>
          <w:p w:rsidR="00D6281C" w:rsidRDefault="00D6281C" w:rsidP="00706FCC">
            <w:pPr>
              <w:pStyle w:val="a7"/>
              <w:widowControl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Chars="0" w:left="482" w:hanging="482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4A7B72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專案</w:t>
            </w:r>
            <w:proofErr w:type="gramStart"/>
            <w:r w:rsidRPr="004A7B72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施行前近</w:t>
            </w:r>
            <w:proofErr w:type="gramEnd"/>
            <w:r w:rsidRPr="004A7B72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5 </w:t>
            </w:r>
            <w:r w:rsidRPr="004A7B72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年個人購買國外勞務繳納營業稅僅</w:t>
            </w:r>
            <w:r w:rsidRPr="004A7B72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14 </w:t>
            </w:r>
            <w:r w:rsidRPr="004A7B72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件，稅額約</w:t>
            </w:r>
            <w:r w:rsidRPr="004A7B72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6 </w:t>
            </w:r>
            <w:r w:rsidRPr="004A7B72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千元；施行後境外電商登記家數成長已超越日本、</w:t>
            </w:r>
            <w:proofErr w:type="gramStart"/>
            <w:r w:rsidRPr="004A7B72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挹</w:t>
            </w:r>
            <w:proofErr w:type="gramEnd"/>
            <w:r w:rsidRPr="004A7B72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注財政收入</w:t>
            </w:r>
            <w:r w:rsidRPr="004A7B72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54.58</w:t>
            </w:r>
            <w:r w:rsidRPr="004A7B72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億元，實質效益</w:t>
            </w: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顯著</w:t>
            </w:r>
            <w:r w:rsidRPr="004A7B72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。</w:t>
            </w:r>
          </w:p>
          <w:p w:rsidR="00762441" w:rsidRPr="00BC0F80" w:rsidRDefault="00D6281C" w:rsidP="00835916">
            <w:pPr>
              <w:pStyle w:val="a7"/>
              <w:widowControl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本專案需協調眾多</w:t>
            </w:r>
            <w:r w:rsidRPr="007F6E1A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跨機關</w:t>
            </w:r>
            <w:r w:rsidRPr="007F6E1A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(</w:t>
            </w:r>
            <w:r w:rsidRPr="007F6E1A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單位</w:t>
            </w:r>
            <w:r w:rsidRPr="007F6E1A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)</w:t>
            </w:r>
            <w:r w:rsidRPr="007F6E1A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，包括修法須與立法部門及利害關係人</w:t>
            </w:r>
            <w:r w:rsidRPr="007F6E1A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(</w:t>
            </w:r>
            <w:r w:rsidRPr="007F6E1A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如電商業者、會計師或律師、第三方支付業者等</w:t>
            </w:r>
            <w:r w:rsidRPr="007F6E1A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)</w:t>
            </w:r>
            <w:r w:rsidRPr="007F6E1A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溝通；跨境繳稅則須與金融機構及行政部門</w:t>
            </w:r>
            <w:r w:rsidRPr="007F6E1A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(</w:t>
            </w:r>
            <w:r w:rsidRPr="007F6E1A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如國庫署</w:t>
            </w:r>
            <w:r w:rsidRPr="007F6E1A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)</w:t>
            </w:r>
            <w:r w:rsidRPr="007F6E1A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合作；線上稅籍登記及申報作業系統規劃，須財政資訊中心與稅捐機關通力配合等，</w:t>
            </w:r>
            <w:proofErr w:type="gramStart"/>
            <w:r w:rsidRPr="007F6E1A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跨域整合</w:t>
            </w:r>
            <w:proofErr w:type="gramEnd"/>
            <w:r w:rsidRPr="007F6E1A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效益顯著。</w:t>
            </w:r>
          </w:p>
        </w:tc>
      </w:tr>
      <w:tr w:rsidR="00E10AF5" w:rsidRPr="005A0AC0" w:rsidTr="00183FC5">
        <w:trPr>
          <w:trHeight w:val="73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0AF5" w:rsidRPr="00BC0F80" w:rsidRDefault="00E10AF5" w:rsidP="00E10AF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BC0F8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AF5" w:rsidRPr="00BC0F80" w:rsidRDefault="00E10AF5" w:rsidP="00E10AF5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勞動</w:t>
            </w:r>
            <w:r w:rsidRPr="00BC0F80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AF5" w:rsidRPr="00BC0F80" w:rsidRDefault="00E10AF5" w:rsidP="00E10AF5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勞動部勞動力發展署跨國勞動力事務中心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AF5" w:rsidRPr="00BC0F80" w:rsidRDefault="00E10AF5" w:rsidP="00E10AF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聘僱外勞</w:t>
            </w:r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</w:t>
            </w:r>
            <w:proofErr w:type="gramStart"/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網搞定</w:t>
            </w:r>
            <w:proofErr w:type="gramEnd"/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好用</w:t>
            </w:r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! </w:t>
            </w:r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管用</w:t>
            </w:r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! </w:t>
            </w:r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大家用</w:t>
            </w:r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!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0AF5" w:rsidRPr="00C05537" w:rsidRDefault="00E10AF5" w:rsidP="00706FCC">
            <w:pPr>
              <w:pStyle w:val="a7"/>
              <w:widowControl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leftChars="0" w:left="398" w:hangingChars="142" w:hanging="398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0553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為提供雇主更便捷的申辦管道、</w:t>
            </w:r>
            <w:r w:rsidR="0083591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簡化</w:t>
            </w:r>
            <w:r w:rsidRPr="00C0553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應備文件及審查作業流程，修正雇主聘僱外國人管理辦法，鬆綁申辦方式及免付文件之要件，並於</w:t>
            </w:r>
            <w:r w:rsidRPr="00C0553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105</w:t>
            </w:r>
            <w:r w:rsidRPr="00C0553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年建置「外籍勞工申請案件</w:t>
            </w:r>
            <w:proofErr w:type="gramStart"/>
            <w:r w:rsidRPr="00C0553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網路線上申辦</w:t>
            </w:r>
            <w:proofErr w:type="gramEnd"/>
            <w:r w:rsidRPr="00C0553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系統」，透過一站式網站</w:t>
            </w:r>
            <w:proofErr w:type="gramStart"/>
            <w:r w:rsidRPr="00C0553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介接衛福部</w:t>
            </w:r>
            <w:proofErr w:type="gramEnd"/>
            <w:r w:rsidRPr="00C0553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、經濟部工業局、外交部、移民署等資料，</w:t>
            </w:r>
            <w:proofErr w:type="gramStart"/>
            <w:r w:rsidRPr="00C0553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提供線上送</w:t>
            </w:r>
            <w:proofErr w:type="gramEnd"/>
            <w:r w:rsidRPr="00C0553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件、繳費、通知及查詢等服務。</w:t>
            </w:r>
          </w:p>
          <w:p w:rsidR="00E10AF5" w:rsidRDefault="00E10AF5" w:rsidP="00706FCC">
            <w:pPr>
              <w:pStyle w:val="a7"/>
              <w:widowControl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leftChars="0" w:left="398" w:hangingChars="142" w:hanging="398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0553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本案涉及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72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個</w:t>
            </w:r>
            <w:r w:rsidRPr="00C0553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機關資料整合，且適用對象為目前開放的大部分外國勞動力製造業、營造業、海洋漁撈、家庭看護、家庭幫</w:t>
            </w:r>
            <w:proofErr w:type="gramStart"/>
            <w:r w:rsidRPr="00C0553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傭</w:t>
            </w:r>
            <w:proofErr w:type="gramEnd"/>
            <w:r w:rsidRPr="00C0553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、機構看護等類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（</w:t>
            </w:r>
            <w:r w:rsidRPr="00C0553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僅屠宰工未納入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）</w:t>
            </w:r>
            <w:r w:rsidRPr="00C0553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之仲介或雇主，專案的擴散效應較大。</w:t>
            </w:r>
          </w:p>
          <w:p w:rsidR="00E10AF5" w:rsidRPr="001913FD" w:rsidRDefault="00E10AF5" w:rsidP="00706FCC">
            <w:pPr>
              <w:pStyle w:val="a7"/>
              <w:widowControl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leftChars="0" w:left="398" w:hangingChars="142" w:hanging="398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本案</w:t>
            </w:r>
            <w:r w:rsidRPr="00C0553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自招募、</w:t>
            </w:r>
            <w:proofErr w:type="gramStart"/>
            <w:r w:rsidRPr="00C0553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引進到聘雇</w:t>
            </w:r>
            <w:proofErr w:type="gramEnd"/>
            <w:r w:rsidRPr="00C0553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之總時程僅</w:t>
            </w:r>
            <w:r w:rsidRPr="00C0553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15.6</w:t>
            </w:r>
            <w:r w:rsidRPr="00C0553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天，</w:t>
            </w:r>
            <w:proofErr w:type="gramStart"/>
            <w:r w:rsidRPr="00C0553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較紙本送</w:t>
            </w:r>
            <w:proofErr w:type="gramEnd"/>
            <w:r w:rsidRPr="00C0553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件減少</w:t>
            </w:r>
            <w:r w:rsidRPr="00C0553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12</w:t>
            </w:r>
            <w:r w:rsidRPr="00C0553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天。</w:t>
            </w:r>
            <w:r w:rsidRPr="00C0553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107</w:t>
            </w:r>
            <w:r w:rsidRPr="00C0553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年底，</w:t>
            </w:r>
            <w:proofErr w:type="gramStart"/>
            <w:r w:rsidRPr="00C0553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線上申辦</w:t>
            </w:r>
            <w:proofErr w:type="gramEnd"/>
            <w:r w:rsidRPr="00C0553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率大幅提高至</w:t>
            </w:r>
            <w:r w:rsidRPr="00C0553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93.1%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（</w:t>
            </w:r>
            <w:r w:rsidRPr="00C0553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105</w:t>
            </w:r>
            <w:r w:rsidRPr="00C0553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 w:rsidRPr="00C0553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7</w:t>
            </w:r>
            <w:r w:rsidRPr="00C0553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月為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lastRenderedPageBreak/>
              <w:t>53.3%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）。</w:t>
            </w:r>
          </w:p>
        </w:tc>
      </w:tr>
      <w:tr w:rsidR="00E10AF5" w:rsidRPr="00BC0F80" w:rsidTr="00183FC5">
        <w:trPr>
          <w:trHeight w:val="73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0AF5" w:rsidRPr="00BC0F80" w:rsidRDefault="00E10AF5" w:rsidP="00E10AF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BC0F8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lastRenderedPageBreak/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AF5" w:rsidRPr="00BC0F80" w:rsidRDefault="00E10AF5" w:rsidP="00E10AF5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行政院農業委員會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AF5" w:rsidRPr="00BC0F80" w:rsidRDefault="00E10AF5" w:rsidP="00E10AF5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行政院農業委員會水土保持局臺東分局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0AF5" w:rsidRPr="00BC0F80" w:rsidRDefault="00E10AF5" w:rsidP="00E10AF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以跨域合作</w:t>
            </w:r>
            <w:proofErr w:type="gramEnd"/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推廣台東紅</w:t>
            </w:r>
            <w:proofErr w:type="gramStart"/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藜創生</w:t>
            </w:r>
            <w:proofErr w:type="gramEnd"/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翻轉南</w:t>
            </w:r>
            <w:proofErr w:type="gramStart"/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迴</w:t>
            </w:r>
            <w:proofErr w:type="gramEnd"/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原鄉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0AF5" w:rsidRPr="00C51C91" w:rsidRDefault="00E10AF5" w:rsidP="00706FCC">
            <w:pPr>
              <w:pStyle w:val="a7"/>
              <w:widowControl/>
              <w:numPr>
                <w:ilvl w:val="0"/>
                <w:numId w:val="22"/>
              </w:numPr>
              <w:adjustRightInd w:val="0"/>
              <w:snapToGrid w:val="0"/>
              <w:spacing w:line="400" w:lineRule="exact"/>
              <w:ind w:leftChars="0" w:left="417" w:hangingChars="149" w:hanging="417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為根本改善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東南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迴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農村社區日漸凋敝的困境，</w:t>
            </w:r>
            <w:r w:rsidRPr="006D60F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結合原鄉在地特色農產物紅</w:t>
            </w:r>
            <w:proofErr w:type="gramStart"/>
            <w:r w:rsidRPr="006D60F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藜</w:t>
            </w:r>
            <w:proofErr w:type="gramEnd"/>
            <w:r w:rsidRPr="006D60F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，透過有紅</w:t>
            </w:r>
            <w:proofErr w:type="gramStart"/>
            <w:r w:rsidRPr="006D60F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藜</w:t>
            </w:r>
            <w:proofErr w:type="gramEnd"/>
            <w:r w:rsidRPr="006D60F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生產基礎的社區示範耕作，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累積種植知識技術，</w:t>
            </w:r>
            <w:r w:rsidRPr="006D60F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後續擴大種植面積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，</w:t>
            </w:r>
            <w:r w:rsidRPr="006D60F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投入工程建設改善生產環境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、設施設備及周邊景觀</w:t>
            </w:r>
            <w:r w:rsidRPr="006D60F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，並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打造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春賞紅藜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季的體驗遊程，</w:t>
            </w:r>
            <w:r w:rsidRPr="006D60F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建構完整上下游產業鏈，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落實紅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藜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產業農業六級化，符合</w:t>
            </w:r>
            <w:r w:rsidRPr="00932D42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行政院「地方創生國家戰略計畫」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之施政主軸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。</w:t>
            </w:r>
          </w:p>
          <w:p w:rsidR="00E10AF5" w:rsidRPr="00C51C91" w:rsidRDefault="00E10AF5" w:rsidP="007D75B2">
            <w:pPr>
              <w:pStyle w:val="a7"/>
              <w:widowControl/>
              <w:numPr>
                <w:ilvl w:val="0"/>
                <w:numId w:val="22"/>
              </w:numPr>
              <w:adjustRightInd w:val="0"/>
              <w:snapToGrid w:val="0"/>
              <w:spacing w:line="400" w:lineRule="exact"/>
              <w:ind w:leftChars="0" w:left="417" w:hangingChars="149" w:hanging="417"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C51C91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專案</w:t>
            </w:r>
            <w:r w:rsidRPr="00C51C91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目標聚焦明確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，串聯公私部門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資源跨域合作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，並善用新媒體科技行銷，</w:t>
            </w:r>
            <w:r w:rsidRPr="00C51C91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推動後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專案成效顯著</w:t>
            </w:r>
            <w:r w:rsidRPr="00C51C91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，紅</w:t>
            </w:r>
            <w:proofErr w:type="gramStart"/>
            <w:r w:rsidRPr="00C51C91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藜</w:t>
            </w:r>
            <w:proofErr w:type="gramEnd"/>
            <w:r w:rsidRPr="00C51C91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收購價格、產量及種植面積明顯成長，就整體產業而言，</w:t>
            </w:r>
            <w:r w:rsidRPr="00C51C91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3</w:t>
            </w:r>
            <w:r w:rsidRPr="00C51C91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年累計產業效益達</w:t>
            </w:r>
            <w:r w:rsidRPr="00C51C91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45.32</w:t>
            </w:r>
            <w:r w:rsidRPr="00C51C91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億元，且提升地方就業機會、農民收入及產業發展，生產效益高。</w:t>
            </w:r>
          </w:p>
        </w:tc>
      </w:tr>
      <w:tr w:rsidR="00CF5226" w:rsidRPr="00BC0F80" w:rsidTr="00183FC5">
        <w:trPr>
          <w:trHeight w:val="73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226" w:rsidRPr="00BC0F80" w:rsidRDefault="00CF5226" w:rsidP="00E10AF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BC0F8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5226" w:rsidRPr="00BC0F80" w:rsidRDefault="00CF5226" w:rsidP="00E10AF5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國軍退除役官兵輔導委員會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5226" w:rsidRPr="00BC0F80" w:rsidRDefault="00CF5226" w:rsidP="00183FC5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中榮民總醫院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5226" w:rsidRPr="00BC0F80" w:rsidRDefault="00CF5226" w:rsidP="00E10AF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分級來照顧．健康好安心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226" w:rsidRPr="00461DBF" w:rsidRDefault="00CF5226" w:rsidP="00706FCC">
            <w:pPr>
              <w:pStyle w:val="a7"/>
              <w:widowControl/>
              <w:numPr>
                <w:ilvl w:val="0"/>
                <w:numId w:val="23"/>
              </w:numPr>
              <w:adjustRightInd w:val="0"/>
              <w:snapToGrid w:val="0"/>
              <w:spacing w:line="400" w:lineRule="exact"/>
              <w:ind w:leftChars="0" w:left="397" w:hanging="397"/>
              <w:jc w:val="both"/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9653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本案透過強化醫院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及診所間間資訊系統建置，包括</w:t>
            </w:r>
            <w:r w:rsidRPr="0019653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與</w:t>
            </w:r>
            <w:proofErr w:type="gramStart"/>
            <w:r w:rsidRPr="0019653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19653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中醫院、基層醫療診所形成策略聯盟、建置雙向轉診整合資訊平台、轉</w:t>
            </w:r>
            <w:proofErr w:type="gramStart"/>
            <w:r w:rsidRPr="0019653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診轉檢</w:t>
            </w:r>
            <w:proofErr w:type="gramEnd"/>
            <w:r w:rsidRPr="0019653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資訊系統</w:t>
            </w:r>
            <w:r w:rsidRPr="0019653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APP</w:t>
            </w:r>
            <w:r w:rsidRPr="0019653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、癌症</w:t>
            </w:r>
            <w:r w:rsidRPr="0019653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/</w:t>
            </w:r>
            <w:r w:rsidRPr="0019653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疾病</w:t>
            </w:r>
            <w:r w:rsidRPr="0019653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APP</w:t>
            </w:r>
            <w:r w:rsidRPr="0019653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等，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有效解決</w:t>
            </w:r>
            <w:r w:rsidRPr="0019653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轉診執行率低、醫療資訊無法雙向互通等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問題。</w:t>
            </w:r>
          </w:p>
          <w:p w:rsidR="00CF5226" w:rsidRDefault="00CF5226" w:rsidP="00CF5226">
            <w:pPr>
              <w:pStyle w:val="a7"/>
              <w:widowControl/>
              <w:numPr>
                <w:ilvl w:val="0"/>
                <w:numId w:val="23"/>
              </w:numPr>
              <w:adjustRightInd w:val="0"/>
              <w:snapToGrid w:val="0"/>
              <w:spacing w:line="400" w:lineRule="exact"/>
              <w:ind w:leftChars="0" w:left="397" w:hanging="397"/>
              <w:jc w:val="both"/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本案資訊系統規劃完善，</w:t>
            </w:r>
            <w:r w:rsidRPr="00B8700B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提供病人</w:t>
            </w:r>
            <w:r w:rsidRPr="00B8700B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APP</w:t>
            </w:r>
            <w:r w:rsidRPr="00B8700B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查詢檢驗報告，診所醫師持續追蹤病人就醫狀況，減少病人需自行列印病歷轉診之不便。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另辦理</w:t>
            </w:r>
            <w:r w:rsidRPr="00B8700B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創新癌症個案管理方式，開發口腔癌病人</w:t>
            </w:r>
            <w:r w:rsidRPr="00B8700B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APP</w:t>
            </w:r>
            <w:r w:rsidRPr="00B8700B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，由病人返家後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回饋</w:t>
            </w:r>
            <w:r w:rsidRPr="00B8700B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自主健康管理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結果予</w:t>
            </w:r>
            <w:proofErr w:type="gramStart"/>
            <w:r w:rsidRPr="00B8700B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個管師</w:t>
            </w:r>
            <w:proofErr w:type="gramEnd"/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，互動式之</w:t>
            </w:r>
            <w:proofErr w:type="gramStart"/>
            <w:r w:rsidRPr="00B8700B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個</w:t>
            </w:r>
            <w:proofErr w:type="gramEnd"/>
            <w:r w:rsidRPr="00B8700B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管模式具獨特性。</w:t>
            </w:r>
          </w:p>
          <w:p w:rsidR="00CF5226" w:rsidRPr="00CF5226" w:rsidRDefault="00CF5226" w:rsidP="00CF5226">
            <w:pPr>
              <w:pStyle w:val="a7"/>
              <w:widowControl/>
              <w:numPr>
                <w:ilvl w:val="0"/>
                <w:numId w:val="23"/>
              </w:numPr>
              <w:adjustRightInd w:val="0"/>
              <w:snapToGrid w:val="0"/>
              <w:spacing w:line="400" w:lineRule="exact"/>
              <w:ind w:leftChars="0" w:left="397" w:hanging="397"/>
              <w:jc w:val="both"/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F5226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本專案有效促進落實分級醫療，該院初級</w:t>
            </w:r>
            <w:proofErr w:type="gramStart"/>
            <w:r w:rsidRPr="00CF5226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照護占率</w:t>
            </w:r>
            <w:proofErr w:type="gramEnd"/>
            <w:r w:rsidRPr="00CF5226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由</w:t>
            </w:r>
            <w:r w:rsidRPr="00CF5226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2014</w:t>
            </w:r>
            <w:r w:rsidRPr="00CF5226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 w:rsidRPr="00CF5226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10.38%</w:t>
            </w:r>
            <w:r w:rsidRPr="00CF5226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減少至</w:t>
            </w:r>
            <w:r w:rsidRPr="00CF5226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2017</w:t>
            </w:r>
            <w:r w:rsidRPr="00CF5226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 w:rsidRPr="00CF5226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2.8%</w:t>
            </w:r>
            <w:r w:rsidRPr="00CF5226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、在宅醫療個案再住院率下降</w:t>
            </w:r>
            <w:r w:rsidRPr="00CF5226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100%</w:t>
            </w:r>
            <w:r w:rsidRPr="00CF5226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及門診數下降</w:t>
            </w:r>
            <w:r w:rsidRPr="00CF5226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70%</w:t>
            </w:r>
            <w:r w:rsidRPr="00CF5226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等。</w:t>
            </w:r>
          </w:p>
        </w:tc>
      </w:tr>
      <w:tr w:rsidR="00CF5226" w:rsidRPr="00BC0F80" w:rsidTr="00183FC5">
        <w:trPr>
          <w:trHeight w:val="73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226" w:rsidRPr="00BC0F80" w:rsidRDefault="00CF5226" w:rsidP="00E10AF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BC0F8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5226" w:rsidRPr="00BC0F80" w:rsidRDefault="00CF5226" w:rsidP="00E10AF5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C0F80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新北市政府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5226" w:rsidRPr="00BC0F80" w:rsidRDefault="00CF5226" w:rsidP="00E10AF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新北市政府衛生局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5226" w:rsidRPr="00BC0F80" w:rsidRDefault="00CF5226" w:rsidP="00E10AF5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新北動健康</w:t>
            </w:r>
            <w:proofErr w:type="gramEnd"/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打擊衰弱</w:t>
            </w:r>
            <w:proofErr w:type="gramStart"/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逆轉肌齡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226" w:rsidRDefault="00CF5226" w:rsidP="00E10AF5">
            <w:pPr>
              <w:pStyle w:val="a7"/>
              <w:widowControl/>
              <w:numPr>
                <w:ilvl w:val="0"/>
                <w:numId w:val="13"/>
              </w:numPr>
              <w:adjustRightInd w:val="0"/>
              <w:snapToGrid w:val="0"/>
              <w:spacing w:line="400" w:lineRule="exact"/>
              <w:ind w:leftChars="0" w:left="398" w:hanging="398"/>
              <w:jc w:val="both"/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7164D0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本案係為預防</w:t>
            </w:r>
            <w:proofErr w:type="gramStart"/>
            <w:r w:rsidRPr="007164D0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高齡者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失能</w:t>
            </w:r>
            <w:proofErr w:type="gramEnd"/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，</w:t>
            </w:r>
            <w:r w:rsidRPr="007164D0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提高新北市規律運動人口比例，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策略明確，並與國際組織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EIM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lastRenderedPageBreak/>
              <w:t>簽署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MOU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，共同培育種子教師及人員，落實以運動為處方的長者照護概念。</w:t>
            </w:r>
          </w:p>
          <w:p w:rsidR="00CF5226" w:rsidRDefault="00CF5226" w:rsidP="00E10AF5">
            <w:pPr>
              <w:pStyle w:val="a7"/>
              <w:widowControl/>
              <w:numPr>
                <w:ilvl w:val="0"/>
                <w:numId w:val="13"/>
              </w:numPr>
              <w:adjustRightInd w:val="0"/>
              <w:snapToGrid w:val="0"/>
              <w:spacing w:line="400" w:lineRule="exact"/>
              <w:ind w:leftChars="0" w:left="398" w:hanging="398"/>
              <w:jc w:val="both"/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7164D0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本專案率全國之先投入衰弱防治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，於</w:t>
            </w:r>
            <w:r w:rsidRPr="007164D0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105</w:t>
            </w:r>
            <w:r w:rsidRPr="007164D0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年起長者健檢納入衰弱評估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，</w:t>
            </w:r>
            <w:r w:rsidRPr="007164D0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導入國際組織</w:t>
            </w:r>
            <w:r w:rsidRPr="007164D0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EIM</w:t>
            </w:r>
            <w:r w:rsidRPr="007164D0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由醫師開立長者運動處方、針對檢查異常者提供</w:t>
            </w:r>
            <w:r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小時</w:t>
            </w:r>
            <w:r w:rsidRPr="007164D0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肌力強化運動課程、開發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與產業界合作之</w:t>
            </w:r>
            <w:r w:rsidRPr="007164D0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動健康</w:t>
            </w:r>
            <w:r w:rsidRPr="007164D0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APP</w:t>
            </w:r>
            <w:r w:rsidRPr="007164D0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、各場域運動宣導等。</w:t>
            </w:r>
          </w:p>
          <w:p w:rsidR="00CF5226" w:rsidRPr="007164D0" w:rsidRDefault="00CF5226" w:rsidP="00706FCC">
            <w:pPr>
              <w:pStyle w:val="a7"/>
              <w:widowControl/>
              <w:numPr>
                <w:ilvl w:val="0"/>
                <w:numId w:val="23"/>
              </w:numPr>
              <w:adjustRightInd w:val="0"/>
              <w:snapToGrid w:val="0"/>
              <w:spacing w:line="400" w:lineRule="exact"/>
              <w:ind w:leftChars="0" w:left="397" w:hanging="397"/>
              <w:jc w:val="both"/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本專案</w:t>
            </w:r>
            <w:r w:rsidRPr="007164D0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成功提高該市規律運動人口比率由</w:t>
            </w:r>
            <w:r w:rsidRPr="007164D0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105</w:t>
            </w:r>
            <w:r w:rsidRPr="007164D0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 w:rsidRPr="007164D0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30.6%</w:t>
            </w:r>
            <w:r w:rsidRPr="007164D0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至</w:t>
            </w:r>
            <w:r w:rsidRPr="007164D0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106</w:t>
            </w:r>
            <w:r w:rsidRPr="007164D0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 w:rsidRPr="007164D0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35%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105-</w:t>
            </w:r>
            <w:r w:rsidRPr="007164D0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107</w:t>
            </w:r>
            <w:r w:rsidRPr="007164D0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年協助</w:t>
            </w:r>
            <w:r w:rsidRPr="007164D0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64.4%</w:t>
            </w:r>
            <w:r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-90.4%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之</w:t>
            </w:r>
            <w:r w:rsidRPr="007164D0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衰弱個案改善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至衰弱前期或回復正常</w:t>
            </w:r>
            <w:r w:rsidRPr="007164D0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CF5226" w:rsidRPr="00BC0F80" w:rsidTr="00183FC5">
        <w:trPr>
          <w:trHeight w:val="73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226" w:rsidRPr="00BC0F80" w:rsidRDefault="00CF5226" w:rsidP="00E10AF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BC0F8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lastRenderedPageBreak/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5226" w:rsidRPr="00BC0F80" w:rsidRDefault="00CF5226" w:rsidP="00E10AF5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C0F80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新北市政府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5226" w:rsidRPr="00BC0F80" w:rsidRDefault="00CF5226" w:rsidP="00E10AF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新北市政府社會局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5226" w:rsidRPr="00BC0F80" w:rsidRDefault="00CF5226" w:rsidP="00E10AF5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輔具超音速計畫</w:t>
            </w:r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公私協力產官民三贏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226" w:rsidRDefault="00CF5226" w:rsidP="00706FCC">
            <w:pPr>
              <w:pStyle w:val="a7"/>
              <w:widowControl/>
              <w:numPr>
                <w:ilvl w:val="0"/>
                <w:numId w:val="5"/>
              </w:numPr>
              <w:adjustRightInd w:val="0"/>
              <w:snapToGrid w:val="0"/>
              <w:spacing w:line="400" w:lineRule="exact"/>
              <w:ind w:leftChars="0" w:left="398" w:hangingChars="142" w:hanging="398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為解決</w:t>
            </w:r>
            <w:r w:rsidRPr="00E9527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原有長照</w:t>
            </w:r>
            <w:r w:rsidRPr="00E9527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2.0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輔具服務評估、核定及購</w:t>
            </w:r>
            <w:r w:rsidRPr="00E9527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買天數長，且補助申請流程繁瑣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之問題</w:t>
            </w:r>
            <w:r w:rsidRPr="00E9527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透過</w:t>
            </w:r>
            <w:r w:rsidRPr="00E9527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縮短核定流程、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結合業界與</w:t>
            </w:r>
            <w:proofErr w:type="gramStart"/>
            <w:r w:rsidRPr="00E9527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特約輔</w:t>
            </w:r>
            <w:proofErr w:type="gramEnd"/>
            <w:r w:rsidRPr="00E9527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具廠商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合作</w:t>
            </w:r>
            <w:r w:rsidRPr="00E9527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訂定</w:t>
            </w:r>
            <w:r w:rsidRPr="00E9527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二手輔具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分級媒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合機制</w:t>
            </w:r>
            <w:r w:rsidRPr="00E9527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等措施，協助需求民眾更快速、便捷取得輔具。</w:t>
            </w:r>
          </w:p>
          <w:p w:rsidR="00CF5226" w:rsidRDefault="00CF5226" w:rsidP="00CF5226">
            <w:pPr>
              <w:pStyle w:val="a7"/>
              <w:widowControl/>
              <w:numPr>
                <w:ilvl w:val="0"/>
                <w:numId w:val="5"/>
              </w:numPr>
              <w:adjustRightInd w:val="0"/>
              <w:snapToGrid w:val="0"/>
              <w:spacing w:line="400" w:lineRule="exact"/>
              <w:ind w:leftChars="0" w:left="398" w:hangingChars="142" w:hanging="398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9527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輔具評估至核定流程改由輔具中心單一窗口，</w:t>
            </w:r>
            <w:proofErr w:type="gramStart"/>
            <w:r w:rsidRPr="00E9527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最短可一天</w:t>
            </w:r>
            <w:proofErr w:type="gramEnd"/>
            <w:r w:rsidRPr="00E9527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完成，有效縮短民眾取得輔具的時間，另</w:t>
            </w:r>
            <w:r w:rsidRPr="00E9527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107</w:t>
            </w:r>
            <w:r w:rsidRPr="00E9527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年增加由特約廠商請款之方式，民眾購買</w:t>
            </w:r>
            <w:proofErr w:type="gramStart"/>
            <w:r w:rsidRPr="00E9527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輔具僅需</w:t>
            </w:r>
            <w:proofErr w:type="gramEnd"/>
            <w:r w:rsidRPr="00E9527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支付差額，降低民眾需先行墊款之負擔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，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且毋需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自行申請補助，有效簡政便民</w:t>
            </w:r>
            <w:r w:rsidRPr="00E9527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CF5226" w:rsidRPr="00CF5226" w:rsidRDefault="00CF5226" w:rsidP="00CF5226">
            <w:pPr>
              <w:pStyle w:val="a7"/>
              <w:widowControl/>
              <w:numPr>
                <w:ilvl w:val="0"/>
                <w:numId w:val="5"/>
              </w:numPr>
              <w:adjustRightInd w:val="0"/>
              <w:snapToGrid w:val="0"/>
              <w:spacing w:line="400" w:lineRule="exact"/>
              <w:ind w:leftChars="0" w:left="398" w:hangingChars="142" w:hanging="398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F522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提高民眾服務使用意願，輔具補助核定量增加</w:t>
            </w:r>
            <w:r w:rsidRPr="00CF522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CF522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倍，出院</w:t>
            </w:r>
            <w:proofErr w:type="gramStart"/>
            <w:r w:rsidRPr="00CF522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等後輔具</w:t>
            </w:r>
            <w:proofErr w:type="gramEnd"/>
            <w:r w:rsidRPr="00CF522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補助天數由</w:t>
            </w:r>
            <w:r w:rsidRPr="00CF522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27</w:t>
            </w:r>
            <w:r w:rsidRPr="00CF522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天降為</w:t>
            </w:r>
            <w:r w:rsidRPr="00CF522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Pr="00CF522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天，績效顯著。</w:t>
            </w:r>
          </w:p>
        </w:tc>
      </w:tr>
      <w:tr w:rsidR="00CF5226" w:rsidRPr="00BC0F80" w:rsidTr="00183FC5">
        <w:trPr>
          <w:trHeight w:val="73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226" w:rsidRPr="00BC0F80" w:rsidRDefault="00CF5226" w:rsidP="00E10AF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BC0F8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5226" w:rsidRPr="00BC0F80" w:rsidRDefault="00CF5226" w:rsidP="00E10AF5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BC0F80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中</w:t>
            </w:r>
            <w:r w:rsidRPr="00BC0F80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市政府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5226" w:rsidRPr="00AC56C5" w:rsidRDefault="00CF5226" w:rsidP="00E10AF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中市政府消防局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5226" w:rsidRPr="00BC0F80" w:rsidRDefault="00CF5226" w:rsidP="00E10AF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科技整合</w:t>
            </w:r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ICT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提升山難救援效能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226" w:rsidRDefault="00CF5226" w:rsidP="00706FCC">
            <w:pPr>
              <w:pStyle w:val="a7"/>
              <w:widowControl/>
              <w:numPr>
                <w:ilvl w:val="0"/>
                <w:numId w:val="14"/>
              </w:numPr>
              <w:adjustRightInd w:val="0"/>
              <w:snapToGrid w:val="0"/>
              <w:spacing w:line="400" w:lineRule="exact"/>
              <w:ind w:leftChars="0" w:left="357" w:hanging="357"/>
              <w:jc w:val="both"/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3C3257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3C3257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中市政府消防局依</w:t>
            </w:r>
            <w:r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統計發現，台中</w:t>
            </w:r>
            <w:proofErr w:type="gramStart"/>
            <w:r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發生山域意外</w:t>
            </w:r>
            <w:proofErr w:type="gramEnd"/>
            <w:r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事故及</w:t>
            </w:r>
            <w:proofErr w:type="gramStart"/>
            <w:r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被救者人數</w:t>
            </w:r>
            <w:proofErr w:type="gramEnd"/>
            <w:r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常居全國之最</w:t>
            </w:r>
            <w:r w:rsidRPr="003C3257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，如何</w:t>
            </w:r>
            <w:proofErr w:type="gramStart"/>
            <w:r w:rsidRPr="003C3257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降低山域意外</w:t>
            </w:r>
            <w:proofErr w:type="gramEnd"/>
            <w:r w:rsidRPr="003C3257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發生的可能性，提高搜救的成功率，為本專案之目的。</w:t>
            </w:r>
          </w:p>
          <w:p w:rsidR="00CF5226" w:rsidRPr="00CF5226" w:rsidRDefault="00CF5226" w:rsidP="00CF5226">
            <w:pPr>
              <w:pStyle w:val="a7"/>
              <w:widowControl/>
              <w:numPr>
                <w:ilvl w:val="0"/>
                <w:numId w:val="14"/>
              </w:numPr>
              <w:adjustRightInd w:val="0"/>
              <w:snapToGrid w:val="0"/>
              <w:spacing w:line="400" w:lineRule="exact"/>
              <w:ind w:leftChars="0" w:left="357" w:hanging="357"/>
              <w:jc w:val="both"/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本案透過</w:t>
            </w: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「民眾面向」、「政府面向」、「受地理科技限制面向」三類，</w:t>
            </w:r>
            <w:r w:rsidRPr="00EB7175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提出對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應</w:t>
            </w:r>
            <w:r w:rsidRPr="00EB7175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的解決方法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，如：</w:t>
            </w:r>
            <w:r w:rsidRPr="00EB7175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強化登山者對於自身安全的重視</w:t>
            </w: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、藉助使用</w:t>
            </w:r>
            <w:r w:rsidRPr="00351E04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科技輔助裝備（</w:t>
            </w:r>
            <w:r w:rsidRPr="00351E04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GPS</w:t>
            </w:r>
            <w:r w:rsidRPr="00351E04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定位、指南針、</w:t>
            </w:r>
            <w:r w:rsidRPr="00351E04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lastRenderedPageBreak/>
              <w:t>無線電</w:t>
            </w:r>
            <w:r w:rsidRPr="00351E04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…</w:t>
            </w:r>
            <w:r w:rsidRPr="00351E04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）</w:t>
            </w:r>
            <w:r w:rsidRPr="00351E04">
              <w:rPr>
                <w:rFonts w:ascii="新細明體" w:eastAsia="新細明體" w:hAnsi="新細明體" w:cs="Times New Roman" w:hint="eastAsia"/>
                <w:bCs/>
                <w:color w:val="000000"/>
                <w:kern w:val="0"/>
                <w:sz w:val="28"/>
                <w:szCs w:val="28"/>
              </w:rPr>
              <w:t>、</w:t>
            </w:r>
            <w:r w:rsidRPr="00351E04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成立登山活動專家諮詢委會、制訂「登山活動管理自治條例」，建立複式通報機制（減少通報他機關時間</w:t>
            </w:r>
            <w:r w:rsidRPr="00351E04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15</w:t>
            </w:r>
            <w:r w:rsidRPr="00351E04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分鐘），改善</w:t>
            </w:r>
            <w:proofErr w:type="gramStart"/>
            <w:r w:rsidRPr="00351E04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山域資</w:t>
            </w:r>
            <w:proofErr w:type="gramEnd"/>
            <w:r w:rsidRPr="00351E04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通訊不佳情形（無線電建置），並透過空拍、</w:t>
            </w:r>
            <w:proofErr w:type="gramStart"/>
            <w:r w:rsidRPr="00351E04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山域搜救</w:t>
            </w:r>
            <w:proofErr w:type="gramEnd"/>
            <w:r w:rsidRPr="00351E04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犬等輔助搜救</w:t>
            </w:r>
            <w:r w:rsidRPr="00351E04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。</w:t>
            </w:r>
          </w:p>
          <w:p w:rsidR="00CF5226" w:rsidRPr="00CF5226" w:rsidRDefault="00CF5226" w:rsidP="00CF5226">
            <w:pPr>
              <w:pStyle w:val="a7"/>
              <w:widowControl/>
              <w:numPr>
                <w:ilvl w:val="0"/>
                <w:numId w:val="14"/>
              </w:numPr>
              <w:adjustRightInd w:val="0"/>
              <w:snapToGrid w:val="0"/>
              <w:spacing w:line="400" w:lineRule="exact"/>
              <w:ind w:leftChars="0" w:left="357" w:hanging="357"/>
              <w:jc w:val="both"/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F5226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搜救時間由</w:t>
            </w:r>
            <w:r w:rsidRPr="00CF5226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105</w:t>
            </w:r>
            <w:r w:rsidRPr="00CF5226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年的</w:t>
            </w:r>
            <w:r w:rsidRPr="00CF5226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1</w:t>
            </w:r>
            <w:r w:rsidRPr="00CF5226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天</w:t>
            </w:r>
            <w:r w:rsidRPr="00CF5226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17</w:t>
            </w:r>
            <w:r w:rsidRPr="00CF5226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小時</w:t>
            </w:r>
            <w:r w:rsidRPr="00CF5226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27</w:t>
            </w:r>
            <w:r w:rsidRPr="00CF5226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分鐘降至</w:t>
            </w:r>
            <w:r w:rsidRPr="00CF5226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107</w:t>
            </w:r>
            <w:r w:rsidRPr="00CF5226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年</w:t>
            </w:r>
            <w:r w:rsidRPr="00CF5226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19</w:t>
            </w:r>
            <w:r w:rsidRPr="00CF5226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小時</w:t>
            </w:r>
            <w:r w:rsidRPr="00CF5226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21</w:t>
            </w:r>
            <w:r w:rsidRPr="00CF5226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分鐘。</w:t>
            </w:r>
          </w:p>
        </w:tc>
      </w:tr>
      <w:tr w:rsidR="00CF5226" w:rsidRPr="00BC0F80" w:rsidTr="00183FC5">
        <w:trPr>
          <w:trHeight w:val="73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226" w:rsidRPr="00BC0F80" w:rsidRDefault="00CF5226" w:rsidP="00E10AF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BC0F8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lastRenderedPageBreak/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5226" w:rsidRPr="00BC0F80" w:rsidRDefault="00CF5226" w:rsidP="00E10AF5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BC0F80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BC0F80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南市政府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5226" w:rsidRPr="00BC0F80" w:rsidRDefault="00CF5226" w:rsidP="00E10AF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南市政府觀光旅遊局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5226" w:rsidRPr="00BC0F80" w:rsidRDefault="00CF5226" w:rsidP="00E10AF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臺灣第一溫泉在你家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proofErr w:type="gramStart"/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南溫泉產業創新價值提升計畫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226" w:rsidRDefault="00CF5226" w:rsidP="00706FCC">
            <w:pPr>
              <w:pStyle w:val="a7"/>
              <w:widowControl/>
              <w:numPr>
                <w:ilvl w:val="0"/>
                <w:numId w:val="15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DF04FA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早期全</w:t>
            </w:r>
            <w:proofErr w:type="gramStart"/>
            <w:r w:rsidRPr="00DF04FA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DF04FA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多數溫泉區因政府未積極管理，衍生溫泉資源濫用、泉源獨</w:t>
            </w:r>
            <w:proofErr w:type="gramStart"/>
            <w:r w:rsidRPr="00DF04FA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佔</w:t>
            </w:r>
            <w:proofErr w:type="gramEnd"/>
            <w:r w:rsidRPr="00DF04FA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、後進業者需向先進業者購買泉水等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情形。</w:t>
            </w:r>
          </w:p>
          <w:p w:rsidR="00CF5226" w:rsidRPr="00DF04FA" w:rsidRDefault="00CF5226" w:rsidP="00706FCC">
            <w:pPr>
              <w:pStyle w:val="a7"/>
              <w:widowControl/>
              <w:numPr>
                <w:ilvl w:val="0"/>
                <w:numId w:val="15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南市政府將溫泉水源收歸公部門統一管理行銷，</w:t>
            </w:r>
            <w:r w:rsidRPr="00DF04FA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成立</w:t>
            </w:r>
            <w:proofErr w:type="gramStart"/>
            <w:r w:rsidRPr="00DF04FA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DF04FA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南市溫泉取供事業，進行法規調適及流程簡化，業者只需與觀光局簽約即可合法取得溫泉水源與溫泉標章，確實達到簡便利民。</w:t>
            </w:r>
          </w:p>
          <w:p w:rsidR="00CF5226" w:rsidRPr="001913FD" w:rsidRDefault="00CF5226" w:rsidP="00E10AF5">
            <w:pPr>
              <w:pStyle w:val="a7"/>
              <w:widowControl/>
              <w:numPr>
                <w:ilvl w:val="0"/>
                <w:numId w:val="13"/>
              </w:numPr>
              <w:adjustRightInd w:val="0"/>
              <w:snapToGrid w:val="0"/>
              <w:spacing w:line="400" w:lineRule="exact"/>
              <w:ind w:leftChars="0" w:left="462" w:hangingChars="165" w:hanging="462"/>
              <w:jc w:val="both"/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全市</w:t>
            </w:r>
            <w:r w:rsidRPr="00DF04FA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4</w:t>
            </w:r>
            <w:r w:rsidRPr="00DF04FA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家溫泉業者均取得溫泉標章，占全</w:t>
            </w:r>
            <w:proofErr w:type="gramStart"/>
            <w:r w:rsidRPr="00DF04FA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DF04FA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總</w:t>
            </w:r>
            <w:proofErr w:type="gramStart"/>
            <w:r w:rsidRPr="00DF04FA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標章數</w:t>
            </w:r>
            <w:proofErr w:type="gramEnd"/>
            <w:r w:rsidRPr="00DF04FA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1/4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，</w:t>
            </w:r>
            <w:r w:rsidRPr="00DF04FA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2018</w:t>
            </w:r>
            <w:r w:rsidRPr="00DF04FA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年獲得交通部觀光局「台灣</w:t>
            </w:r>
            <w:r w:rsidRPr="00DF04FA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10</w:t>
            </w:r>
            <w:r w:rsidRPr="00DF04FA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大好湯」冠軍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；此外透過溫泉供給及品牌授權平台，媒合輔導業者開發溫泉相關產品上市，並帶動前端專利研發製造，</w:t>
            </w:r>
            <w:proofErr w:type="gramStart"/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後端營銷</w:t>
            </w:r>
            <w:proofErr w:type="gramEnd"/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通路產業鏈整體發展。</w:t>
            </w:r>
          </w:p>
        </w:tc>
      </w:tr>
      <w:tr w:rsidR="00CF5226" w:rsidRPr="00BC0F80" w:rsidTr="00183FC5">
        <w:trPr>
          <w:trHeight w:val="73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226" w:rsidRPr="00BC0F80" w:rsidRDefault="00CF5226" w:rsidP="00E10AF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BC0F8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5226" w:rsidRPr="00BC0F80" w:rsidRDefault="00CF5226" w:rsidP="00E10AF5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C0F80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高雄市政府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5226" w:rsidRPr="00BC0F80" w:rsidRDefault="00CF5226" w:rsidP="00E10AF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高雄市政府地政局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5226" w:rsidRPr="00BC0F80" w:rsidRDefault="00CF5226" w:rsidP="00E10AF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BEST</w:t>
            </w:r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價給你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掌握數據、價值永續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226" w:rsidRPr="0041500B" w:rsidRDefault="00CF5226" w:rsidP="00706FCC">
            <w:pPr>
              <w:pStyle w:val="a7"/>
              <w:widowControl/>
              <w:numPr>
                <w:ilvl w:val="0"/>
                <w:numId w:val="21"/>
              </w:numPr>
              <w:adjustRightInd w:val="0"/>
              <w:snapToGrid w:val="0"/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本專案係</w:t>
            </w:r>
            <w:r w:rsidRPr="000C78C2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為解決房市資訊不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夠</w:t>
            </w:r>
            <w:r w:rsidRPr="000C78C2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完整、即時性不足，以及</w:t>
            </w:r>
            <w:r w:rsidRPr="000C78C2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105</w:t>
            </w:r>
            <w:r w:rsidRPr="000C78C2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年公告地價大漲造成民眾誤解政府與民爭利等問題，期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透過</w:t>
            </w:r>
            <w:r w:rsidRPr="000C78C2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專案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使</w:t>
            </w:r>
            <w:r w:rsidRPr="000C78C2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資訊更公開透明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並</w:t>
            </w:r>
            <w:r w:rsidRPr="000C78C2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增進土地賦稅公平。</w:t>
            </w:r>
          </w:p>
          <w:p w:rsidR="00CF5226" w:rsidRDefault="00CF5226" w:rsidP="00CF5226">
            <w:pPr>
              <w:pStyle w:val="a7"/>
              <w:widowControl/>
              <w:numPr>
                <w:ilvl w:val="0"/>
                <w:numId w:val="21"/>
              </w:numPr>
              <w:adjustRightInd w:val="0"/>
              <w:snapToGrid w:val="0"/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建置</w:t>
            </w:r>
            <w:r w:rsidRPr="0041500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「智慧市政儀表版」、「高雄實價網」及「高雄地</w:t>
            </w:r>
            <w:proofErr w:type="gramStart"/>
            <w:r w:rsidRPr="0041500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籍圖資服務</w:t>
            </w:r>
            <w:proofErr w:type="gramEnd"/>
            <w:r w:rsidRPr="0041500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網」，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具</w:t>
            </w:r>
            <w:r w:rsidRPr="0041500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直覺性操作，易理解的網路介面，方便民眾掌握房價資訊。內部檢討作業流程、跨機關整合相關處室資料或資源鏈結</w:t>
            </w:r>
            <w:proofErr w:type="gramStart"/>
            <w:r w:rsidRPr="0041500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進行圖資整合</w:t>
            </w:r>
            <w:proofErr w:type="gramEnd"/>
            <w:r w:rsidRPr="0041500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以節省重複建置系統成本，加強各應用系統功能以便各項業務執行，引進外部資源，經由產、官協作導入業界自動化學習</w:t>
            </w:r>
            <w:r w:rsidRPr="0041500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AI </w:t>
            </w:r>
            <w:r w:rsidRPr="0041500B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技術，以提升實價登錄檢核揭露作業效率。</w:t>
            </w:r>
          </w:p>
          <w:p w:rsidR="00CF5226" w:rsidRPr="00CF5226" w:rsidRDefault="00CF5226" w:rsidP="00CF5226">
            <w:pPr>
              <w:pStyle w:val="a7"/>
              <w:widowControl/>
              <w:numPr>
                <w:ilvl w:val="0"/>
                <w:numId w:val="21"/>
              </w:numPr>
              <w:adjustRightInd w:val="0"/>
              <w:snapToGrid w:val="0"/>
              <w:spacing w:line="400" w:lineRule="exact"/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CF522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lastRenderedPageBreak/>
              <w:t>反饋地價稅率制訂機制，有效縮短公告地價及實際地價的差距，促使徵收價購合理，提升協議價購達成率，經統計</w:t>
            </w:r>
            <w:r w:rsidRPr="00CF522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105</w:t>
            </w:r>
            <w:r w:rsidRPr="00CF522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至</w:t>
            </w:r>
            <w:r w:rsidRPr="00CF522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107</w:t>
            </w:r>
            <w:r w:rsidRPr="00CF522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年達成協議價購面積</w:t>
            </w:r>
            <w:r w:rsidRPr="00CF522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14.8 </w:t>
            </w:r>
            <w:r w:rsidRPr="00CF522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公頃，較</w:t>
            </w:r>
            <w:r w:rsidRPr="00CF522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105 </w:t>
            </w:r>
            <w:r w:rsidRPr="00CF522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年以前</w:t>
            </w:r>
            <w:r w:rsidRPr="00CF522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7.69 </w:t>
            </w:r>
            <w:r w:rsidRPr="00CF522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公頃增加</w:t>
            </w:r>
            <w:r w:rsidRPr="00CF522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92.46%</w:t>
            </w:r>
            <w:r w:rsidRPr="00CF522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，且</w:t>
            </w:r>
            <w:r w:rsidRPr="00CF522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105</w:t>
            </w:r>
            <w:r w:rsidRPr="00CF522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至</w:t>
            </w:r>
            <w:r w:rsidRPr="00CF522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107</w:t>
            </w:r>
            <w:r w:rsidRPr="00CF522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年行政爭訟案件較</w:t>
            </w:r>
            <w:r w:rsidRPr="00CF522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105 </w:t>
            </w:r>
            <w:r w:rsidRPr="00CF522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年以前之案件量減少</w:t>
            </w:r>
            <w:r w:rsidRPr="00CF522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59%</w:t>
            </w:r>
            <w:r w:rsidRPr="00CF522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CF5226" w:rsidRPr="00BC0F80" w:rsidTr="00183FC5">
        <w:trPr>
          <w:trHeight w:val="73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226" w:rsidRPr="00BC0F80" w:rsidRDefault="00CF5226" w:rsidP="00E10AF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BC0F8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5226" w:rsidRPr="00BC0F80" w:rsidRDefault="00CF5226" w:rsidP="00E10AF5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彰化</w:t>
            </w:r>
            <w:r w:rsidRPr="00BC0F80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縣政府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5226" w:rsidRPr="00BC0F80" w:rsidRDefault="00CF5226" w:rsidP="00E10AF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彰化縣埔心鄉衛生所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5226" w:rsidRPr="00BC0F80" w:rsidRDefault="00CF5226" w:rsidP="00E10AF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不老健身房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肌力人生</w:t>
            </w:r>
            <w:proofErr w:type="gramStart"/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馨</w:t>
            </w:r>
            <w:proofErr w:type="gramEnd"/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樂園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226" w:rsidRDefault="00CF5226" w:rsidP="00A97104">
            <w:pPr>
              <w:pStyle w:val="a7"/>
              <w:widowControl/>
              <w:numPr>
                <w:ilvl w:val="0"/>
                <w:numId w:val="8"/>
              </w:numPr>
              <w:adjustRightInd w:val="0"/>
              <w:snapToGrid w:val="0"/>
              <w:spacing w:line="400" w:lineRule="exact"/>
              <w:ind w:leftChars="0" w:left="398" w:hanging="398"/>
              <w:jc w:val="both"/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本案</w:t>
            </w:r>
            <w:r w:rsidRPr="00E42C93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主要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為</w:t>
            </w:r>
            <w:r w:rsidRPr="00E42C93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改善地區居民運動量不足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，</w:t>
            </w:r>
            <w:r w:rsidRPr="00E42C93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及有運動但</w:t>
            </w:r>
            <w:proofErr w:type="gramStart"/>
            <w:r w:rsidRPr="00E42C93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功能性體適</w:t>
            </w:r>
            <w:proofErr w:type="gramEnd"/>
            <w:r w:rsidRPr="00E42C93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能不佳之問題，規劃衛生所內之高齡者健身房，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由</w:t>
            </w:r>
            <w:r w:rsidRPr="00E42C93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衛生所專業醫師評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估與運動指導員擬定運動策略，提升長者</w:t>
            </w:r>
            <w:proofErr w:type="gramStart"/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功能性體適</w:t>
            </w:r>
            <w:proofErr w:type="gramEnd"/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能，降低跌倒風險，落實長照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2.0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向前銜接初級預防之政策。</w:t>
            </w:r>
          </w:p>
          <w:p w:rsidR="00CF5226" w:rsidRDefault="00CF5226" w:rsidP="00CF5226">
            <w:pPr>
              <w:pStyle w:val="a7"/>
              <w:widowControl/>
              <w:numPr>
                <w:ilvl w:val="0"/>
                <w:numId w:val="8"/>
              </w:numPr>
              <w:adjustRightInd w:val="0"/>
              <w:snapToGrid w:val="0"/>
              <w:spacing w:line="400" w:lineRule="exact"/>
              <w:ind w:leftChars="0" w:left="397" w:hanging="397"/>
              <w:jc w:val="both"/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全國首創於衛生所內設置不老健身房之預防失能模式，有效指導長者正確及漸進的運動方式。</w:t>
            </w:r>
            <w:r w:rsidRPr="00E42C93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本案具服務擴散性，協助輔導其他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縣內</w:t>
            </w:r>
            <w:r w:rsidRPr="00E42C93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衛生所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設置其他不老健身房。</w:t>
            </w:r>
          </w:p>
          <w:p w:rsidR="00CF5226" w:rsidRPr="00CF5226" w:rsidRDefault="00CF5226" w:rsidP="00CF5226">
            <w:pPr>
              <w:pStyle w:val="a7"/>
              <w:widowControl/>
              <w:numPr>
                <w:ilvl w:val="0"/>
                <w:numId w:val="8"/>
              </w:numPr>
              <w:adjustRightInd w:val="0"/>
              <w:snapToGrid w:val="0"/>
              <w:spacing w:line="400" w:lineRule="exact"/>
              <w:ind w:leftChars="0" w:left="397" w:hanging="397"/>
              <w:jc w:val="both"/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F5226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運動指導服務量及健身房使用量顯著成長，由</w:t>
            </w:r>
            <w:r w:rsidRPr="00CF5226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106</w:t>
            </w:r>
            <w:r w:rsidRPr="00CF5226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 w:rsidRPr="00CF5226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5.6</w:t>
            </w:r>
            <w:r w:rsidRPr="00CF5226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人次</w:t>
            </w:r>
            <w:r w:rsidRPr="00CF5226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/</w:t>
            </w:r>
            <w:r w:rsidRPr="00CF5226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天增加至</w:t>
            </w:r>
            <w:r w:rsidRPr="00CF5226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107</w:t>
            </w:r>
            <w:r w:rsidRPr="00CF5226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 w:rsidRPr="00CF5226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50.8</w:t>
            </w:r>
            <w:r w:rsidRPr="00CF5226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人次</w:t>
            </w:r>
            <w:r w:rsidRPr="00CF5226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/</w:t>
            </w:r>
            <w:r w:rsidRPr="00CF5226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天，指導服務量由</w:t>
            </w:r>
            <w:r w:rsidRPr="00CF5226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5.3</w:t>
            </w:r>
            <w:r w:rsidRPr="00CF5226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人次</w:t>
            </w:r>
            <w:r w:rsidRPr="00CF5226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/</w:t>
            </w:r>
            <w:proofErr w:type="gramStart"/>
            <w:r w:rsidRPr="00CF5226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週</w:t>
            </w:r>
            <w:proofErr w:type="gramEnd"/>
            <w:r w:rsidRPr="00CF5226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增加至</w:t>
            </w:r>
            <w:r w:rsidRPr="00CF5226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45.3</w:t>
            </w:r>
            <w:r w:rsidRPr="00CF5226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人次</w:t>
            </w:r>
            <w:r w:rsidRPr="00CF5226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/</w:t>
            </w:r>
            <w:proofErr w:type="gramStart"/>
            <w:r w:rsidRPr="00CF5226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週</w:t>
            </w:r>
            <w:proofErr w:type="gramEnd"/>
            <w:r w:rsidRPr="00CF5226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，約</w:t>
            </w:r>
            <w:proofErr w:type="gramStart"/>
            <w:r w:rsidRPr="00CF5226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8</w:t>
            </w:r>
            <w:r w:rsidRPr="00CF5226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成</w:t>
            </w:r>
            <w:proofErr w:type="gramEnd"/>
            <w:r w:rsidRPr="00CF5226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長者</w:t>
            </w:r>
            <w:proofErr w:type="gramStart"/>
            <w:r w:rsidRPr="00CF5226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功能性體適</w:t>
            </w:r>
            <w:proofErr w:type="gramEnd"/>
            <w:r w:rsidRPr="00CF5226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能顯著改善。</w:t>
            </w:r>
          </w:p>
        </w:tc>
      </w:tr>
      <w:tr w:rsidR="00CF5226" w:rsidRPr="00BC0F80" w:rsidTr="00183FC5">
        <w:trPr>
          <w:trHeight w:val="73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226" w:rsidRPr="00BC0F80" w:rsidRDefault="00CF5226" w:rsidP="00E10AF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BC0F8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5226" w:rsidRPr="00BC0F80" w:rsidRDefault="00CF5226" w:rsidP="00E10AF5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東</w:t>
            </w:r>
            <w:r w:rsidRPr="00BC0F80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縣政府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5226" w:rsidRPr="00BC0F80" w:rsidRDefault="00CF5226" w:rsidP="00E10AF5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東縣政府交通及觀光發展處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5226" w:rsidRPr="00BC0F80" w:rsidRDefault="00CF5226" w:rsidP="00E10AF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臺灣國際衝浪公開賽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衝破極限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226" w:rsidRDefault="00CF5226" w:rsidP="00706FCC">
            <w:pPr>
              <w:pStyle w:val="a7"/>
              <w:widowControl/>
              <w:numPr>
                <w:ilvl w:val="0"/>
                <w:numId w:val="17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DF04FA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DF04FA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東縣府為扭轉冬天東海岸旅遊淡季的劣勢，自</w:t>
            </w:r>
            <w:r w:rsidRPr="00DF04FA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100</w:t>
            </w:r>
            <w:r w:rsidRPr="00DF04FA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年來開始發展衝浪產業，除培訓選手以接軌國際，也培養衝浪教練與裁判，於國小辦理衝浪教學活動來向下紮根，並透過賽事轉播、現場衝浪教學等提升民眾興趣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，</w:t>
            </w:r>
            <w:r w:rsidRPr="00DF04FA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在衝浪環境上，改善相關軟硬體設施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CF5226" w:rsidRDefault="00CF5226" w:rsidP="00CF5226">
            <w:pPr>
              <w:pStyle w:val="a7"/>
              <w:widowControl/>
              <w:numPr>
                <w:ilvl w:val="0"/>
                <w:numId w:val="17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本專案</w:t>
            </w:r>
            <w:r w:rsidRPr="00DF04FA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爭取中央及企業補助，陸續與國內外知名品牌共同合作，提升賽事規格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，打響</w:t>
            </w:r>
            <w:r w:rsidRPr="003C6EB3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知名度，也因此吸引民間企業投資興建觀光漁港。</w:t>
            </w:r>
          </w:p>
          <w:p w:rsidR="00CF5226" w:rsidRPr="00CF5226" w:rsidRDefault="00CF5226" w:rsidP="00CF5226">
            <w:pPr>
              <w:pStyle w:val="a7"/>
              <w:widowControl/>
              <w:numPr>
                <w:ilvl w:val="0"/>
                <w:numId w:val="17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F5226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衝浪產業的發展，有助增加在地就業機會、提升社區意識，且可以留住地方年輕人在地發展，也吸引外地對衝浪有興趣之民眾前往旅遊甚至定居，符合地方創生之理念。</w:t>
            </w:r>
          </w:p>
        </w:tc>
      </w:tr>
      <w:tr w:rsidR="00CF5226" w:rsidRPr="00BC0F80" w:rsidTr="00183FC5">
        <w:trPr>
          <w:trHeight w:val="73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226" w:rsidRPr="00BC0F80" w:rsidRDefault="00CF5226" w:rsidP="00E10AF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BC0F8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5226" w:rsidRPr="00BC0F80" w:rsidRDefault="00CF5226" w:rsidP="00E10AF5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基隆市</w:t>
            </w:r>
            <w:r w:rsidRPr="00A6703F">
              <w:rPr>
                <w:rFonts w:ascii="Times New Roman" w:eastAsia="標楷體" w:hAnsi="Times New Roman" w:cs="Times New Roman"/>
                <w:sz w:val="28"/>
                <w:szCs w:val="28"/>
              </w:rPr>
              <w:t>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5226" w:rsidRPr="00BC0F80" w:rsidRDefault="00CF5226" w:rsidP="00E10AF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基隆市消防局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5226" w:rsidRPr="00BC0F80" w:rsidRDefault="00CF5226" w:rsidP="00E10AF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救災救護新應用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「智慧消防</w:t>
            </w:r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2.0</w:t>
            </w:r>
            <w:r w:rsidRPr="006700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」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226" w:rsidRPr="00536FAB" w:rsidRDefault="00CF5226" w:rsidP="00706FCC">
            <w:pPr>
              <w:pStyle w:val="a7"/>
              <w:widowControl/>
              <w:numPr>
                <w:ilvl w:val="0"/>
                <w:numId w:val="26"/>
              </w:numPr>
              <w:adjustRightInd w:val="0"/>
              <w:snapToGrid w:val="0"/>
              <w:spacing w:line="400" w:lineRule="exact"/>
              <w:ind w:leftChars="0" w:left="357" w:hanging="357"/>
              <w:jc w:val="both"/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536FAB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本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專</w:t>
            </w:r>
            <w:r w:rsidRPr="00536FAB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案規劃多元報案途徑（如</w:t>
            </w:r>
            <w:r w:rsidRPr="00536FAB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GPS</w:t>
            </w:r>
            <w:r w:rsidRPr="00536FAB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定位），整合消防災救護資訊（如</w:t>
            </w:r>
            <w:r w:rsidRPr="00536FA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行動指揮官</w:t>
            </w:r>
            <w:r w:rsidRPr="00536FA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APP</w:t>
            </w:r>
            <w:r w:rsidRPr="00536FAB">
              <w:rPr>
                <w:rFonts w:ascii="新細明體" w:eastAsia="新細明體" w:hAnsi="新細明體" w:cs="Times New Roman" w:hint="eastAsia"/>
                <w:bCs/>
                <w:color w:val="000000"/>
                <w:kern w:val="0"/>
                <w:sz w:val="28"/>
                <w:szCs w:val="28"/>
              </w:rPr>
              <w:t>、</w:t>
            </w:r>
            <w:r w:rsidRPr="00536FA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救護紀錄表</w:t>
            </w:r>
            <w:r w:rsidRPr="00536FA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APP</w:t>
            </w:r>
            <w:r w:rsidRPr="00536FA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，</w:t>
            </w:r>
            <w:r w:rsidRPr="00536FAB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導入「智慧眼鏡」，結合生命體</w:t>
            </w:r>
            <w:proofErr w:type="gramStart"/>
            <w:r w:rsidRPr="00536FAB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徵</w:t>
            </w:r>
            <w:proofErr w:type="gramEnd"/>
            <w:r w:rsidRPr="00536FAB">
              <w:rPr>
                <w:rFonts w:ascii="Times New Roman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偵測器等，提升整體救災救護效能及品質。</w:t>
            </w:r>
          </w:p>
          <w:p w:rsidR="00CF5226" w:rsidRPr="007D75B2" w:rsidRDefault="00CF5226" w:rsidP="007D75B2">
            <w:pPr>
              <w:pStyle w:val="a7"/>
              <w:widowControl/>
              <w:numPr>
                <w:ilvl w:val="0"/>
                <w:numId w:val="26"/>
              </w:numPr>
              <w:adjustRightInd w:val="0"/>
              <w:snapToGrid w:val="0"/>
              <w:spacing w:line="400" w:lineRule="exact"/>
              <w:ind w:leftChars="0" w:left="357" w:hanging="357"/>
              <w:jc w:val="both"/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536FA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結合長庚醫院，導入</w:t>
            </w:r>
            <w:r w:rsidRPr="00536FAB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</w:rPr>
              <w:t>「智慧眼鏡」，於救護人員抵達</w:t>
            </w:r>
            <w:r w:rsidRPr="00536FA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事故現場，透過「</w:t>
            </w:r>
            <w:r w:rsidRPr="00536FAB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EMS</w:t>
            </w:r>
            <w:r w:rsidRPr="00536FA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智能眼鏡」三方視訊畫面回傳的功能，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醫院</w:t>
            </w:r>
            <w:r w:rsidRPr="00536FA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即時取得現場傷病患者的實際狀況，將醫院急診診療作業流程時間提前，具創新性且提升救護時效。</w:t>
            </w:r>
          </w:p>
          <w:p w:rsidR="00CF5226" w:rsidRPr="001913FD" w:rsidRDefault="00CF5226" w:rsidP="00706FCC">
            <w:pPr>
              <w:pStyle w:val="a7"/>
              <w:widowControl/>
              <w:numPr>
                <w:ilvl w:val="0"/>
                <w:numId w:val="15"/>
              </w:numPr>
              <w:adjustRightInd w:val="0"/>
              <w:snapToGrid w:val="0"/>
              <w:spacing w:line="400" w:lineRule="exact"/>
              <w:ind w:leftChars="0" w:left="256" w:hanging="284"/>
              <w:jc w:val="both"/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透過多元報案途徑、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GPS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定位功能，並能及時將災害現場水源、建築物樓層平面圖、周邊道路等資訊，傳送至</w:t>
            </w:r>
            <w:r w:rsidRPr="00536FA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「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行動指揮官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APP</w:t>
            </w:r>
            <w:r w:rsidRPr="00536FA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」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，供指揮官、救災人員運用，達成</w:t>
            </w:r>
            <w:r w:rsidRPr="00536FA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「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精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準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到位、效率派遣</w:t>
            </w:r>
            <w:r w:rsidRPr="00536FA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」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的目標。</w:t>
            </w:r>
          </w:p>
        </w:tc>
      </w:tr>
    </w:tbl>
    <w:p w:rsidR="00E9395A" w:rsidRPr="00A6703F" w:rsidRDefault="00E9395A">
      <w:pPr>
        <w:rPr>
          <w:rFonts w:ascii="Times New Roman" w:eastAsia="標楷體" w:hAnsi="Times New Roman" w:cs="Times New Roman"/>
        </w:rPr>
      </w:pPr>
    </w:p>
    <w:sectPr w:rsidR="00E9395A" w:rsidRPr="00A6703F" w:rsidSect="00C115C9">
      <w:footerReference w:type="default" r:id="rId9"/>
      <w:pgSz w:w="11906" w:h="16838" w:code="9"/>
      <w:pgMar w:top="1134" w:right="1021" w:bottom="90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BF3" w:rsidRDefault="00B52BF3" w:rsidP="00BD4F4D">
      <w:r>
        <w:separator/>
      </w:r>
    </w:p>
  </w:endnote>
  <w:endnote w:type="continuationSeparator" w:id="0">
    <w:p w:rsidR="00B52BF3" w:rsidRDefault="00B52BF3" w:rsidP="00BD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608008"/>
      <w:docPartObj>
        <w:docPartGallery w:val="Page Numbers (Bottom of Page)"/>
        <w:docPartUnique/>
      </w:docPartObj>
    </w:sdtPr>
    <w:sdtEndPr/>
    <w:sdtContent>
      <w:p w:rsidR="00BD4F4D" w:rsidRDefault="007F48DC">
        <w:pPr>
          <w:pStyle w:val="a5"/>
          <w:jc w:val="center"/>
        </w:pPr>
        <w:r>
          <w:fldChar w:fldCharType="begin"/>
        </w:r>
        <w:r w:rsidR="00BD4F4D">
          <w:instrText>PAGE   \* MERGEFORMAT</w:instrText>
        </w:r>
        <w:r>
          <w:fldChar w:fldCharType="separate"/>
        </w:r>
        <w:r w:rsidR="00FF2134" w:rsidRPr="00FF2134">
          <w:rPr>
            <w:noProof/>
            <w:lang w:val="zh-TW"/>
          </w:rPr>
          <w:t>1</w:t>
        </w:r>
        <w:r>
          <w:fldChar w:fldCharType="end"/>
        </w:r>
      </w:p>
    </w:sdtContent>
  </w:sdt>
  <w:p w:rsidR="00BD4F4D" w:rsidRDefault="00BD4F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BF3" w:rsidRDefault="00B52BF3" w:rsidP="00BD4F4D">
      <w:r>
        <w:separator/>
      </w:r>
    </w:p>
  </w:footnote>
  <w:footnote w:type="continuationSeparator" w:id="0">
    <w:p w:rsidR="00B52BF3" w:rsidRDefault="00B52BF3" w:rsidP="00BD4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6968"/>
    <w:multiLevelType w:val="hybridMultilevel"/>
    <w:tmpl w:val="FD2AE350"/>
    <w:lvl w:ilvl="0" w:tplc="F2F09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8D376C"/>
    <w:multiLevelType w:val="hybridMultilevel"/>
    <w:tmpl w:val="2B441E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4D6C56"/>
    <w:multiLevelType w:val="hybridMultilevel"/>
    <w:tmpl w:val="662AF922"/>
    <w:lvl w:ilvl="0" w:tplc="7D267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6962B5"/>
    <w:multiLevelType w:val="hybridMultilevel"/>
    <w:tmpl w:val="2B441E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F37486"/>
    <w:multiLevelType w:val="hybridMultilevel"/>
    <w:tmpl w:val="10DC2EA6"/>
    <w:lvl w:ilvl="0" w:tplc="AE381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2E3B5D"/>
    <w:multiLevelType w:val="hybridMultilevel"/>
    <w:tmpl w:val="10DC2EA6"/>
    <w:lvl w:ilvl="0" w:tplc="AE381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8662C2A"/>
    <w:multiLevelType w:val="hybridMultilevel"/>
    <w:tmpl w:val="60B6A2CE"/>
    <w:lvl w:ilvl="0" w:tplc="D5D00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6D3CF0"/>
    <w:multiLevelType w:val="hybridMultilevel"/>
    <w:tmpl w:val="FD2AE350"/>
    <w:lvl w:ilvl="0" w:tplc="F2F09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7C55A16"/>
    <w:multiLevelType w:val="hybridMultilevel"/>
    <w:tmpl w:val="FD2AE350"/>
    <w:lvl w:ilvl="0" w:tplc="F2F09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B147BB"/>
    <w:multiLevelType w:val="hybridMultilevel"/>
    <w:tmpl w:val="FD2AE350"/>
    <w:lvl w:ilvl="0" w:tplc="F2F09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FD294B"/>
    <w:multiLevelType w:val="hybridMultilevel"/>
    <w:tmpl w:val="2B441E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7BF6AEF"/>
    <w:multiLevelType w:val="hybridMultilevel"/>
    <w:tmpl w:val="2B441E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A2F69E0"/>
    <w:multiLevelType w:val="hybridMultilevel"/>
    <w:tmpl w:val="1AEA064E"/>
    <w:lvl w:ilvl="0" w:tplc="B336C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4F911BE"/>
    <w:multiLevelType w:val="hybridMultilevel"/>
    <w:tmpl w:val="10DC2EA6"/>
    <w:lvl w:ilvl="0" w:tplc="AE381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7C85606"/>
    <w:multiLevelType w:val="hybridMultilevel"/>
    <w:tmpl w:val="DC2AD99A"/>
    <w:lvl w:ilvl="0" w:tplc="191A4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D5D06F7"/>
    <w:multiLevelType w:val="hybridMultilevel"/>
    <w:tmpl w:val="2B441E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DAF5001"/>
    <w:multiLevelType w:val="hybridMultilevel"/>
    <w:tmpl w:val="FD2AE350"/>
    <w:lvl w:ilvl="0" w:tplc="F2F09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1D02354"/>
    <w:multiLevelType w:val="hybridMultilevel"/>
    <w:tmpl w:val="2B441E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1D449B1"/>
    <w:multiLevelType w:val="hybridMultilevel"/>
    <w:tmpl w:val="FD2AE350"/>
    <w:lvl w:ilvl="0" w:tplc="F2F09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5F5364A"/>
    <w:multiLevelType w:val="hybridMultilevel"/>
    <w:tmpl w:val="2B441E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D940A10"/>
    <w:multiLevelType w:val="hybridMultilevel"/>
    <w:tmpl w:val="BB7E71F6"/>
    <w:lvl w:ilvl="0" w:tplc="12EC4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48024A8"/>
    <w:multiLevelType w:val="hybridMultilevel"/>
    <w:tmpl w:val="4A3070FC"/>
    <w:lvl w:ilvl="0" w:tplc="48EE4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5AB60CD"/>
    <w:multiLevelType w:val="hybridMultilevel"/>
    <w:tmpl w:val="2B441E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6D51947"/>
    <w:multiLevelType w:val="hybridMultilevel"/>
    <w:tmpl w:val="F052081A"/>
    <w:lvl w:ilvl="0" w:tplc="30E2D1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6EC0825"/>
    <w:multiLevelType w:val="hybridMultilevel"/>
    <w:tmpl w:val="2B441E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A3F1304"/>
    <w:multiLevelType w:val="hybridMultilevel"/>
    <w:tmpl w:val="FD2AE350"/>
    <w:lvl w:ilvl="0" w:tplc="F2F09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BD73195"/>
    <w:multiLevelType w:val="hybridMultilevel"/>
    <w:tmpl w:val="2B441E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22"/>
  </w:num>
  <w:num w:numId="5">
    <w:abstractNumId w:val="3"/>
  </w:num>
  <w:num w:numId="6">
    <w:abstractNumId w:val="19"/>
  </w:num>
  <w:num w:numId="7">
    <w:abstractNumId w:val="10"/>
  </w:num>
  <w:num w:numId="8">
    <w:abstractNumId w:val="24"/>
  </w:num>
  <w:num w:numId="9">
    <w:abstractNumId w:val="26"/>
  </w:num>
  <w:num w:numId="10">
    <w:abstractNumId w:val="6"/>
  </w:num>
  <w:num w:numId="11">
    <w:abstractNumId w:val="2"/>
  </w:num>
  <w:num w:numId="12">
    <w:abstractNumId w:val="21"/>
  </w:num>
  <w:num w:numId="13">
    <w:abstractNumId w:val="12"/>
  </w:num>
  <w:num w:numId="14">
    <w:abstractNumId w:val="14"/>
  </w:num>
  <w:num w:numId="15">
    <w:abstractNumId w:val="20"/>
  </w:num>
  <w:num w:numId="16">
    <w:abstractNumId w:val="4"/>
  </w:num>
  <w:num w:numId="17">
    <w:abstractNumId w:val="18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5"/>
  </w:num>
  <w:num w:numId="21">
    <w:abstractNumId w:val="16"/>
  </w:num>
  <w:num w:numId="22">
    <w:abstractNumId w:val="23"/>
  </w:num>
  <w:num w:numId="23">
    <w:abstractNumId w:val="1"/>
  </w:num>
  <w:num w:numId="24">
    <w:abstractNumId w:val="0"/>
  </w:num>
  <w:num w:numId="25">
    <w:abstractNumId w:val="7"/>
  </w:num>
  <w:num w:numId="26">
    <w:abstractNumId w:val="25"/>
  </w:num>
  <w:num w:numId="27">
    <w:abstractNumId w:val="8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90"/>
    <w:rsid w:val="000035BB"/>
    <w:rsid w:val="000C0D41"/>
    <w:rsid w:val="000C78C2"/>
    <w:rsid w:val="00123C5E"/>
    <w:rsid w:val="00182324"/>
    <w:rsid w:val="00183FC5"/>
    <w:rsid w:val="00185BDF"/>
    <w:rsid w:val="001913FD"/>
    <w:rsid w:val="001D36C9"/>
    <w:rsid w:val="00202A38"/>
    <w:rsid w:val="00206890"/>
    <w:rsid w:val="002224FB"/>
    <w:rsid w:val="00226DBD"/>
    <w:rsid w:val="0027289C"/>
    <w:rsid w:val="002F7630"/>
    <w:rsid w:val="003015B5"/>
    <w:rsid w:val="00323071"/>
    <w:rsid w:val="00332978"/>
    <w:rsid w:val="00367240"/>
    <w:rsid w:val="0037513B"/>
    <w:rsid w:val="00392D42"/>
    <w:rsid w:val="003A1ACB"/>
    <w:rsid w:val="003B5460"/>
    <w:rsid w:val="003D51DB"/>
    <w:rsid w:val="003F5DFC"/>
    <w:rsid w:val="0041500B"/>
    <w:rsid w:val="00450FB1"/>
    <w:rsid w:val="00453CD7"/>
    <w:rsid w:val="004626D8"/>
    <w:rsid w:val="00480ADA"/>
    <w:rsid w:val="00483790"/>
    <w:rsid w:val="005000C0"/>
    <w:rsid w:val="00520FA8"/>
    <w:rsid w:val="00526629"/>
    <w:rsid w:val="00526E7C"/>
    <w:rsid w:val="005660BE"/>
    <w:rsid w:val="0057450E"/>
    <w:rsid w:val="005970A9"/>
    <w:rsid w:val="005A0AC0"/>
    <w:rsid w:val="005B39B0"/>
    <w:rsid w:val="005C5763"/>
    <w:rsid w:val="005E2921"/>
    <w:rsid w:val="00603FD7"/>
    <w:rsid w:val="00605ED8"/>
    <w:rsid w:val="00606233"/>
    <w:rsid w:val="00612A7B"/>
    <w:rsid w:val="006363E1"/>
    <w:rsid w:val="00644B07"/>
    <w:rsid w:val="00660DEA"/>
    <w:rsid w:val="006926A8"/>
    <w:rsid w:val="00693C44"/>
    <w:rsid w:val="006B3190"/>
    <w:rsid w:val="006E6538"/>
    <w:rsid w:val="00706FCC"/>
    <w:rsid w:val="00711293"/>
    <w:rsid w:val="007412D9"/>
    <w:rsid w:val="00755932"/>
    <w:rsid w:val="00761841"/>
    <w:rsid w:val="00762441"/>
    <w:rsid w:val="00786FD1"/>
    <w:rsid w:val="007D459F"/>
    <w:rsid w:val="007D7089"/>
    <w:rsid w:val="007D75B2"/>
    <w:rsid w:val="007F48DC"/>
    <w:rsid w:val="007F620F"/>
    <w:rsid w:val="0080482A"/>
    <w:rsid w:val="00806F1B"/>
    <w:rsid w:val="0082393E"/>
    <w:rsid w:val="00827C70"/>
    <w:rsid w:val="00835916"/>
    <w:rsid w:val="008A2EC0"/>
    <w:rsid w:val="008B053E"/>
    <w:rsid w:val="008B6E81"/>
    <w:rsid w:val="008E0D3F"/>
    <w:rsid w:val="009422E7"/>
    <w:rsid w:val="0094639F"/>
    <w:rsid w:val="00982E51"/>
    <w:rsid w:val="0099260C"/>
    <w:rsid w:val="009A4585"/>
    <w:rsid w:val="00A070F3"/>
    <w:rsid w:val="00A2279D"/>
    <w:rsid w:val="00A32D59"/>
    <w:rsid w:val="00A53BBA"/>
    <w:rsid w:val="00A6703F"/>
    <w:rsid w:val="00A72F46"/>
    <w:rsid w:val="00A97104"/>
    <w:rsid w:val="00A977A1"/>
    <w:rsid w:val="00AA4819"/>
    <w:rsid w:val="00AB09B1"/>
    <w:rsid w:val="00AC11E4"/>
    <w:rsid w:val="00AC56C5"/>
    <w:rsid w:val="00AD053B"/>
    <w:rsid w:val="00AF0FC1"/>
    <w:rsid w:val="00B0063F"/>
    <w:rsid w:val="00B514DF"/>
    <w:rsid w:val="00B52BF3"/>
    <w:rsid w:val="00B5450D"/>
    <w:rsid w:val="00B60D01"/>
    <w:rsid w:val="00B659F2"/>
    <w:rsid w:val="00BC0F80"/>
    <w:rsid w:val="00BD4F4D"/>
    <w:rsid w:val="00C115C9"/>
    <w:rsid w:val="00C1393D"/>
    <w:rsid w:val="00C22A11"/>
    <w:rsid w:val="00C63CC2"/>
    <w:rsid w:val="00C97F03"/>
    <w:rsid w:val="00CC3484"/>
    <w:rsid w:val="00CC3D66"/>
    <w:rsid w:val="00CD37E3"/>
    <w:rsid w:val="00CF5226"/>
    <w:rsid w:val="00D0297B"/>
    <w:rsid w:val="00D0501D"/>
    <w:rsid w:val="00D6281C"/>
    <w:rsid w:val="00D63988"/>
    <w:rsid w:val="00D815BD"/>
    <w:rsid w:val="00D843C6"/>
    <w:rsid w:val="00DC1E7D"/>
    <w:rsid w:val="00E02099"/>
    <w:rsid w:val="00E04EEA"/>
    <w:rsid w:val="00E10AF5"/>
    <w:rsid w:val="00E202E0"/>
    <w:rsid w:val="00E740E2"/>
    <w:rsid w:val="00E81EF2"/>
    <w:rsid w:val="00E826B4"/>
    <w:rsid w:val="00E9395A"/>
    <w:rsid w:val="00EF4E7D"/>
    <w:rsid w:val="00F0017B"/>
    <w:rsid w:val="00F15316"/>
    <w:rsid w:val="00F3272B"/>
    <w:rsid w:val="00F85FFC"/>
    <w:rsid w:val="00FF02FE"/>
    <w:rsid w:val="00FF2134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4F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4F4D"/>
    <w:rPr>
      <w:sz w:val="20"/>
      <w:szCs w:val="20"/>
    </w:rPr>
  </w:style>
  <w:style w:type="paragraph" w:styleId="a7">
    <w:name w:val="List Paragraph"/>
    <w:basedOn w:val="a"/>
    <w:uiPriority w:val="34"/>
    <w:qFormat/>
    <w:rsid w:val="004626D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36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363E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4F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4F4D"/>
    <w:rPr>
      <w:sz w:val="20"/>
      <w:szCs w:val="20"/>
    </w:rPr>
  </w:style>
  <w:style w:type="paragraph" w:styleId="a7">
    <w:name w:val="List Paragraph"/>
    <w:basedOn w:val="a"/>
    <w:uiPriority w:val="34"/>
    <w:qFormat/>
    <w:rsid w:val="004626D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36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363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B48FD-23C6-4B4D-85A2-20C6876B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582</Words>
  <Characters>3321</Characters>
  <Application>Microsoft Office Word</Application>
  <DocSecurity>0</DocSecurity>
  <Lines>27</Lines>
  <Paragraphs>7</Paragraphs>
  <ScaleCrop>false</ScaleCrop>
  <Company>RDEC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簡徐芬</dc:creator>
  <cp:lastModifiedBy>平安</cp:lastModifiedBy>
  <cp:revision>2</cp:revision>
  <cp:lastPrinted>2019-05-23T02:52:00Z</cp:lastPrinted>
  <dcterms:created xsi:type="dcterms:W3CDTF">2019-07-09T10:41:00Z</dcterms:created>
  <dcterms:modified xsi:type="dcterms:W3CDTF">2019-07-09T10:41:00Z</dcterms:modified>
</cp:coreProperties>
</file>