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5270AA" w:rsidRDefault="00A11FE5" w:rsidP="00636B77">
      <w:pPr>
        <w:spacing w:line="360" w:lineRule="exact"/>
        <w:ind w:firstLineChars="2222" w:firstLine="5244"/>
        <w:rPr>
          <w:rFonts w:ascii="Times New Roman" w:eastAsia="標楷體" w:hAnsi="Times New Roman" w:cs="Times New Roman"/>
          <w:spacing w:val="-2"/>
        </w:rPr>
      </w:pPr>
      <w:r w:rsidRPr="005270AA">
        <w:rPr>
          <w:rFonts w:ascii="Times New Roman" w:eastAsia="標楷體" w:hAnsi="Times New Roman" w:cs="Times New Roman"/>
          <w:spacing w:val="-2"/>
        </w:rPr>
        <w:t>發布日期：</w:t>
      </w:r>
      <w:r w:rsidRPr="005270AA">
        <w:rPr>
          <w:rFonts w:ascii="Times New Roman" w:eastAsia="標楷體" w:hAnsi="Times New Roman" w:cs="Times New Roman"/>
          <w:spacing w:val="-2"/>
        </w:rPr>
        <w:t>10</w:t>
      </w:r>
      <w:r w:rsidR="00636B77">
        <w:rPr>
          <w:rFonts w:ascii="Times New Roman" w:eastAsia="標楷體" w:hAnsi="Times New Roman" w:cs="Times New Roman" w:hint="eastAsia"/>
          <w:spacing w:val="-2"/>
        </w:rPr>
        <w:t>7</w:t>
      </w:r>
      <w:r w:rsidRPr="005270AA">
        <w:rPr>
          <w:rFonts w:ascii="Times New Roman" w:eastAsia="標楷體" w:hAnsi="Times New Roman" w:cs="Times New Roman"/>
          <w:spacing w:val="-2"/>
        </w:rPr>
        <w:t>年</w:t>
      </w:r>
      <w:r w:rsidR="00636B77">
        <w:rPr>
          <w:rFonts w:ascii="Times New Roman" w:eastAsia="標楷體" w:hAnsi="Times New Roman" w:cs="Times New Roman" w:hint="eastAsia"/>
          <w:spacing w:val="-2"/>
        </w:rPr>
        <w:t>2</w:t>
      </w:r>
      <w:r w:rsidRPr="005270AA">
        <w:rPr>
          <w:rFonts w:ascii="Times New Roman" w:eastAsia="標楷體" w:hAnsi="Times New Roman" w:cs="Times New Roman"/>
          <w:spacing w:val="-2"/>
        </w:rPr>
        <w:t>月</w:t>
      </w:r>
      <w:r w:rsidR="00636B77">
        <w:rPr>
          <w:rFonts w:ascii="Times New Roman" w:eastAsia="標楷體" w:hAnsi="Times New Roman" w:cs="Times New Roman" w:hint="eastAsia"/>
          <w:spacing w:val="-2"/>
        </w:rPr>
        <w:t>8</w:t>
      </w:r>
      <w:r w:rsidRPr="005270A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636B77">
      <w:pPr>
        <w:spacing w:line="360" w:lineRule="exact"/>
        <w:ind w:firstLineChars="2185" w:firstLine="5244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絡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人：</w:t>
      </w:r>
      <w:r w:rsidR="00636B77">
        <w:rPr>
          <w:rFonts w:ascii="Times New Roman" w:eastAsia="標楷體" w:hAnsi="Times New Roman" w:cs="Times New Roman" w:hint="eastAsia"/>
        </w:rPr>
        <w:t>蘇來守</w:t>
      </w:r>
    </w:p>
    <w:p w:rsidR="00A11FE5" w:rsidRPr="003819EB" w:rsidRDefault="00A11FE5" w:rsidP="00636B77">
      <w:pPr>
        <w:spacing w:line="360" w:lineRule="exact"/>
        <w:ind w:firstLineChars="2185" w:firstLine="5244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Pr="003819EB">
        <w:rPr>
          <w:rFonts w:ascii="Times New Roman" w:eastAsia="標楷體" w:hAnsi="Times New Roman" w:cs="Times New Roman"/>
        </w:rPr>
        <w:t>2316-</w:t>
      </w:r>
      <w:r w:rsidR="00636B77">
        <w:rPr>
          <w:rFonts w:ascii="Times New Roman" w:eastAsia="標楷體" w:hAnsi="Times New Roman" w:cs="Times New Roman" w:hint="eastAsia"/>
        </w:rPr>
        <w:t>8203</w:t>
      </w:r>
    </w:p>
    <w:p w:rsidR="00A11FE5" w:rsidRPr="009A7567" w:rsidRDefault="006E7368" w:rsidP="0090216E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bCs/>
          <w:spacing w:val="20"/>
          <w:kern w:val="0"/>
          <w:sz w:val="34"/>
          <w:szCs w:val="34"/>
        </w:rPr>
      </w:pPr>
      <w:r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行政院</w:t>
      </w:r>
      <w:r w:rsidR="00325DD4" w:rsidRPr="009A7567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國家發展</w:t>
      </w:r>
      <w:r w:rsidR="00636B77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基金</w:t>
      </w:r>
      <w:r w:rsidR="001C01A7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三大構面</w:t>
      </w:r>
      <w:r w:rsidR="00A8758C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優化新創</w:t>
      </w:r>
      <w:r w:rsidR="001C01A7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事業</w:t>
      </w:r>
      <w:r w:rsidR="00636B77">
        <w:rPr>
          <w:rFonts w:ascii="Times New Roman" w:eastAsia="標楷體" w:hAnsi="Times New Roman" w:cs="Times New Roman" w:hint="eastAsia"/>
          <w:b/>
          <w:spacing w:val="20"/>
          <w:sz w:val="34"/>
          <w:szCs w:val="34"/>
        </w:rPr>
        <w:t>投資策略</w:t>
      </w:r>
    </w:p>
    <w:p w:rsidR="00DE3E8E" w:rsidRDefault="0090216E" w:rsidP="00425DC5">
      <w:pPr>
        <w:tabs>
          <w:tab w:val="left" w:pos="8647"/>
        </w:tabs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  <w:r w:rsidRPr="0073318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國發會委員會會議今日聽取</w:t>
      </w:r>
      <w:r w:rsidR="00636B77" w:rsidRPr="0062055F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行政院國家發展基金（以下簡稱</w:t>
      </w:r>
      <w:r w:rsidR="00636B77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國發</w:t>
      </w:r>
      <w:r w:rsidR="00636B77" w:rsidRPr="0062055F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基金）</w:t>
      </w:r>
      <w:r w:rsidR="00636B77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投資策略調整</w:t>
      </w:r>
      <w:r w:rsidR="00D7775E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報告</w:t>
      </w:r>
      <w:r w:rsidR="001D1D2D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。</w:t>
      </w:r>
      <w:r w:rsidR="00006699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國發基金為</w:t>
      </w:r>
      <w:r w:rsidR="00006699" w:rsidRPr="0062055F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主動積極扮演資金點火角色</w:t>
      </w:r>
      <w:r w:rsidR="00B6178D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及</w:t>
      </w:r>
      <w:r w:rsidR="00CF36C6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擴大投資新創事業</w:t>
      </w:r>
      <w:r w:rsidR="00006699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，</w:t>
      </w:r>
      <w:r w:rsidR="00B6178D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依</w:t>
      </w:r>
      <w:r w:rsidR="000F6247">
        <w:rPr>
          <w:rFonts w:ascii="標楷體" w:eastAsia="標楷體" w:hAnsi="標楷體" w:hint="eastAsia"/>
          <w:sz w:val="32"/>
          <w:szCs w:val="32"/>
        </w:rPr>
        <w:t>強化國際創投合作、</w:t>
      </w:r>
      <w:r w:rsidR="000F6247" w:rsidRPr="007C31A6">
        <w:rPr>
          <w:rFonts w:ascii="標楷體" w:eastAsia="標楷體" w:hAnsi="標楷體" w:hint="eastAsia"/>
          <w:sz w:val="32"/>
          <w:szCs w:val="32"/>
        </w:rPr>
        <w:t>加強新創企業投資</w:t>
      </w:r>
      <w:r w:rsidR="000F6247">
        <w:rPr>
          <w:rFonts w:ascii="標楷體" w:eastAsia="標楷體" w:hAnsi="標楷體" w:hint="eastAsia"/>
          <w:sz w:val="32"/>
          <w:szCs w:val="32"/>
        </w:rPr>
        <w:t>及</w:t>
      </w:r>
      <w:r w:rsidR="000F6247" w:rsidRPr="00836B5D">
        <w:rPr>
          <w:rFonts w:ascii="標楷體" w:eastAsia="標楷體" w:hAnsi="標楷體" w:hint="eastAsia"/>
          <w:sz w:val="32"/>
          <w:szCs w:val="32"/>
        </w:rPr>
        <w:t>主動積極拓展案源</w:t>
      </w:r>
      <w:r w:rsidR="000F6247">
        <w:rPr>
          <w:rFonts w:ascii="標楷體" w:eastAsia="標楷體" w:hAnsi="標楷體" w:hint="eastAsia"/>
          <w:sz w:val="32"/>
          <w:szCs w:val="32"/>
        </w:rPr>
        <w:t>等</w:t>
      </w:r>
      <w:r w:rsidR="00836B5D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三</w:t>
      </w:r>
      <w:r w:rsidR="00B6178D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大構面調整</w:t>
      </w:r>
      <w:r w:rsidR="00836B5D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對新創事業</w:t>
      </w:r>
      <w:r w:rsidR="00B6178D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投資策略，期</w:t>
      </w:r>
      <w:r w:rsidR="00006699" w:rsidRPr="0062055F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優化</w:t>
      </w:r>
      <w:r w:rsidR="00B6178D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國內</w:t>
      </w:r>
      <w:r w:rsidR="00C323D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新創企業</w:t>
      </w:r>
      <w:r w:rsidR="00006699" w:rsidRPr="0062055F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投資環境，</w:t>
      </w:r>
      <w:r w:rsidR="00006699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協助新創事業</w:t>
      </w:r>
      <w:r w:rsidR="007636F4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取得營運發展所需資金。</w:t>
      </w:r>
    </w:p>
    <w:p w:rsidR="00062DEE" w:rsidRDefault="00C5221E" w:rsidP="00C5221E">
      <w:pPr>
        <w:spacing w:beforeLines="20" w:before="72" w:afterLines="20" w:after="72" w:line="520" w:lineRule="exact"/>
        <w:ind w:rightChars="-48" w:right="-115" w:firstLineChars="214" w:firstLine="659"/>
        <w:jc w:val="both"/>
        <w:rPr>
          <w:rFonts w:ascii="Times New Roman" w:eastAsia="標楷體" w:hAnsi="Times New Roman" w:cs="Times New Roman"/>
          <w:spacing w:val="4"/>
          <w:sz w:val="30"/>
          <w:szCs w:val="30"/>
          <w:lang w:bidi="hi-IN"/>
        </w:rPr>
      </w:pPr>
      <w:r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國發</w:t>
      </w:r>
      <w:r w:rsidRPr="0062055F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基金</w:t>
      </w:r>
      <w:r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投資策略調整</w:t>
      </w:r>
      <w:r w:rsidR="00AD37D8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三大構面</w:t>
      </w:r>
      <w:r w:rsidR="00B6178D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內容</w:t>
      </w:r>
      <w:r w:rsidR="00AD37D8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列表</w:t>
      </w:r>
      <w:r w:rsidR="00062DEE">
        <w:rPr>
          <w:rFonts w:ascii="Times New Roman" w:eastAsia="標楷體" w:hAnsi="Times New Roman" w:cs="Times New Roman" w:hint="eastAsia"/>
          <w:spacing w:val="4"/>
          <w:sz w:val="30"/>
          <w:szCs w:val="30"/>
          <w:lang w:bidi="hi-IN"/>
        </w:rPr>
        <w:t>如下：</w:t>
      </w:r>
    </w:p>
    <w:p w:rsidR="00C323D4" w:rsidRDefault="00A8758C" w:rsidP="00C323D4">
      <w:pPr>
        <w:pStyle w:val="a8"/>
        <w:numPr>
          <w:ilvl w:val="0"/>
          <w:numId w:val="3"/>
        </w:numPr>
        <w:spacing w:beforeLines="20" w:before="72" w:afterLines="20" w:after="72" w:line="520" w:lineRule="exact"/>
        <w:ind w:leftChars="0" w:left="709" w:rightChars="-48" w:right="-115" w:hanging="709"/>
        <w:jc w:val="both"/>
        <w:rPr>
          <w:rFonts w:ascii="標楷體" w:eastAsia="標楷體" w:hAnsi="標楷體"/>
          <w:sz w:val="32"/>
          <w:szCs w:val="32"/>
        </w:rPr>
      </w:pPr>
      <w:r w:rsidRPr="00077999">
        <w:rPr>
          <w:rFonts w:ascii="標楷體" w:eastAsia="標楷體" w:hAnsi="標楷體" w:hint="eastAsia"/>
          <w:sz w:val="32"/>
          <w:szCs w:val="32"/>
        </w:rPr>
        <w:t>強化國際創投合作：</w:t>
      </w: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3257"/>
        <w:gridCol w:w="3258"/>
      </w:tblGrid>
      <w:tr w:rsidR="001C01A7" w:rsidRPr="001C01A7" w:rsidTr="001C01A7">
        <w:tc>
          <w:tcPr>
            <w:tcW w:w="1554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策略方向</w:t>
            </w:r>
          </w:p>
        </w:tc>
        <w:tc>
          <w:tcPr>
            <w:tcW w:w="3257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修正前作法</w:t>
            </w:r>
          </w:p>
        </w:tc>
        <w:tc>
          <w:tcPr>
            <w:tcW w:w="3258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積極作法</w:t>
            </w:r>
          </w:p>
        </w:tc>
      </w:tr>
      <w:tr w:rsidR="001C01A7" w:rsidRPr="001C01A7" w:rsidTr="001C01A7">
        <w:tc>
          <w:tcPr>
            <w:tcW w:w="1554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強化國際鏈結</w:t>
            </w:r>
          </w:p>
        </w:tc>
        <w:tc>
          <w:tcPr>
            <w:tcW w:w="3257" w:type="dxa"/>
          </w:tcPr>
          <w:p w:rsidR="001C01A7" w:rsidRPr="001C01A7" w:rsidRDefault="00726658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國發</w:t>
            </w:r>
            <w:r w:rsidR="001C01A7"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基金對個別創業投資事業之投資以其實收資本額或</w:t>
            </w:r>
            <w:proofErr w:type="gramStart"/>
            <w:r w:rsidR="001C01A7"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實際募</w:t>
            </w:r>
            <w:proofErr w:type="gramEnd"/>
            <w:r w:rsidR="001C01A7"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資規模之</w:t>
            </w:r>
            <w:r w:rsidR="001C01A7"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30%</w:t>
            </w:r>
            <w:r w:rsidR="001C01A7"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為原則，但不得超過</w:t>
            </w:r>
            <w:r w:rsidR="000C4C84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新臺幣</w:t>
            </w:r>
            <w:r w:rsidR="001C01A7"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10</w:t>
            </w:r>
            <w:r w:rsidR="001C01A7"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億元</w:t>
            </w:r>
          </w:p>
        </w:tc>
        <w:tc>
          <w:tcPr>
            <w:tcW w:w="3258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theme="minorBidi" w:hint="eastAsia"/>
                <w:kern w:val="24"/>
                <w:sz w:val="30"/>
                <w:szCs w:val="30"/>
              </w:rPr>
              <w:t>創業投資事業如規劃引進國際資金、投資台灣新創企業或協助國內新創企業拓展國際市場，申請國發基金參與投資比率與金額</w:t>
            </w:r>
            <w:proofErr w:type="gramStart"/>
            <w:r w:rsidRPr="001C01A7">
              <w:rPr>
                <w:rFonts w:ascii="標楷體" w:eastAsia="標楷體" w:hAnsi="標楷體" w:cstheme="minorBidi" w:hint="eastAsia"/>
                <w:kern w:val="24"/>
                <w:sz w:val="30"/>
                <w:szCs w:val="30"/>
              </w:rPr>
              <w:t>不受募資</w:t>
            </w:r>
            <w:proofErr w:type="gramEnd"/>
            <w:r w:rsidRPr="001C01A7">
              <w:rPr>
                <w:rFonts w:ascii="標楷體" w:eastAsia="標楷體" w:hAnsi="標楷體" w:cstheme="minorBidi" w:hint="eastAsia"/>
                <w:kern w:val="24"/>
                <w:sz w:val="30"/>
                <w:szCs w:val="30"/>
              </w:rPr>
              <w:t>規模</w:t>
            </w:r>
            <w:r w:rsidRPr="001C01A7">
              <w:rPr>
                <w:rFonts w:ascii="標楷體" w:eastAsia="標楷體" w:hAnsi="標楷體" w:cstheme="minorBidi"/>
                <w:kern w:val="24"/>
                <w:sz w:val="30"/>
                <w:szCs w:val="30"/>
              </w:rPr>
              <w:t>30%</w:t>
            </w:r>
            <w:r w:rsidRPr="001C01A7">
              <w:rPr>
                <w:rFonts w:ascii="標楷體" w:eastAsia="標楷體" w:hAnsi="標楷體" w:cstheme="minorBidi" w:hint="eastAsia"/>
                <w:kern w:val="24"/>
                <w:sz w:val="30"/>
                <w:szCs w:val="30"/>
              </w:rPr>
              <w:t>或新臺幣</w:t>
            </w:r>
            <w:r w:rsidRPr="001C01A7">
              <w:rPr>
                <w:rFonts w:ascii="標楷體" w:eastAsia="標楷體" w:hAnsi="標楷體" w:cstheme="minorBidi"/>
                <w:kern w:val="24"/>
                <w:sz w:val="30"/>
                <w:szCs w:val="30"/>
              </w:rPr>
              <w:t>10</w:t>
            </w:r>
            <w:r w:rsidRPr="001C01A7">
              <w:rPr>
                <w:rFonts w:ascii="標楷體" w:eastAsia="標楷體" w:hAnsi="標楷體" w:cstheme="minorBidi" w:hint="eastAsia"/>
                <w:kern w:val="24"/>
                <w:sz w:val="30"/>
                <w:szCs w:val="30"/>
              </w:rPr>
              <w:t>億元限制</w:t>
            </w:r>
          </w:p>
        </w:tc>
      </w:tr>
      <w:tr w:rsidR="001C01A7" w:rsidRPr="001C01A7" w:rsidTr="001C01A7">
        <w:tc>
          <w:tcPr>
            <w:tcW w:w="1554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color w:val="000000" w:themeColor="text1"/>
                <w:kern w:val="24"/>
                <w:sz w:val="30"/>
                <w:szCs w:val="30"/>
              </w:rPr>
              <w:t>簡化審議流程</w:t>
            </w:r>
          </w:p>
        </w:tc>
        <w:tc>
          <w:tcPr>
            <w:tcW w:w="3257" w:type="dxa"/>
          </w:tcPr>
          <w:p w:rsidR="001C01A7" w:rsidRPr="001C01A7" w:rsidRDefault="000F6247" w:rsidP="00AD37D8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4"/>
                <w:sz w:val="30"/>
                <w:szCs w:val="30"/>
              </w:rPr>
              <w:t>國外</w:t>
            </w:r>
            <w:r w:rsidR="001C01A7" w:rsidRPr="001C01A7">
              <w:rPr>
                <w:rFonts w:ascii="標楷體" w:eastAsia="標楷體" w:hAnsi="標楷體" w:cs="Arial" w:hint="eastAsia"/>
                <w:color w:val="000000" w:themeColor="text1"/>
                <w:kern w:val="24"/>
                <w:sz w:val="30"/>
                <w:szCs w:val="30"/>
              </w:rPr>
              <w:t>創業投資事業申請投資應就英文營業計畫</w:t>
            </w:r>
            <w:proofErr w:type="gramStart"/>
            <w:r w:rsidR="001C01A7" w:rsidRPr="001C01A7">
              <w:rPr>
                <w:rFonts w:ascii="標楷體" w:eastAsia="標楷體" w:hAnsi="標楷體" w:cs="Arial" w:hint="eastAsia"/>
                <w:color w:val="000000" w:themeColor="text1"/>
                <w:kern w:val="24"/>
                <w:sz w:val="30"/>
                <w:szCs w:val="30"/>
              </w:rPr>
              <w:t>書或募資</w:t>
            </w:r>
            <w:proofErr w:type="gramEnd"/>
            <w:r w:rsidR="001C01A7" w:rsidRPr="001C01A7">
              <w:rPr>
                <w:rFonts w:ascii="標楷體" w:eastAsia="標楷體" w:hAnsi="標楷體" w:cs="Arial" w:hint="eastAsia"/>
                <w:color w:val="000000" w:themeColor="text1"/>
                <w:kern w:val="24"/>
                <w:sz w:val="30"/>
                <w:szCs w:val="30"/>
              </w:rPr>
              <w:t>說明書提供中文摘要，並於創業投資審議會中提供中文簡報</w:t>
            </w:r>
          </w:p>
        </w:tc>
        <w:tc>
          <w:tcPr>
            <w:tcW w:w="3258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theme="minorBidi" w:hint="eastAsia"/>
                <w:color w:val="000000" w:themeColor="text1"/>
                <w:kern w:val="24"/>
                <w:sz w:val="30"/>
                <w:szCs w:val="30"/>
              </w:rPr>
              <w:t>創業投</w:t>
            </w:r>
            <w:r w:rsidRPr="001C01A7">
              <w:rPr>
                <w:rFonts w:ascii="標楷體" w:eastAsia="標楷體" w:hAnsi="標楷體" w:cstheme="minorBidi" w:hint="eastAsia"/>
                <w:kern w:val="24"/>
                <w:sz w:val="30"/>
                <w:szCs w:val="30"/>
              </w:rPr>
              <w:t>資事業備妥營業計畫</w:t>
            </w:r>
            <w:proofErr w:type="gramStart"/>
            <w:r w:rsidRPr="001C01A7">
              <w:rPr>
                <w:rFonts w:ascii="標楷體" w:eastAsia="標楷體" w:hAnsi="標楷體" w:cstheme="minorBidi" w:hint="eastAsia"/>
                <w:kern w:val="24"/>
                <w:sz w:val="30"/>
                <w:szCs w:val="30"/>
              </w:rPr>
              <w:t>書或募資</w:t>
            </w:r>
            <w:proofErr w:type="gramEnd"/>
            <w:r w:rsidRPr="001C01A7">
              <w:rPr>
                <w:rFonts w:ascii="標楷體" w:eastAsia="標楷體" w:hAnsi="標楷體" w:cstheme="minorBidi" w:hint="eastAsia"/>
                <w:kern w:val="24"/>
                <w:sz w:val="30"/>
                <w:szCs w:val="30"/>
              </w:rPr>
              <w:t>說明書等相關文件即可提出申請</w:t>
            </w:r>
          </w:p>
        </w:tc>
      </w:tr>
    </w:tbl>
    <w:p w:rsidR="001C01A7" w:rsidRPr="001C01A7" w:rsidRDefault="001C01A7" w:rsidP="001C01A7">
      <w:pPr>
        <w:pStyle w:val="a8"/>
        <w:spacing w:beforeLines="20" w:before="72" w:afterLines="20" w:after="72" w:line="520" w:lineRule="exact"/>
        <w:ind w:leftChars="0" w:left="709" w:rightChars="-48" w:right="-115"/>
        <w:jc w:val="both"/>
        <w:rPr>
          <w:rFonts w:ascii="標楷體" w:eastAsia="標楷體" w:hAnsi="標楷體"/>
          <w:sz w:val="30"/>
          <w:szCs w:val="30"/>
        </w:rPr>
      </w:pPr>
    </w:p>
    <w:p w:rsidR="00C323D4" w:rsidRDefault="00C323D4" w:rsidP="00C323D4">
      <w:pPr>
        <w:pStyle w:val="a8"/>
        <w:numPr>
          <w:ilvl w:val="0"/>
          <w:numId w:val="3"/>
        </w:numPr>
        <w:spacing w:beforeLines="20" w:before="72" w:afterLines="20" w:after="72" w:line="520" w:lineRule="exact"/>
        <w:ind w:leftChars="0" w:left="709" w:rightChars="-48" w:right="-115" w:hanging="709"/>
        <w:jc w:val="both"/>
        <w:rPr>
          <w:rFonts w:ascii="標楷體" w:eastAsia="標楷體" w:hAnsi="標楷體"/>
          <w:sz w:val="32"/>
          <w:szCs w:val="32"/>
        </w:rPr>
      </w:pPr>
      <w:r w:rsidRPr="00C323D4">
        <w:rPr>
          <w:rFonts w:ascii="標楷體" w:eastAsia="標楷體" w:hAnsi="標楷體" w:hint="eastAsia"/>
          <w:sz w:val="32"/>
          <w:szCs w:val="32"/>
        </w:rPr>
        <w:t>加強新創企業投資：</w:t>
      </w:r>
      <w:r w:rsidR="001C01A7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2974"/>
        <w:gridCol w:w="2974"/>
      </w:tblGrid>
      <w:tr w:rsidR="001C01A7" w:rsidTr="001C01A7">
        <w:tc>
          <w:tcPr>
            <w:tcW w:w="2121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策略方向</w:t>
            </w:r>
          </w:p>
        </w:tc>
        <w:tc>
          <w:tcPr>
            <w:tcW w:w="2974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修正前作法</w:t>
            </w:r>
          </w:p>
        </w:tc>
        <w:tc>
          <w:tcPr>
            <w:tcW w:w="2974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積極作法</w:t>
            </w:r>
          </w:p>
        </w:tc>
      </w:tr>
      <w:tr w:rsidR="001C01A7" w:rsidTr="001C01A7">
        <w:tc>
          <w:tcPr>
            <w:tcW w:w="2121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提高投資金額</w:t>
            </w:r>
          </w:p>
        </w:tc>
        <w:tc>
          <w:tcPr>
            <w:tcW w:w="2974" w:type="dxa"/>
          </w:tcPr>
          <w:p w:rsidR="001C01A7" w:rsidRPr="001C01A7" w:rsidRDefault="001C01A7" w:rsidP="000C4C8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 xml:space="preserve">對同一事業投資金額以新臺幣 </w:t>
            </w:r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 xml:space="preserve">500 </w:t>
            </w: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萬元為</w:t>
            </w:r>
            <w:r w:rsidR="000C4C84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上限</w:t>
            </w:r>
          </w:p>
        </w:tc>
        <w:tc>
          <w:tcPr>
            <w:tcW w:w="2974" w:type="dxa"/>
          </w:tcPr>
          <w:p w:rsidR="001C01A7" w:rsidRPr="001C01A7" w:rsidRDefault="00AD37D8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kern w:val="24"/>
                <w:sz w:val="30"/>
                <w:szCs w:val="30"/>
              </w:rPr>
              <w:t>投資金額</w:t>
            </w:r>
            <w:r w:rsidR="000F6247">
              <w:rPr>
                <w:rFonts w:ascii="標楷體" w:eastAsia="標楷體" w:hAnsi="標楷體" w:cs="Times New Roman" w:hint="eastAsia"/>
                <w:kern w:val="24"/>
                <w:sz w:val="30"/>
                <w:szCs w:val="30"/>
              </w:rPr>
              <w:t>上限</w:t>
            </w:r>
            <w:r w:rsidR="000C4C84">
              <w:rPr>
                <w:rFonts w:ascii="標楷體" w:eastAsia="標楷體" w:hAnsi="標楷體" w:cs="Times New Roman" w:hint="eastAsia"/>
                <w:kern w:val="24"/>
                <w:sz w:val="30"/>
                <w:szCs w:val="30"/>
              </w:rPr>
              <w:t>調整為</w:t>
            </w:r>
            <w:r w:rsidR="001C01A7"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1,000 萬元</w:t>
            </w:r>
          </w:p>
        </w:tc>
      </w:tr>
      <w:tr w:rsidR="001C01A7" w:rsidTr="001C01A7">
        <w:tc>
          <w:tcPr>
            <w:tcW w:w="2121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增加投資誘因</w:t>
            </w:r>
          </w:p>
        </w:tc>
        <w:tc>
          <w:tcPr>
            <w:tcW w:w="2974" w:type="dxa"/>
          </w:tcPr>
          <w:p w:rsidR="001C01A7" w:rsidRPr="001C01A7" w:rsidRDefault="001C01A7" w:rsidP="000C4C84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 xml:space="preserve">天使投資人及新創事業經營團隊得於一定期間內，以國發基金帳列投資餘額 </w:t>
            </w:r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 xml:space="preserve">3 </w:t>
            </w:r>
            <w:proofErr w:type="gramStart"/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倍</w:t>
            </w:r>
            <w:proofErr w:type="gramEnd"/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優先購買國發基金共同投資事業之股份</w:t>
            </w:r>
          </w:p>
        </w:tc>
        <w:tc>
          <w:tcPr>
            <w:tcW w:w="2974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將</w:t>
            </w:r>
            <w:r w:rsidR="00AD37D8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買回價格由</w:t>
            </w: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 xml:space="preserve"> </w:t>
            </w:r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 xml:space="preserve">3 </w:t>
            </w:r>
            <w:proofErr w:type="gramStart"/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倍</w:t>
            </w:r>
            <w:proofErr w:type="gramEnd"/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 xml:space="preserve">調整為 </w:t>
            </w:r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 xml:space="preserve">1.5 </w:t>
            </w:r>
            <w:proofErr w:type="gramStart"/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倍</w:t>
            </w:r>
            <w:proofErr w:type="gramEnd"/>
          </w:p>
        </w:tc>
      </w:tr>
      <w:tr w:rsidR="001C01A7" w:rsidTr="001C01A7">
        <w:tc>
          <w:tcPr>
            <w:tcW w:w="2121" w:type="dxa"/>
          </w:tcPr>
          <w:p w:rsidR="001C01A7" w:rsidRPr="001C01A7" w:rsidRDefault="001C01A7" w:rsidP="000F624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調整審議</w:t>
            </w:r>
            <w:r w:rsidR="000F6247">
              <w:rPr>
                <w:rFonts w:ascii="標楷體" w:eastAsia="標楷體" w:hAnsi="標楷體" w:cs="Times New Roman" w:hint="eastAsia"/>
                <w:kern w:val="24"/>
                <w:sz w:val="30"/>
                <w:szCs w:val="30"/>
              </w:rPr>
              <w:t>通過門檻</w:t>
            </w:r>
          </w:p>
        </w:tc>
        <w:tc>
          <w:tcPr>
            <w:tcW w:w="2974" w:type="dxa"/>
          </w:tcPr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ind w:left="288" w:hanging="288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1.</w:t>
            </w: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申請案經出席委員三分之二以上同意始參與投資</w:t>
            </w:r>
          </w:p>
          <w:p w:rsidR="001C01A7" w:rsidRPr="001C01A7" w:rsidRDefault="001C01A7" w:rsidP="001C01A7">
            <w:pPr>
              <w:pStyle w:val="Web"/>
              <w:spacing w:before="0" w:beforeAutospacing="0" w:after="0" w:afterAutospacing="0" w:line="400" w:lineRule="exact"/>
              <w:ind w:left="288" w:hanging="288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2.天使投資人與新創事業具利害關係者，應經</w:t>
            </w: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全數出席委員同意</w:t>
            </w:r>
          </w:p>
        </w:tc>
        <w:tc>
          <w:tcPr>
            <w:tcW w:w="2974" w:type="dxa"/>
          </w:tcPr>
          <w:p w:rsidR="00AD37D8" w:rsidRDefault="001C01A7" w:rsidP="00AD37D8">
            <w:pPr>
              <w:pStyle w:val="Web"/>
              <w:spacing w:before="0" w:beforeAutospacing="0" w:after="0" w:afterAutospacing="0" w:line="400" w:lineRule="exact"/>
              <w:ind w:leftChars="-104" w:left="35" w:hangingChars="95" w:hanging="285"/>
              <w:divId w:val="1129513696"/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kern w:val="24"/>
                <w:sz w:val="30"/>
                <w:szCs w:val="30"/>
              </w:rPr>
              <w:t>1.</w:t>
            </w:r>
            <w:r w:rsidR="00AD37D8">
              <w:rPr>
                <w:rFonts w:ascii="標楷體" w:eastAsia="標楷體" w:hAnsi="標楷體" w:cs="Times New Roman" w:hint="eastAsia"/>
                <w:kern w:val="24"/>
                <w:sz w:val="30"/>
                <w:szCs w:val="30"/>
              </w:rPr>
              <w:t>一般案件通過門檻</w:t>
            </w:r>
            <w:r w:rsidRPr="001C01A7">
              <w:rPr>
                <w:rFonts w:ascii="標楷體" w:eastAsia="標楷體" w:hAnsi="標楷體" w:cs="Times New Roman" w:hint="eastAsia"/>
                <w:kern w:val="24"/>
                <w:sz w:val="30"/>
                <w:szCs w:val="30"/>
              </w:rPr>
              <w:t>調整為出席委員過半數同意</w:t>
            </w:r>
          </w:p>
          <w:p w:rsidR="001C01A7" w:rsidRPr="001C01A7" w:rsidRDefault="00AD37D8" w:rsidP="00AD37D8">
            <w:pPr>
              <w:pStyle w:val="Web"/>
              <w:spacing w:before="0" w:beforeAutospacing="0" w:after="0" w:afterAutospacing="0" w:line="400" w:lineRule="exact"/>
              <w:ind w:leftChars="-104" w:left="35" w:hangingChars="95" w:hanging="285"/>
              <w:divId w:val="1129513696"/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kern w:val="24"/>
                <w:sz w:val="30"/>
                <w:szCs w:val="30"/>
              </w:rPr>
              <w:t>2.利害關係案件</w:t>
            </w:r>
            <w:r w:rsidR="001C01A7" w:rsidRPr="001C01A7">
              <w:rPr>
                <w:rFonts w:ascii="標楷體" w:eastAsia="標楷體" w:hAnsi="標楷體" w:cs="Times New Roman"/>
                <w:kern w:val="24"/>
                <w:sz w:val="30"/>
                <w:szCs w:val="30"/>
              </w:rPr>
              <w:t>調整為出席委員</w:t>
            </w:r>
            <w:r w:rsidR="001C01A7" w:rsidRPr="001C01A7">
              <w:rPr>
                <w:rFonts w:ascii="標楷體" w:eastAsia="標楷體" w:hAnsi="標楷體" w:cs="Times New Roman" w:hint="eastAsia"/>
                <w:kern w:val="24"/>
                <w:sz w:val="30"/>
                <w:szCs w:val="30"/>
              </w:rPr>
              <w:t>三分之二以上同意</w:t>
            </w:r>
          </w:p>
        </w:tc>
      </w:tr>
    </w:tbl>
    <w:p w:rsidR="001C01A7" w:rsidRDefault="001C01A7" w:rsidP="001C01A7">
      <w:pPr>
        <w:pStyle w:val="a8"/>
        <w:spacing w:beforeLines="20" w:before="72" w:afterLines="20" w:after="72" w:line="520" w:lineRule="exact"/>
        <w:ind w:leftChars="0" w:left="709" w:rightChars="-48" w:right="-115"/>
        <w:jc w:val="both"/>
        <w:rPr>
          <w:rFonts w:ascii="標楷體" w:eastAsia="標楷體" w:hAnsi="標楷體"/>
          <w:sz w:val="32"/>
          <w:szCs w:val="32"/>
        </w:rPr>
      </w:pPr>
    </w:p>
    <w:p w:rsidR="00C323D4" w:rsidRDefault="00C323D4" w:rsidP="00C323D4">
      <w:pPr>
        <w:pStyle w:val="a8"/>
        <w:numPr>
          <w:ilvl w:val="0"/>
          <w:numId w:val="3"/>
        </w:numPr>
        <w:spacing w:beforeLines="20" w:before="72" w:afterLines="20" w:after="72" w:line="520" w:lineRule="exact"/>
        <w:ind w:leftChars="0" w:left="709" w:rightChars="-48" w:right="-115" w:hanging="709"/>
        <w:jc w:val="both"/>
        <w:rPr>
          <w:rFonts w:ascii="標楷體" w:eastAsia="標楷體" w:hAnsi="標楷體"/>
          <w:sz w:val="32"/>
          <w:szCs w:val="32"/>
        </w:rPr>
      </w:pPr>
      <w:r w:rsidRPr="00C323D4">
        <w:rPr>
          <w:rFonts w:ascii="標楷體" w:eastAsia="標楷體" w:hAnsi="標楷體" w:hint="eastAsia"/>
          <w:sz w:val="32"/>
          <w:szCs w:val="32"/>
        </w:rPr>
        <w:t>主動積極拓展案源：</w:t>
      </w:r>
      <w:r w:rsidR="001C01A7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5948"/>
      </w:tblGrid>
      <w:tr w:rsidR="000F6247" w:rsidTr="000F6247">
        <w:tc>
          <w:tcPr>
            <w:tcW w:w="2121" w:type="dxa"/>
          </w:tcPr>
          <w:p w:rsidR="000F6247" w:rsidRPr="001C01A7" w:rsidRDefault="000F6247" w:rsidP="001C01A7">
            <w:pPr>
              <w:pStyle w:val="Web"/>
              <w:spacing w:before="0" w:beforeAutospacing="0" w:after="0" w:afterAutospacing="0" w:line="540" w:lineRule="exact"/>
              <w:jc w:val="center"/>
              <w:rPr>
                <w:rFonts w:ascii="標楷體" w:eastAsia="標楷體" w:hAnsi="標楷體" w:cs="Arial"/>
                <w:kern w:val="24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策略方向</w:t>
            </w:r>
          </w:p>
        </w:tc>
        <w:tc>
          <w:tcPr>
            <w:tcW w:w="5948" w:type="dxa"/>
          </w:tcPr>
          <w:p w:rsidR="000F6247" w:rsidRPr="001C01A7" w:rsidRDefault="000F6247" w:rsidP="001C01A7">
            <w:pPr>
              <w:pStyle w:val="Web"/>
              <w:spacing w:before="0" w:beforeAutospacing="0" w:after="0" w:afterAutospacing="0" w:line="540" w:lineRule="exact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積極作法</w:t>
            </w:r>
          </w:p>
        </w:tc>
      </w:tr>
      <w:tr w:rsidR="000F6247" w:rsidTr="000F6247">
        <w:tc>
          <w:tcPr>
            <w:tcW w:w="2121" w:type="dxa"/>
          </w:tcPr>
          <w:p w:rsidR="000F6247" w:rsidRPr="001C01A7" w:rsidRDefault="000F6247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kern w:val="24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主動發掘案源</w:t>
            </w:r>
          </w:p>
        </w:tc>
        <w:tc>
          <w:tcPr>
            <w:tcW w:w="5948" w:type="dxa"/>
            <w:vAlign w:val="center"/>
          </w:tcPr>
          <w:p w:rsidR="000F6247" w:rsidRPr="001C01A7" w:rsidRDefault="000F6247" w:rsidP="000F624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kern w:val="24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主動拜訪新創業者、得獎企業、國內外創業投資事業、天使投資人、公協會、私募股權基金等，並與產業主管機關、地方政府及地方創生產業密切合作</w:t>
            </w:r>
            <w:r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，並</w:t>
            </w: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建立新創事業案源搜尋或發掘機制，以發掘優質新創團隊並精選投資案源</w:t>
            </w:r>
          </w:p>
        </w:tc>
      </w:tr>
      <w:tr w:rsidR="000F6247" w:rsidTr="000F6247">
        <w:tc>
          <w:tcPr>
            <w:tcW w:w="2121" w:type="dxa"/>
          </w:tcPr>
          <w:p w:rsidR="000F6247" w:rsidRPr="001C01A7" w:rsidRDefault="000F6247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kern w:val="24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成立專業輔導團</w:t>
            </w:r>
          </w:p>
        </w:tc>
        <w:tc>
          <w:tcPr>
            <w:tcW w:w="5948" w:type="dxa"/>
            <w:vAlign w:val="center"/>
          </w:tcPr>
          <w:p w:rsidR="000F6247" w:rsidRPr="001C01A7" w:rsidRDefault="000F6247" w:rsidP="001C01A7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kern w:val="24"/>
                <w:sz w:val="30"/>
                <w:szCs w:val="30"/>
              </w:rPr>
            </w:pP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t>邀請具創業或投資經驗人士成立專業輔導團，以借助民間專業，協助國發基金搜尋投資案源，並提供被投資新創事業經營輔導，</w:t>
            </w:r>
            <w:r w:rsidRPr="001C01A7">
              <w:rPr>
                <w:rFonts w:ascii="標楷體" w:eastAsia="標楷體" w:hAnsi="標楷體" w:cs="Arial" w:hint="eastAsia"/>
                <w:kern w:val="24"/>
                <w:sz w:val="30"/>
                <w:szCs w:val="30"/>
              </w:rPr>
              <w:lastRenderedPageBreak/>
              <w:t>以增強國發基金投資能量</w:t>
            </w:r>
          </w:p>
        </w:tc>
      </w:tr>
    </w:tbl>
    <w:p w:rsidR="00C323D4" w:rsidRDefault="00C323D4" w:rsidP="00C323D4">
      <w:pPr>
        <w:pStyle w:val="a8"/>
        <w:spacing w:beforeLines="20" w:before="72" w:afterLines="20" w:after="72" w:line="520" w:lineRule="exact"/>
        <w:ind w:leftChars="0" w:left="709" w:rightChars="-48" w:right="-115"/>
        <w:jc w:val="both"/>
        <w:rPr>
          <w:rFonts w:ascii="標楷體" w:eastAsia="標楷體" w:hAnsi="標楷體"/>
          <w:sz w:val="32"/>
          <w:szCs w:val="32"/>
        </w:rPr>
      </w:pPr>
    </w:p>
    <w:p w:rsidR="00006699" w:rsidRPr="00C323D4" w:rsidRDefault="00006699" w:rsidP="00C323D4">
      <w:pPr>
        <w:pStyle w:val="a8"/>
        <w:spacing w:beforeLines="20" w:before="72" w:afterLines="20" w:after="72" w:line="520" w:lineRule="exact"/>
        <w:ind w:leftChars="0" w:left="142" w:rightChars="-48" w:right="-115" w:firstLineChars="184" w:firstLine="567"/>
        <w:jc w:val="both"/>
        <w:rPr>
          <w:rFonts w:ascii="標楷體" w:eastAsia="標楷體" w:hAnsi="標楷體"/>
          <w:sz w:val="32"/>
          <w:szCs w:val="32"/>
        </w:rPr>
      </w:pPr>
      <w:r w:rsidRPr="00C323D4">
        <w:rPr>
          <w:rFonts w:eastAsia="標楷體" w:hint="eastAsia"/>
          <w:spacing w:val="4"/>
          <w:sz w:val="30"/>
          <w:szCs w:val="30"/>
          <w:lang w:bidi="hi-IN"/>
        </w:rPr>
        <w:t>國發基金未來將採取前揭作法加強</w:t>
      </w:r>
      <w:r w:rsidR="00836B5D" w:rsidRPr="00C323D4">
        <w:rPr>
          <w:rFonts w:eastAsia="標楷體" w:hint="eastAsia"/>
          <w:spacing w:val="4"/>
          <w:sz w:val="30"/>
          <w:szCs w:val="30"/>
          <w:lang w:bidi="hi-IN"/>
        </w:rPr>
        <w:t>對新創事業</w:t>
      </w:r>
      <w:r w:rsidRPr="00C323D4">
        <w:rPr>
          <w:rFonts w:eastAsia="標楷體" w:hint="eastAsia"/>
          <w:spacing w:val="4"/>
          <w:sz w:val="30"/>
          <w:szCs w:val="30"/>
          <w:lang w:bidi="hi-IN"/>
        </w:rPr>
        <w:t>投資</w:t>
      </w:r>
      <w:r w:rsidR="00AD37D8">
        <w:rPr>
          <w:rFonts w:eastAsia="標楷體" w:hint="eastAsia"/>
          <w:spacing w:val="4"/>
          <w:sz w:val="30"/>
          <w:szCs w:val="30"/>
          <w:lang w:bidi="hi-IN"/>
        </w:rPr>
        <w:t>，</w:t>
      </w:r>
      <w:r w:rsidR="00AD5245" w:rsidRPr="00C323D4">
        <w:rPr>
          <w:rFonts w:ascii="標楷體" w:eastAsia="標楷體" w:hAnsi="標楷體" w:hint="eastAsia"/>
          <w:sz w:val="32"/>
          <w:szCs w:val="32"/>
        </w:rPr>
        <w:t>另配合政府產業</w:t>
      </w:r>
      <w:r w:rsidR="00AB52CA" w:rsidRPr="00367CA9">
        <w:rPr>
          <w:rFonts w:ascii="標楷體" w:eastAsia="標楷體" w:hAnsi="標楷體" w:hint="eastAsia"/>
          <w:sz w:val="32"/>
          <w:szCs w:val="32"/>
        </w:rPr>
        <w:t>創新</w:t>
      </w:r>
      <w:r w:rsidR="00AD5245" w:rsidRPr="00C323D4">
        <w:rPr>
          <w:rFonts w:ascii="標楷體" w:eastAsia="標楷體" w:hAnsi="標楷體" w:hint="eastAsia"/>
          <w:sz w:val="32"/>
          <w:szCs w:val="32"/>
        </w:rPr>
        <w:t>政</w:t>
      </w:r>
      <w:bookmarkStart w:id="0" w:name="_GoBack"/>
      <w:bookmarkEnd w:id="0"/>
      <w:r w:rsidR="00AD5245" w:rsidRPr="00C323D4">
        <w:rPr>
          <w:rFonts w:ascii="標楷體" w:eastAsia="標楷體" w:hAnsi="標楷體" w:hint="eastAsia"/>
          <w:sz w:val="32"/>
          <w:szCs w:val="32"/>
        </w:rPr>
        <w:t>策，</w:t>
      </w:r>
      <w:r w:rsidRPr="00C323D4">
        <w:rPr>
          <w:rFonts w:eastAsia="標楷體" w:hint="eastAsia"/>
          <w:spacing w:val="4"/>
          <w:sz w:val="30"/>
          <w:szCs w:val="30"/>
          <w:lang w:bidi="hi-IN"/>
        </w:rPr>
        <w:t>積極推動對人工智慧</w:t>
      </w:r>
      <w:r w:rsidRPr="00C323D4">
        <w:rPr>
          <w:rFonts w:eastAsia="標楷體" w:hint="eastAsia"/>
          <w:spacing w:val="4"/>
          <w:sz w:val="30"/>
          <w:szCs w:val="30"/>
          <w:lang w:bidi="hi-IN"/>
        </w:rPr>
        <w:t>(AI)</w:t>
      </w:r>
      <w:r w:rsidRPr="00C323D4">
        <w:rPr>
          <w:rFonts w:eastAsia="標楷體" w:hint="eastAsia"/>
          <w:spacing w:val="4"/>
          <w:sz w:val="30"/>
          <w:szCs w:val="30"/>
          <w:lang w:bidi="hi-IN"/>
        </w:rPr>
        <w:t>、大數據</w:t>
      </w:r>
      <w:r w:rsidRPr="00C323D4">
        <w:rPr>
          <w:rFonts w:eastAsia="標楷體" w:hint="eastAsia"/>
          <w:spacing w:val="4"/>
          <w:sz w:val="30"/>
          <w:szCs w:val="30"/>
          <w:lang w:bidi="hi-IN"/>
        </w:rPr>
        <w:t>(Big Data)</w:t>
      </w:r>
      <w:r w:rsidRPr="00C323D4">
        <w:rPr>
          <w:rFonts w:eastAsia="標楷體" w:hint="eastAsia"/>
          <w:spacing w:val="4"/>
          <w:sz w:val="30"/>
          <w:szCs w:val="30"/>
          <w:lang w:bidi="hi-IN"/>
        </w:rPr>
        <w:t>及生技醫療等產業之投資，以優化臺灣新創事業投資環境。</w:t>
      </w:r>
    </w:p>
    <w:sectPr w:rsidR="00006699" w:rsidRPr="00C323D4" w:rsidSect="00AD37D8">
      <w:pgSz w:w="11906" w:h="16838"/>
      <w:pgMar w:top="1418" w:right="1558" w:bottom="1702" w:left="15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57" w:rsidRDefault="009F2957" w:rsidP="00C369E1">
      <w:r>
        <w:separator/>
      </w:r>
    </w:p>
  </w:endnote>
  <w:endnote w:type="continuationSeparator" w:id="0">
    <w:p w:rsidR="009F2957" w:rsidRDefault="009F2957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57" w:rsidRDefault="009F2957" w:rsidP="00C369E1">
      <w:r>
        <w:separator/>
      </w:r>
    </w:p>
  </w:footnote>
  <w:footnote w:type="continuationSeparator" w:id="0">
    <w:p w:rsidR="009F2957" w:rsidRDefault="009F2957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E0E"/>
    <w:multiLevelType w:val="hybridMultilevel"/>
    <w:tmpl w:val="669CDD64"/>
    <w:lvl w:ilvl="0" w:tplc="04090015">
      <w:start w:val="1"/>
      <w:numFmt w:val="taiwaneseCountingThousand"/>
      <w:lvlText w:val="%1、"/>
      <w:lvlJc w:val="left"/>
      <w:pPr>
        <w:ind w:left="11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1">
    <w:nsid w:val="3E47740D"/>
    <w:multiLevelType w:val="hybridMultilevel"/>
    <w:tmpl w:val="C38C4604"/>
    <w:lvl w:ilvl="0" w:tplc="DEF63FB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E58CAE6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  <w:lang w:eastAsia="zh-TW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545A534E"/>
    <w:multiLevelType w:val="hybridMultilevel"/>
    <w:tmpl w:val="19C4D782"/>
    <w:lvl w:ilvl="0" w:tplc="5602F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C4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1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C2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8C1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1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22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28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B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6699"/>
    <w:rsid w:val="00011AC4"/>
    <w:rsid w:val="0004078B"/>
    <w:rsid w:val="0004678B"/>
    <w:rsid w:val="00050548"/>
    <w:rsid w:val="00062DEE"/>
    <w:rsid w:val="000778AF"/>
    <w:rsid w:val="00077999"/>
    <w:rsid w:val="000839E1"/>
    <w:rsid w:val="000A38D3"/>
    <w:rsid w:val="000A47FD"/>
    <w:rsid w:val="000A5460"/>
    <w:rsid w:val="000C4C84"/>
    <w:rsid w:val="000C73B6"/>
    <w:rsid w:val="000E3F14"/>
    <w:rsid w:val="000E5AF3"/>
    <w:rsid w:val="000F6247"/>
    <w:rsid w:val="000F7BFE"/>
    <w:rsid w:val="00120E6F"/>
    <w:rsid w:val="001330FA"/>
    <w:rsid w:val="001656F1"/>
    <w:rsid w:val="001674B4"/>
    <w:rsid w:val="00172DFC"/>
    <w:rsid w:val="0017696F"/>
    <w:rsid w:val="00191978"/>
    <w:rsid w:val="00196E6C"/>
    <w:rsid w:val="001A58F9"/>
    <w:rsid w:val="001B05C7"/>
    <w:rsid w:val="001B1396"/>
    <w:rsid w:val="001C01A7"/>
    <w:rsid w:val="001C3259"/>
    <w:rsid w:val="001D1D2D"/>
    <w:rsid w:val="001E2FA4"/>
    <w:rsid w:val="0021319F"/>
    <w:rsid w:val="00214758"/>
    <w:rsid w:val="00216477"/>
    <w:rsid w:val="002268C7"/>
    <w:rsid w:val="0023200F"/>
    <w:rsid w:val="00260640"/>
    <w:rsid w:val="00277A4A"/>
    <w:rsid w:val="002D496C"/>
    <w:rsid w:val="002D546B"/>
    <w:rsid w:val="00320F89"/>
    <w:rsid w:val="00325DD4"/>
    <w:rsid w:val="00332832"/>
    <w:rsid w:val="003374F2"/>
    <w:rsid w:val="00340EED"/>
    <w:rsid w:val="00367B09"/>
    <w:rsid w:val="00367CA9"/>
    <w:rsid w:val="0037571A"/>
    <w:rsid w:val="003819EB"/>
    <w:rsid w:val="003B297C"/>
    <w:rsid w:val="003D6688"/>
    <w:rsid w:val="003E1794"/>
    <w:rsid w:val="0042178C"/>
    <w:rsid w:val="00425DC5"/>
    <w:rsid w:val="00433799"/>
    <w:rsid w:val="00441EAA"/>
    <w:rsid w:val="004531DD"/>
    <w:rsid w:val="00462119"/>
    <w:rsid w:val="004774CB"/>
    <w:rsid w:val="004842B2"/>
    <w:rsid w:val="00491D6B"/>
    <w:rsid w:val="004927A9"/>
    <w:rsid w:val="00496656"/>
    <w:rsid w:val="004A4A30"/>
    <w:rsid w:val="004A6EB7"/>
    <w:rsid w:val="004B4B60"/>
    <w:rsid w:val="004B6F88"/>
    <w:rsid w:val="004D1A1E"/>
    <w:rsid w:val="004D28BC"/>
    <w:rsid w:val="004E345D"/>
    <w:rsid w:val="005270AA"/>
    <w:rsid w:val="00562B41"/>
    <w:rsid w:val="005904D8"/>
    <w:rsid w:val="005A676A"/>
    <w:rsid w:val="005B61E8"/>
    <w:rsid w:val="005C0E4F"/>
    <w:rsid w:val="005F4FC0"/>
    <w:rsid w:val="00603AF7"/>
    <w:rsid w:val="00605723"/>
    <w:rsid w:val="00605DC2"/>
    <w:rsid w:val="00605E74"/>
    <w:rsid w:val="0061054F"/>
    <w:rsid w:val="006126F9"/>
    <w:rsid w:val="006159B8"/>
    <w:rsid w:val="0062055F"/>
    <w:rsid w:val="00621DD5"/>
    <w:rsid w:val="00634D65"/>
    <w:rsid w:val="00636B77"/>
    <w:rsid w:val="006433C5"/>
    <w:rsid w:val="00644405"/>
    <w:rsid w:val="006657CE"/>
    <w:rsid w:val="00666B39"/>
    <w:rsid w:val="00675444"/>
    <w:rsid w:val="00682B27"/>
    <w:rsid w:val="00687FD1"/>
    <w:rsid w:val="00695F94"/>
    <w:rsid w:val="006971A0"/>
    <w:rsid w:val="006C22FA"/>
    <w:rsid w:val="006E0697"/>
    <w:rsid w:val="006E2A46"/>
    <w:rsid w:val="006E7368"/>
    <w:rsid w:val="006F0477"/>
    <w:rsid w:val="006F1F80"/>
    <w:rsid w:val="00700417"/>
    <w:rsid w:val="0070665A"/>
    <w:rsid w:val="00726658"/>
    <w:rsid w:val="00733184"/>
    <w:rsid w:val="00741661"/>
    <w:rsid w:val="00741C6B"/>
    <w:rsid w:val="00744FAB"/>
    <w:rsid w:val="0075113D"/>
    <w:rsid w:val="007636F4"/>
    <w:rsid w:val="00763BD0"/>
    <w:rsid w:val="0077152F"/>
    <w:rsid w:val="007A68DD"/>
    <w:rsid w:val="007B3CCA"/>
    <w:rsid w:val="007C1866"/>
    <w:rsid w:val="007D3146"/>
    <w:rsid w:val="00810777"/>
    <w:rsid w:val="00836B5D"/>
    <w:rsid w:val="008413B3"/>
    <w:rsid w:val="00853324"/>
    <w:rsid w:val="00855EDF"/>
    <w:rsid w:val="0087437A"/>
    <w:rsid w:val="00875B9C"/>
    <w:rsid w:val="008D42D2"/>
    <w:rsid w:val="008D5BC8"/>
    <w:rsid w:val="008E2FB9"/>
    <w:rsid w:val="008F67C4"/>
    <w:rsid w:val="009009D1"/>
    <w:rsid w:val="0090216E"/>
    <w:rsid w:val="009140A9"/>
    <w:rsid w:val="009521B3"/>
    <w:rsid w:val="0098387B"/>
    <w:rsid w:val="00986E05"/>
    <w:rsid w:val="00992C58"/>
    <w:rsid w:val="009A1A38"/>
    <w:rsid w:val="009A7567"/>
    <w:rsid w:val="009B14F0"/>
    <w:rsid w:val="009C5550"/>
    <w:rsid w:val="009F2957"/>
    <w:rsid w:val="009F395A"/>
    <w:rsid w:val="00A044A1"/>
    <w:rsid w:val="00A11FE5"/>
    <w:rsid w:val="00A400A7"/>
    <w:rsid w:val="00A60F50"/>
    <w:rsid w:val="00A63D78"/>
    <w:rsid w:val="00A8758C"/>
    <w:rsid w:val="00A90765"/>
    <w:rsid w:val="00A90D4B"/>
    <w:rsid w:val="00A91B2A"/>
    <w:rsid w:val="00AB08A3"/>
    <w:rsid w:val="00AB52CA"/>
    <w:rsid w:val="00AC396B"/>
    <w:rsid w:val="00AC40B5"/>
    <w:rsid w:val="00AD37D8"/>
    <w:rsid w:val="00AD5245"/>
    <w:rsid w:val="00AE0EEF"/>
    <w:rsid w:val="00AE46D8"/>
    <w:rsid w:val="00B156FE"/>
    <w:rsid w:val="00B23A2B"/>
    <w:rsid w:val="00B53F42"/>
    <w:rsid w:val="00B54C78"/>
    <w:rsid w:val="00B6178D"/>
    <w:rsid w:val="00B8235B"/>
    <w:rsid w:val="00B8556B"/>
    <w:rsid w:val="00BB1A07"/>
    <w:rsid w:val="00BB516D"/>
    <w:rsid w:val="00BC5E8C"/>
    <w:rsid w:val="00BD25E3"/>
    <w:rsid w:val="00BE2192"/>
    <w:rsid w:val="00C277E5"/>
    <w:rsid w:val="00C323D4"/>
    <w:rsid w:val="00C369E1"/>
    <w:rsid w:val="00C5221E"/>
    <w:rsid w:val="00C74E8C"/>
    <w:rsid w:val="00C80B6D"/>
    <w:rsid w:val="00CA20F1"/>
    <w:rsid w:val="00CB573F"/>
    <w:rsid w:val="00CF293F"/>
    <w:rsid w:val="00CF36C6"/>
    <w:rsid w:val="00D02143"/>
    <w:rsid w:val="00D028A3"/>
    <w:rsid w:val="00D03D0A"/>
    <w:rsid w:val="00D125F6"/>
    <w:rsid w:val="00D21BFA"/>
    <w:rsid w:val="00D3412D"/>
    <w:rsid w:val="00D37C8E"/>
    <w:rsid w:val="00D417F4"/>
    <w:rsid w:val="00D51D7E"/>
    <w:rsid w:val="00D613AC"/>
    <w:rsid w:val="00D750E1"/>
    <w:rsid w:val="00D7510C"/>
    <w:rsid w:val="00D7775E"/>
    <w:rsid w:val="00DB3ECE"/>
    <w:rsid w:val="00DD2643"/>
    <w:rsid w:val="00DE2A37"/>
    <w:rsid w:val="00DE3E8E"/>
    <w:rsid w:val="00DE4520"/>
    <w:rsid w:val="00E2164E"/>
    <w:rsid w:val="00E34751"/>
    <w:rsid w:val="00E60320"/>
    <w:rsid w:val="00E8474B"/>
    <w:rsid w:val="00EA5B96"/>
    <w:rsid w:val="00EB07EF"/>
    <w:rsid w:val="00EE69AB"/>
    <w:rsid w:val="00EF131C"/>
    <w:rsid w:val="00EF7E41"/>
    <w:rsid w:val="00F025D2"/>
    <w:rsid w:val="00F129B4"/>
    <w:rsid w:val="00F21ED5"/>
    <w:rsid w:val="00F24430"/>
    <w:rsid w:val="00F27054"/>
    <w:rsid w:val="00F30CAF"/>
    <w:rsid w:val="00F34F4A"/>
    <w:rsid w:val="00F4733A"/>
    <w:rsid w:val="00FA30CC"/>
    <w:rsid w:val="00FA7B8B"/>
    <w:rsid w:val="00FB7BA0"/>
    <w:rsid w:val="00FD31E1"/>
    <w:rsid w:val="00FD3E58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customStyle="1" w:styleId="af">
    <w:name w:val="字元 字元"/>
    <w:basedOn w:val="a"/>
    <w:rsid w:val="0070665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f0">
    <w:name w:val="Table Grid"/>
    <w:basedOn w:val="a1"/>
    <w:rsid w:val="007066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customStyle="1" w:styleId="af">
    <w:name w:val="字元 字元"/>
    <w:basedOn w:val="a"/>
    <w:rsid w:val="0070665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f0">
    <w:name w:val="Table Grid"/>
    <w:basedOn w:val="a1"/>
    <w:rsid w:val="007066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平安</cp:lastModifiedBy>
  <cp:revision>5</cp:revision>
  <cp:lastPrinted>2018-02-08T02:52:00Z</cp:lastPrinted>
  <dcterms:created xsi:type="dcterms:W3CDTF">2018-02-08T02:51:00Z</dcterms:created>
  <dcterms:modified xsi:type="dcterms:W3CDTF">2018-02-08T04:59:00Z</dcterms:modified>
</cp:coreProperties>
</file>