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91" w:rsidRDefault="00713C91" w:rsidP="001E674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689C104B" wp14:editId="4629FADE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C91" w:rsidRDefault="00713C91" w:rsidP="001E6743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117CFE" w:rsidRDefault="00117CFE" w:rsidP="001E6743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</w:p>
    <w:p w:rsidR="00713C91" w:rsidRPr="00AD17CF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 w:rsidR="00E46654">
        <w:rPr>
          <w:rFonts w:ascii="標楷體" w:eastAsia="標楷體" w:hAnsi="標楷體" w:hint="eastAsia"/>
          <w:szCs w:val="24"/>
        </w:rPr>
        <w:t>106.10.31</w:t>
      </w:r>
    </w:p>
    <w:p w:rsidR="00713C91" w:rsidRPr="00AD17CF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F8665E">
        <w:rPr>
          <w:rFonts w:ascii="標楷體" w:eastAsia="標楷體" w:hAnsi="標楷體" w:hint="eastAsia"/>
          <w:szCs w:val="24"/>
        </w:rPr>
        <w:t>林至美</w:t>
      </w:r>
      <w:r w:rsidRPr="00AD17CF">
        <w:rPr>
          <w:rFonts w:ascii="標楷體" w:eastAsia="標楷體" w:hAnsi="標楷體" w:hint="eastAsia"/>
          <w:szCs w:val="24"/>
        </w:rPr>
        <w:t>、</w:t>
      </w:r>
      <w:r w:rsidR="004C4147">
        <w:rPr>
          <w:rFonts w:ascii="標楷體" w:eastAsia="標楷體" w:hAnsi="標楷體" w:hint="eastAsia"/>
          <w:szCs w:val="24"/>
        </w:rPr>
        <w:t>鄭佳菁</w:t>
      </w:r>
    </w:p>
    <w:p w:rsidR="00713C91" w:rsidRPr="00AD17CF" w:rsidRDefault="00713C91" w:rsidP="008D015B">
      <w:pPr>
        <w:ind w:leftChars="300" w:left="720"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聯絡電話：2316-</w:t>
      </w:r>
      <w:r w:rsidR="00230E31">
        <w:rPr>
          <w:rFonts w:ascii="標楷體" w:eastAsia="標楷體" w:hAnsi="標楷體" w:hint="eastAsia"/>
          <w:szCs w:val="24"/>
        </w:rPr>
        <w:t>537</w:t>
      </w:r>
      <w:r w:rsidR="00F8665E">
        <w:rPr>
          <w:rFonts w:ascii="標楷體" w:eastAsia="標楷體" w:hAnsi="標楷體" w:hint="eastAsia"/>
          <w:szCs w:val="24"/>
        </w:rPr>
        <w:t>9</w:t>
      </w:r>
      <w:r w:rsidRPr="00AD17CF">
        <w:rPr>
          <w:rFonts w:ascii="標楷體" w:eastAsia="標楷體" w:hAnsi="標楷體" w:hint="eastAsia"/>
          <w:szCs w:val="24"/>
        </w:rPr>
        <w:t>、2316-</w:t>
      </w:r>
      <w:r w:rsidR="00230E31">
        <w:rPr>
          <w:rFonts w:ascii="標楷體" w:eastAsia="標楷體" w:hAnsi="標楷體" w:hint="eastAsia"/>
          <w:szCs w:val="24"/>
        </w:rPr>
        <w:t>5</w:t>
      </w:r>
      <w:r w:rsidR="00D8338D">
        <w:rPr>
          <w:rFonts w:ascii="標楷體" w:eastAsia="標楷體" w:hAnsi="標楷體" w:hint="eastAsia"/>
          <w:szCs w:val="24"/>
        </w:rPr>
        <w:t>6</w:t>
      </w:r>
      <w:r w:rsidR="004C4147">
        <w:rPr>
          <w:rFonts w:ascii="標楷體" w:eastAsia="標楷體" w:hAnsi="標楷體" w:hint="eastAsia"/>
          <w:szCs w:val="24"/>
        </w:rPr>
        <w:t>00</w:t>
      </w:r>
    </w:p>
    <w:p w:rsidR="005D0CA3" w:rsidRDefault="009C07A2" w:rsidP="008357A6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9C07A2">
        <w:rPr>
          <w:rFonts w:ascii="標楷體" w:eastAsia="標楷體" w:hAnsi="標楷體" w:cs="Times New Roman" w:hint="eastAsia"/>
          <w:b/>
          <w:sz w:val="36"/>
          <w:szCs w:val="36"/>
        </w:rPr>
        <w:t>「</w:t>
      </w:r>
      <w:r w:rsidR="00EA5CE2">
        <w:rPr>
          <w:rFonts w:ascii="標楷體" w:eastAsia="標楷體" w:hAnsi="標楷體" w:cs="Times New Roman" w:hint="eastAsia"/>
          <w:b/>
          <w:sz w:val="36"/>
          <w:szCs w:val="36"/>
        </w:rPr>
        <w:t>外國專業人才延攬及僱用法</w:t>
      </w:r>
      <w:r w:rsidR="00361E37">
        <w:rPr>
          <w:rFonts w:ascii="標楷體" w:eastAsia="標楷體" w:hAnsi="標楷體" w:cs="Times New Roman" w:hint="eastAsia"/>
          <w:b/>
          <w:sz w:val="36"/>
          <w:szCs w:val="36"/>
        </w:rPr>
        <w:t>」</w:t>
      </w:r>
      <w:r w:rsidR="00B403BF">
        <w:rPr>
          <w:rFonts w:ascii="標楷體" w:eastAsia="標楷體" w:hAnsi="標楷體" w:cs="Times New Roman" w:hint="eastAsia"/>
          <w:b/>
          <w:sz w:val="36"/>
          <w:szCs w:val="36"/>
        </w:rPr>
        <w:t>草案</w:t>
      </w:r>
      <w:r w:rsidR="00F83290">
        <w:rPr>
          <w:rFonts w:ascii="標楷體" w:eastAsia="標楷體" w:hAnsi="標楷體" w:cs="Times New Roman" w:hint="eastAsia"/>
          <w:b/>
          <w:sz w:val="36"/>
          <w:szCs w:val="36"/>
        </w:rPr>
        <w:t>立法院</w:t>
      </w:r>
      <w:r w:rsidR="00EA5CE2">
        <w:rPr>
          <w:rFonts w:ascii="標楷體" w:eastAsia="標楷體" w:hAnsi="標楷體" w:cs="Times New Roman" w:hint="eastAsia"/>
          <w:b/>
          <w:sz w:val="36"/>
          <w:szCs w:val="36"/>
        </w:rPr>
        <w:t>三讀通過，</w:t>
      </w:r>
    </w:p>
    <w:p w:rsidR="00713C91" w:rsidRDefault="005D0CA3" w:rsidP="008357A6">
      <w:pPr>
        <w:snapToGrid w:val="0"/>
        <w:spacing w:afterLines="50" w:after="180"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為</w:t>
      </w:r>
      <w:r w:rsidRPr="005D0CA3">
        <w:rPr>
          <w:rFonts w:ascii="標楷體" w:eastAsia="標楷體" w:hAnsi="標楷體" w:cs="Times New Roman" w:hint="eastAsia"/>
          <w:b/>
          <w:sz w:val="36"/>
          <w:szCs w:val="36"/>
        </w:rPr>
        <w:t>我國留才攬才立下重要里程碑</w:t>
      </w:r>
    </w:p>
    <w:p w:rsidR="00B403BF" w:rsidRDefault="00B403BF" w:rsidP="00C226DC">
      <w:pPr>
        <w:pStyle w:val="k02"/>
        <w:spacing w:beforeLines="100" w:before="360" w:afterLines="50" w:after="180" w:line="500" w:lineRule="exact"/>
        <w:ind w:firstLineChars="200" w:firstLine="640"/>
        <w:contextualSpacing/>
        <w:rPr>
          <w:rFonts w:ascii="標楷體" w:hAnsi="標楷體"/>
          <w:sz w:val="32"/>
          <w:szCs w:val="32"/>
        </w:rPr>
      </w:pPr>
      <w:r w:rsidRPr="00B403BF">
        <w:rPr>
          <w:rFonts w:ascii="標楷體" w:hAnsi="標楷體"/>
          <w:sz w:val="32"/>
          <w:szCs w:val="32"/>
        </w:rPr>
        <w:t>國發會研擬推動之「外國專業人才延攬及僱用法</w:t>
      </w:r>
      <w:r w:rsidR="0030718F">
        <w:rPr>
          <w:rFonts w:ascii="標楷體" w:hAnsi="標楷體" w:hint="eastAsia"/>
          <w:sz w:val="32"/>
          <w:szCs w:val="32"/>
        </w:rPr>
        <w:t>草案</w:t>
      </w:r>
      <w:r w:rsidR="00E46654">
        <w:rPr>
          <w:rFonts w:ascii="標楷體" w:hAnsi="標楷體" w:hint="eastAsia"/>
          <w:sz w:val="32"/>
          <w:szCs w:val="32"/>
        </w:rPr>
        <w:t>」</w:t>
      </w:r>
      <w:r w:rsidRPr="00B403BF">
        <w:rPr>
          <w:rFonts w:ascii="標楷體" w:hAnsi="標楷體"/>
          <w:sz w:val="32"/>
          <w:szCs w:val="32"/>
        </w:rPr>
        <w:t>，</w:t>
      </w:r>
      <w:r w:rsidR="006A2A93">
        <w:rPr>
          <w:rFonts w:ascii="標楷體" w:hAnsi="標楷體" w:hint="eastAsia"/>
          <w:sz w:val="32"/>
          <w:szCs w:val="32"/>
        </w:rPr>
        <w:t>於今(31)日</w:t>
      </w:r>
      <w:r w:rsidR="006A2A93" w:rsidRPr="00B403BF">
        <w:rPr>
          <w:rFonts w:ascii="標楷體" w:hAnsi="標楷體"/>
          <w:sz w:val="32"/>
          <w:szCs w:val="32"/>
        </w:rPr>
        <w:t>順利完成</w:t>
      </w:r>
      <w:r w:rsidR="006A2A93">
        <w:rPr>
          <w:rFonts w:ascii="標楷體" w:hAnsi="標楷體" w:hint="eastAsia"/>
          <w:sz w:val="32"/>
          <w:szCs w:val="32"/>
        </w:rPr>
        <w:t>三讀</w:t>
      </w:r>
      <w:r w:rsidR="006A2A93" w:rsidRPr="00B403BF">
        <w:rPr>
          <w:rFonts w:ascii="標楷體" w:hAnsi="標楷體"/>
          <w:sz w:val="32"/>
          <w:szCs w:val="32"/>
        </w:rPr>
        <w:t>，</w:t>
      </w:r>
      <w:r w:rsidR="001E1489" w:rsidRPr="001E1489">
        <w:rPr>
          <w:rFonts w:ascii="標楷體" w:hAnsi="標楷體" w:hint="eastAsia"/>
          <w:sz w:val="32"/>
          <w:szCs w:val="32"/>
        </w:rPr>
        <w:t>國發會陳主委特別感謝朝野立委在審查過程中的全力支持，讓法案順利審查通過</w:t>
      </w:r>
      <w:r w:rsidRPr="00B403BF">
        <w:rPr>
          <w:rFonts w:ascii="標楷體" w:hAnsi="標楷體"/>
          <w:sz w:val="32"/>
          <w:szCs w:val="32"/>
        </w:rPr>
        <w:t>，</w:t>
      </w:r>
      <w:r w:rsidR="005D0CA3" w:rsidRPr="005D0CA3">
        <w:rPr>
          <w:rFonts w:ascii="標楷體" w:hAnsi="標楷體" w:hint="eastAsia"/>
          <w:sz w:val="32"/>
          <w:szCs w:val="32"/>
        </w:rPr>
        <w:t>為我國留才攬才立下重要里程碑</w:t>
      </w:r>
      <w:r w:rsidRPr="00B403BF">
        <w:rPr>
          <w:rFonts w:ascii="標楷體" w:hAnsi="標楷體"/>
          <w:sz w:val="32"/>
          <w:szCs w:val="32"/>
        </w:rPr>
        <w:t>。</w:t>
      </w:r>
    </w:p>
    <w:p w:rsidR="00760518" w:rsidRPr="00760518" w:rsidRDefault="00361E37" w:rsidP="00C226DC">
      <w:pPr>
        <w:pStyle w:val="k02"/>
        <w:spacing w:afterLines="50" w:after="180" w:line="500" w:lineRule="exact"/>
        <w:ind w:firstLineChars="200" w:firstLine="640"/>
        <w:contextualSpacing/>
        <w:rPr>
          <w:rFonts w:ascii="標楷體" w:hAnsi="標楷體"/>
          <w:sz w:val="32"/>
          <w:szCs w:val="32"/>
        </w:rPr>
      </w:pPr>
      <w:r w:rsidRPr="00361E37">
        <w:rPr>
          <w:rFonts w:ascii="標楷體" w:hAnsi="標楷體" w:hint="eastAsia"/>
          <w:sz w:val="32"/>
          <w:szCs w:val="32"/>
        </w:rPr>
        <w:t>「外國專業人才延攬及僱用法草案</w:t>
      </w:r>
      <w:r w:rsidR="00E46654">
        <w:rPr>
          <w:rFonts w:ascii="標楷體" w:hAnsi="標楷體" w:hint="eastAsia"/>
          <w:sz w:val="32"/>
          <w:szCs w:val="32"/>
        </w:rPr>
        <w:t>」</w:t>
      </w:r>
      <w:r w:rsidR="00E47B14">
        <w:rPr>
          <w:rFonts w:ascii="標楷體" w:hAnsi="標楷體" w:hint="eastAsia"/>
          <w:sz w:val="32"/>
          <w:szCs w:val="32"/>
        </w:rPr>
        <w:t>推動</w:t>
      </w:r>
      <w:r w:rsidR="001565AB" w:rsidRPr="001565AB">
        <w:rPr>
          <w:rFonts w:ascii="標楷體" w:hAnsi="標楷體" w:hint="eastAsia"/>
          <w:sz w:val="32"/>
          <w:szCs w:val="32"/>
        </w:rPr>
        <w:t>放寬</w:t>
      </w:r>
      <w:r w:rsidR="00987EBF" w:rsidRPr="00987EBF">
        <w:rPr>
          <w:rFonts w:ascii="標楷體" w:hAnsi="標楷體" w:hint="eastAsia"/>
          <w:sz w:val="32"/>
          <w:szCs w:val="32"/>
        </w:rPr>
        <w:t>外國專業人才</w:t>
      </w:r>
      <w:r w:rsidR="001565AB" w:rsidRPr="001565AB">
        <w:rPr>
          <w:rFonts w:ascii="標楷體" w:hAnsi="標楷體" w:hint="eastAsia"/>
          <w:sz w:val="32"/>
          <w:szCs w:val="32"/>
        </w:rPr>
        <w:t>來臺簽證、</w:t>
      </w:r>
      <w:r w:rsidR="00E47B14">
        <w:rPr>
          <w:rFonts w:ascii="標楷體" w:hAnsi="標楷體" w:hint="eastAsia"/>
          <w:sz w:val="32"/>
          <w:szCs w:val="32"/>
        </w:rPr>
        <w:t>工作、</w:t>
      </w:r>
      <w:r w:rsidR="001565AB" w:rsidRPr="001565AB">
        <w:rPr>
          <w:rFonts w:ascii="標楷體" w:hAnsi="標楷體" w:hint="eastAsia"/>
          <w:sz w:val="32"/>
          <w:szCs w:val="32"/>
        </w:rPr>
        <w:t>居留</w:t>
      </w:r>
      <w:r w:rsidR="00E47B14">
        <w:rPr>
          <w:rFonts w:ascii="標楷體" w:hAnsi="標楷體" w:hint="eastAsia"/>
          <w:sz w:val="32"/>
          <w:szCs w:val="32"/>
        </w:rPr>
        <w:t>相關規定，並優化</w:t>
      </w:r>
      <w:r w:rsidR="001565AB" w:rsidRPr="001565AB">
        <w:rPr>
          <w:rFonts w:ascii="標楷體" w:hAnsi="標楷體" w:hint="eastAsia"/>
          <w:sz w:val="32"/>
          <w:szCs w:val="32"/>
        </w:rPr>
        <w:t>保險、租稅、退休等待遇，</w:t>
      </w:r>
      <w:r w:rsidR="00E47B14">
        <w:rPr>
          <w:rFonts w:ascii="標楷體" w:hAnsi="標楷體" w:hint="eastAsia"/>
          <w:sz w:val="32"/>
          <w:szCs w:val="32"/>
        </w:rPr>
        <w:t>以</w:t>
      </w:r>
      <w:r w:rsidR="001F5679" w:rsidRPr="001F5679">
        <w:rPr>
          <w:rFonts w:ascii="標楷體" w:hAnsi="標楷體" w:hint="eastAsia"/>
          <w:sz w:val="32"/>
          <w:szCs w:val="32"/>
        </w:rPr>
        <w:t>建構更友善</w:t>
      </w:r>
      <w:r w:rsidR="00987EBF">
        <w:rPr>
          <w:rFonts w:ascii="標楷體" w:hAnsi="標楷體" w:hint="eastAsia"/>
          <w:sz w:val="32"/>
          <w:szCs w:val="32"/>
        </w:rPr>
        <w:t>之</w:t>
      </w:r>
      <w:r w:rsidR="001F5679" w:rsidRPr="001F5679">
        <w:rPr>
          <w:rFonts w:ascii="標楷體" w:hAnsi="標楷體" w:hint="eastAsia"/>
          <w:sz w:val="32"/>
          <w:szCs w:val="32"/>
        </w:rPr>
        <w:t>工作及居留環境</w:t>
      </w:r>
      <w:r w:rsidR="00987EBF">
        <w:rPr>
          <w:rFonts w:ascii="標楷體" w:hAnsi="標楷體" w:hint="eastAsia"/>
          <w:sz w:val="32"/>
          <w:szCs w:val="32"/>
        </w:rPr>
        <w:t>，</w:t>
      </w:r>
      <w:r w:rsidR="00E46654">
        <w:rPr>
          <w:rFonts w:ascii="標楷體" w:hAnsi="標楷體" w:hint="eastAsia"/>
          <w:sz w:val="32"/>
          <w:szCs w:val="32"/>
        </w:rPr>
        <w:t>吸引外國專業人才來臺留臺，</w:t>
      </w:r>
      <w:r w:rsidR="007339D6" w:rsidRPr="00E46654">
        <w:rPr>
          <w:rFonts w:ascii="標楷體" w:hAnsi="標楷體" w:hint="eastAsia"/>
          <w:sz w:val="32"/>
          <w:szCs w:val="32"/>
        </w:rPr>
        <w:t>促進</w:t>
      </w:r>
      <w:r w:rsidR="00FA1397" w:rsidRPr="00E46654">
        <w:rPr>
          <w:rFonts w:ascii="標楷體" w:hAnsi="標楷體" w:hint="eastAsia"/>
          <w:sz w:val="32"/>
          <w:szCs w:val="32"/>
        </w:rPr>
        <w:t>產業</w:t>
      </w:r>
      <w:r w:rsidR="00887ABF" w:rsidRPr="00E46654">
        <w:rPr>
          <w:rFonts w:ascii="標楷體" w:hAnsi="標楷體" w:hint="eastAsia"/>
          <w:sz w:val="32"/>
          <w:szCs w:val="32"/>
        </w:rPr>
        <w:t>升級</w:t>
      </w:r>
      <w:r w:rsidR="007339D6" w:rsidRPr="00E46654">
        <w:rPr>
          <w:rFonts w:ascii="標楷體" w:hAnsi="標楷體" w:hint="eastAsia"/>
          <w:sz w:val="32"/>
          <w:szCs w:val="32"/>
        </w:rPr>
        <w:t>轉型</w:t>
      </w:r>
      <w:r w:rsidR="00E46654">
        <w:rPr>
          <w:rFonts w:ascii="標楷體" w:hAnsi="標楷體" w:hint="eastAsia"/>
          <w:sz w:val="32"/>
          <w:szCs w:val="32"/>
        </w:rPr>
        <w:t>，提升國際競爭力</w:t>
      </w:r>
      <w:r>
        <w:rPr>
          <w:rFonts w:ascii="標楷體" w:hAnsi="標楷體" w:hint="eastAsia"/>
          <w:sz w:val="32"/>
          <w:szCs w:val="32"/>
        </w:rPr>
        <w:t>。</w:t>
      </w:r>
      <w:r w:rsidR="005D0CA3">
        <w:rPr>
          <w:rFonts w:ascii="標楷體" w:hAnsi="標楷體" w:hint="eastAsia"/>
          <w:sz w:val="32"/>
          <w:szCs w:val="32"/>
        </w:rPr>
        <w:t>本法</w:t>
      </w:r>
      <w:r w:rsidR="006F17C1">
        <w:rPr>
          <w:rFonts w:ascii="標楷體" w:hAnsi="標楷體" w:hint="eastAsia"/>
          <w:sz w:val="32"/>
          <w:szCs w:val="32"/>
        </w:rPr>
        <w:t>推動</w:t>
      </w:r>
      <w:r w:rsidR="00760518" w:rsidRPr="00760518">
        <w:rPr>
          <w:rFonts w:ascii="標楷體" w:hAnsi="標楷體" w:hint="eastAsia"/>
          <w:sz w:val="32"/>
          <w:szCs w:val="32"/>
        </w:rPr>
        <w:t>重點</w:t>
      </w:r>
      <w:r w:rsidR="00896CAE">
        <w:rPr>
          <w:rFonts w:ascii="標楷體" w:hAnsi="標楷體" w:hint="eastAsia"/>
          <w:sz w:val="32"/>
          <w:szCs w:val="32"/>
        </w:rPr>
        <w:t>說明</w:t>
      </w:r>
      <w:r w:rsidR="005D0CA3">
        <w:rPr>
          <w:rFonts w:ascii="標楷體" w:hAnsi="標楷體" w:hint="eastAsia"/>
          <w:sz w:val="32"/>
          <w:szCs w:val="32"/>
        </w:rPr>
        <w:t>如下：</w:t>
      </w:r>
    </w:p>
    <w:p w:rsidR="007825E0" w:rsidRDefault="007825E0" w:rsidP="007825E0">
      <w:pPr>
        <w:pStyle w:val="k02"/>
        <w:numPr>
          <w:ilvl w:val="0"/>
          <w:numId w:val="7"/>
        </w:numPr>
        <w:tabs>
          <w:tab w:val="clear" w:pos="960"/>
          <w:tab w:val="clear" w:pos="1920"/>
        </w:tabs>
        <w:spacing w:afterLines="50" w:after="180" w:line="500" w:lineRule="exact"/>
        <w:ind w:left="709" w:hanging="709"/>
        <w:contextualSpacing/>
        <w:rPr>
          <w:rFonts w:ascii="標楷體" w:hAnsi="標楷體"/>
          <w:sz w:val="32"/>
          <w:szCs w:val="32"/>
        </w:rPr>
      </w:pPr>
      <w:r w:rsidRPr="006F17C1">
        <w:rPr>
          <w:rFonts w:ascii="標楷體" w:hAnsi="標楷體" w:hint="eastAsia"/>
          <w:sz w:val="32"/>
          <w:szCs w:val="32"/>
        </w:rPr>
        <w:t>鬆綁工作、簽證及居留規定</w:t>
      </w:r>
    </w:p>
    <w:p w:rsidR="00E47B14" w:rsidRDefault="00E47B14" w:rsidP="007825E0">
      <w:pPr>
        <w:pStyle w:val="k02"/>
        <w:numPr>
          <w:ilvl w:val="1"/>
          <w:numId w:val="9"/>
        </w:numPr>
        <w:tabs>
          <w:tab w:val="clear" w:pos="960"/>
          <w:tab w:val="clear" w:pos="1920"/>
          <w:tab w:val="clear" w:pos="2880"/>
        </w:tabs>
        <w:spacing w:afterLines="50" w:after="180" w:line="500" w:lineRule="exact"/>
        <w:ind w:left="709" w:hanging="425"/>
        <w:contextualSpacing/>
        <w:rPr>
          <w:rFonts w:ascii="標楷體" w:hAnsi="標楷體"/>
          <w:sz w:val="32"/>
          <w:szCs w:val="32"/>
        </w:rPr>
      </w:pPr>
      <w:r w:rsidRPr="00760518">
        <w:rPr>
          <w:rFonts w:ascii="標楷體" w:hAnsi="標楷體" w:hint="eastAsia"/>
          <w:sz w:val="32"/>
          <w:szCs w:val="32"/>
        </w:rPr>
        <w:t>核發</w:t>
      </w:r>
      <w:r w:rsidRPr="006C656E">
        <w:rPr>
          <w:rFonts w:ascii="標楷體" w:hAnsi="標楷體" w:hint="eastAsia"/>
          <w:sz w:val="32"/>
          <w:szCs w:val="32"/>
        </w:rPr>
        <w:t>外國特定專業人才</w:t>
      </w:r>
      <w:r w:rsidRPr="00760518">
        <w:rPr>
          <w:rFonts w:ascii="標楷體" w:hAnsi="標楷體" w:hint="eastAsia"/>
          <w:sz w:val="32"/>
          <w:szCs w:val="32"/>
        </w:rPr>
        <w:t>「就業金卡」</w:t>
      </w:r>
      <w:r>
        <w:rPr>
          <w:rFonts w:ascii="標楷體" w:hAnsi="標楷體" w:hint="eastAsia"/>
          <w:sz w:val="32"/>
          <w:szCs w:val="32"/>
        </w:rPr>
        <w:t>，</w:t>
      </w:r>
      <w:r w:rsidRPr="00D41C8F">
        <w:rPr>
          <w:rFonts w:ascii="標楷體" w:hAnsi="標楷體" w:hint="eastAsia"/>
          <w:sz w:val="32"/>
          <w:szCs w:val="32"/>
        </w:rPr>
        <w:t>提供自由尋職及轉換工作之便利性</w:t>
      </w:r>
      <w:r>
        <w:rPr>
          <w:rFonts w:ascii="標楷體" w:hAnsi="標楷體" w:hint="eastAsia"/>
          <w:sz w:val="32"/>
          <w:szCs w:val="32"/>
        </w:rPr>
        <w:t>；</w:t>
      </w:r>
      <w:r w:rsidRPr="006C656E">
        <w:rPr>
          <w:rFonts w:ascii="標楷體" w:hAnsi="標楷體" w:hint="eastAsia"/>
          <w:sz w:val="32"/>
          <w:szCs w:val="32"/>
        </w:rPr>
        <w:t>聘僱許可期間由最長3年</w:t>
      </w:r>
      <w:r w:rsidR="00E46654">
        <w:rPr>
          <w:rFonts w:ascii="標楷體" w:hAnsi="標楷體" w:hint="eastAsia"/>
          <w:sz w:val="32"/>
          <w:szCs w:val="32"/>
        </w:rPr>
        <w:t>延長</w:t>
      </w:r>
      <w:r w:rsidRPr="006C656E">
        <w:rPr>
          <w:rFonts w:ascii="標楷體" w:hAnsi="標楷體" w:hint="eastAsia"/>
          <w:sz w:val="32"/>
          <w:szCs w:val="32"/>
        </w:rPr>
        <w:t>至5年。</w:t>
      </w:r>
    </w:p>
    <w:p w:rsidR="00E47B14" w:rsidRDefault="00E47B14" w:rsidP="007825E0">
      <w:pPr>
        <w:pStyle w:val="k02"/>
        <w:numPr>
          <w:ilvl w:val="1"/>
          <w:numId w:val="9"/>
        </w:numPr>
        <w:tabs>
          <w:tab w:val="clear" w:pos="960"/>
          <w:tab w:val="clear" w:pos="1920"/>
          <w:tab w:val="clear" w:pos="2880"/>
        </w:tabs>
        <w:spacing w:afterLines="50" w:after="180" w:line="500" w:lineRule="exact"/>
        <w:ind w:left="709" w:hanging="425"/>
        <w:contextualSpacing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核發</w:t>
      </w:r>
      <w:r w:rsidRPr="00E47B14">
        <w:rPr>
          <w:rFonts w:ascii="標楷體" w:hAnsi="標楷體" w:hint="eastAsia"/>
          <w:sz w:val="32"/>
          <w:szCs w:val="32"/>
        </w:rPr>
        <w:t>外國自由藝術工作者</w:t>
      </w:r>
      <w:r>
        <w:rPr>
          <w:rFonts w:ascii="標楷體" w:hAnsi="標楷體" w:hint="eastAsia"/>
          <w:sz w:val="32"/>
          <w:szCs w:val="32"/>
        </w:rPr>
        <w:t>得不經雇主申請個人工作許可</w:t>
      </w:r>
      <w:r w:rsidRPr="00E47B14">
        <w:rPr>
          <w:rFonts w:ascii="標楷體" w:hAnsi="標楷體" w:hint="eastAsia"/>
          <w:sz w:val="32"/>
          <w:szCs w:val="32"/>
        </w:rPr>
        <w:t>。</w:t>
      </w:r>
    </w:p>
    <w:p w:rsidR="00E47B14" w:rsidRDefault="006C656E" w:rsidP="007825E0">
      <w:pPr>
        <w:pStyle w:val="k02"/>
        <w:numPr>
          <w:ilvl w:val="1"/>
          <w:numId w:val="9"/>
        </w:numPr>
        <w:tabs>
          <w:tab w:val="clear" w:pos="960"/>
          <w:tab w:val="clear" w:pos="1920"/>
          <w:tab w:val="clear" w:pos="2880"/>
        </w:tabs>
        <w:spacing w:afterLines="50" w:after="180" w:line="500" w:lineRule="exact"/>
        <w:ind w:left="709" w:hanging="425"/>
        <w:contextualSpacing/>
        <w:rPr>
          <w:rFonts w:ascii="標楷體" w:hAnsi="標楷體"/>
          <w:sz w:val="32"/>
          <w:szCs w:val="32"/>
        </w:rPr>
      </w:pPr>
      <w:r w:rsidRPr="006F17C1">
        <w:rPr>
          <w:rFonts w:ascii="標楷體" w:hAnsi="標楷體" w:hint="eastAsia"/>
          <w:sz w:val="32"/>
          <w:szCs w:val="32"/>
        </w:rPr>
        <w:t>開放</w:t>
      </w:r>
      <w:r w:rsidR="00FA1397" w:rsidRPr="00FA1397">
        <w:rPr>
          <w:rFonts w:ascii="標楷體" w:hAnsi="標楷體" w:hint="eastAsia"/>
          <w:sz w:val="32"/>
          <w:szCs w:val="32"/>
        </w:rPr>
        <w:t>具專門知識或技術之外國教師於補習班授課</w:t>
      </w:r>
      <w:r w:rsidR="00E46654">
        <w:rPr>
          <w:rFonts w:ascii="標楷體" w:hAnsi="標楷體" w:hint="eastAsia"/>
          <w:sz w:val="32"/>
          <w:szCs w:val="32"/>
        </w:rPr>
        <w:t>。</w:t>
      </w:r>
    </w:p>
    <w:p w:rsidR="00E47B14" w:rsidRDefault="00E47B14" w:rsidP="007825E0">
      <w:pPr>
        <w:pStyle w:val="k02"/>
        <w:numPr>
          <w:ilvl w:val="1"/>
          <w:numId w:val="9"/>
        </w:numPr>
        <w:tabs>
          <w:tab w:val="clear" w:pos="960"/>
          <w:tab w:val="clear" w:pos="1920"/>
          <w:tab w:val="clear" w:pos="2880"/>
        </w:tabs>
        <w:spacing w:afterLines="50" w:after="180" w:line="500" w:lineRule="exact"/>
        <w:ind w:left="709" w:hanging="425"/>
        <w:contextualSpacing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核發外國專業人才來臺尋職簽證</w:t>
      </w:r>
      <w:r w:rsidR="00E46654">
        <w:rPr>
          <w:rFonts w:ascii="標楷體" w:hAnsi="標楷體" w:hint="eastAsia"/>
          <w:sz w:val="32"/>
          <w:szCs w:val="32"/>
        </w:rPr>
        <w:t>。</w:t>
      </w:r>
    </w:p>
    <w:p w:rsidR="006C656E" w:rsidRPr="00760518" w:rsidRDefault="00E47B14" w:rsidP="007825E0">
      <w:pPr>
        <w:pStyle w:val="k02"/>
        <w:numPr>
          <w:ilvl w:val="1"/>
          <w:numId w:val="9"/>
        </w:numPr>
        <w:tabs>
          <w:tab w:val="clear" w:pos="960"/>
          <w:tab w:val="clear" w:pos="1920"/>
          <w:tab w:val="clear" w:pos="2880"/>
        </w:tabs>
        <w:spacing w:afterLines="50" w:after="180" w:line="500" w:lineRule="exact"/>
        <w:ind w:left="709" w:hanging="425"/>
        <w:contextualSpacing/>
        <w:rPr>
          <w:rFonts w:ascii="標楷體" w:hAnsi="標楷體"/>
          <w:sz w:val="32"/>
          <w:szCs w:val="32"/>
        </w:rPr>
      </w:pPr>
      <w:r w:rsidRPr="006C656E">
        <w:rPr>
          <w:rFonts w:ascii="標楷體" w:hAnsi="標楷體" w:hint="eastAsia"/>
          <w:sz w:val="32"/>
          <w:szCs w:val="32"/>
        </w:rPr>
        <w:t>放寬</w:t>
      </w:r>
      <w:bookmarkStart w:id="0" w:name="_GoBack"/>
      <w:bookmarkEnd w:id="0"/>
      <w:r w:rsidR="007825E0">
        <w:rPr>
          <w:rFonts w:ascii="標楷體" w:hAnsi="標楷體" w:hint="eastAsia"/>
          <w:sz w:val="32"/>
          <w:szCs w:val="32"/>
        </w:rPr>
        <w:t>取得永久</w:t>
      </w:r>
      <w:r w:rsidRPr="006C656E">
        <w:rPr>
          <w:rFonts w:ascii="標楷體" w:hAnsi="標楷體" w:hint="eastAsia"/>
          <w:sz w:val="32"/>
          <w:szCs w:val="32"/>
        </w:rPr>
        <w:t>居留</w:t>
      </w:r>
      <w:r>
        <w:rPr>
          <w:rFonts w:ascii="標楷體" w:hAnsi="標楷體" w:hint="eastAsia"/>
          <w:sz w:val="32"/>
          <w:szCs w:val="32"/>
        </w:rPr>
        <w:t>者</w:t>
      </w:r>
      <w:r w:rsidRPr="006C656E">
        <w:rPr>
          <w:rFonts w:ascii="標楷體" w:hAnsi="標楷體" w:hint="eastAsia"/>
          <w:sz w:val="32"/>
          <w:szCs w:val="32"/>
        </w:rPr>
        <w:t>須每年在臺居留183天</w:t>
      </w:r>
      <w:r>
        <w:rPr>
          <w:rFonts w:ascii="標楷體" w:hAnsi="標楷體" w:hint="eastAsia"/>
          <w:sz w:val="32"/>
          <w:szCs w:val="32"/>
        </w:rPr>
        <w:t>以上</w:t>
      </w:r>
      <w:r w:rsidRPr="006C656E">
        <w:rPr>
          <w:rFonts w:ascii="標楷體" w:hAnsi="標楷體" w:hint="eastAsia"/>
          <w:sz w:val="32"/>
          <w:szCs w:val="32"/>
        </w:rPr>
        <w:t>之規定</w:t>
      </w:r>
      <w:r w:rsidR="00E46654">
        <w:rPr>
          <w:rFonts w:ascii="標楷體" w:hAnsi="標楷體" w:hint="eastAsia"/>
          <w:sz w:val="32"/>
          <w:szCs w:val="32"/>
        </w:rPr>
        <w:t>。</w:t>
      </w:r>
    </w:p>
    <w:p w:rsidR="007825E0" w:rsidRDefault="007825E0" w:rsidP="007825E0">
      <w:pPr>
        <w:pStyle w:val="k02"/>
        <w:numPr>
          <w:ilvl w:val="0"/>
          <w:numId w:val="7"/>
        </w:numPr>
        <w:spacing w:afterLines="50" w:after="180" w:line="500" w:lineRule="exact"/>
        <w:ind w:left="709" w:hanging="709"/>
        <w:contextualSpacing/>
        <w:rPr>
          <w:rFonts w:ascii="標楷體" w:hAnsi="標楷體"/>
          <w:sz w:val="32"/>
          <w:szCs w:val="32"/>
        </w:rPr>
      </w:pPr>
      <w:r w:rsidRPr="005E10B3">
        <w:rPr>
          <w:rFonts w:ascii="標楷體" w:hAnsi="標楷體" w:hint="eastAsia"/>
          <w:sz w:val="32"/>
          <w:szCs w:val="32"/>
        </w:rPr>
        <w:t>鬆綁父母配偶及子女停居留規定</w:t>
      </w:r>
    </w:p>
    <w:p w:rsidR="007825E0" w:rsidRDefault="007825E0" w:rsidP="00406340">
      <w:pPr>
        <w:pStyle w:val="k02"/>
        <w:numPr>
          <w:ilvl w:val="0"/>
          <w:numId w:val="10"/>
        </w:numPr>
        <w:tabs>
          <w:tab w:val="clear" w:pos="960"/>
          <w:tab w:val="clear" w:pos="1920"/>
          <w:tab w:val="clear" w:pos="2880"/>
        </w:tabs>
        <w:spacing w:afterLines="50" w:after="180" w:line="500" w:lineRule="exact"/>
        <w:ind w:left="709" w:hanging="425"/>
        <w:contextualSpacing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放寬</w:t>
      </w:r>
      <w:r w:rsidRPr="005E10B3">
        <w:rPr>
          <w:rFonts w:ascii="標楷體" w:hAnsi="標楷體" w:hint="eastAsia"/>
          <w:sz w:val="32"/>
          <w:szCs w:val="32"/>
        </w:rPr>
        <w:t>取得永久居留之外國專業人才</w:t>
      </w:r>
      <w:r>
        <w:rPr>
          <w:rFonts w:ascii="標楷體" w:hAnsi="標楷體" w:hint="eastAsia"/>
          <w:sz w:val="32"/>
          <w:szCs w:val="32"/>
        </w:rPr>
        <w:t>之</w:t>
      </w:r>
      <w:r w:rsidRPr="005E10B3">
        <w:rPr>
          <w:rFonts w:ascii="標楷體" w:hAnsi="標楷體" w:hint="eastAsia"/>
          <w:sz w:val="32"/>
          <w:szCs w:val="32"/>
        </w:rPr>
        <w:t>配偶、未成年子女及成年身心障礙子女</w:t>
      </w:r>
      <w:r>
        <w:rPr>
          <w:rFonts w:ascii="標楷體" w:hAnsi="標楷體" w:hint="eastAsia"/>
          <w:sz w:val="32"/>
          <w:szCs w:val="32"/>
        </w:rPr>
        <w:t>申請在臺</w:t>
      </w:r>
      <w:r w:rsidRPr="005E10B3">
        <w:rPr>
          <w:rFonts w:ascii="標楷體" w:hAnsi="標楷體" w:hint="eastAsia"/>
          <w:sz w:val="32"/>
          <w:szCs w:val="32"/>
        </w:rPr>
        <w:t>永</w:t>
      </w:r>
      <w:r>
        <w:rPr>
          <w:rFonts w:ascii="標楷體" w:hAnsi="標楷體" w:hint="eastAsia"/>
          <w:sz w:val="32"/>
          <w:szCs w:val="32"/>
        </w:rPr>
        <w:t>久</w:t>
      </w:r>
      <w:r w:rsidRPr="005E10B3">
        <w:rPr>
          <w:rFonts w:ascii="標楷體" w:hAnsi="標楷體" w:hint="eastAsia"/>
          <w:sz w:val="32"/>
          <w:szCs w:val="32"/>
        </w:rPr>
        <w:t>居</w:t>
      </w:r>
      <w:r>
        <w:rPr>
          <w:rFonts w:ascii="標楷體" w:hAnsi="標楷體" w:hint="eastAsia"/>
          <w:sz w:val="32"/>
          <w:szCs w:val="32"/>
        </w:rPr>
        <w:t>留</w:t>
      </w:r>
      <w:r w:rsidR="00E46654">
        <w:rPr>
          <w:rFonts w:ascii="標楷體" w:hAnsi="標楷體" w:hint="eastAsia"/>
          <w:sz w:val="32"/>
          <w:szCs w:val="32"/>
        </w:rPr>
        <w:t>。</w:t>
      </w:r>
    </w:p>
    <w:p w:rsidR="007825E0" w:rsidRDefault="007825E0" w:rsidP="00406340">
      <w:pPr>
        <w:pStyle w:val="k02"/>
        <w:numPr>
          <w:ilvl w:val="0"/>
          <w:numId w:val="10"/>
        </w:numPr>
        <w:tabs>
          <w:tab w:val="clear" w:pos="960"/>
          <w:tab w:val="clear" w:pos="1920"/>
          <w:tab w:val="clear" w:pos="2880"/>
        </w:tabs>
        <w:spacing w:afterLines="50" w:after="180" w:line="500" w:lineRule="exact"/>
        <w:ind w:left="709" w:hanging="425"/>
        <w:contextualSpacing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放寬</w:t>
      </w:r>
      <w:r w:rsidRPr="005E10B3">
        <w:rPr>
          <w:rFonts w:ascii="標楷體" w:hAnsi="標楷體" w:hint="eastAsia"/>
          <w:sz w:val="32"/>
          <w:szCs w:val="32"/>
        </w:rPr>
        <w:t>外國高級專業人才</w:t>
      </w:r>
      <w:r>
        <w:rPr>
          <w:rFonts w:ascii="標楷體" w:hAnsi="標楷體" w:hint="eastAsia"/>
          <w:sz w:val="32"/>
          <w:szCs w:val="32"/>
        </w:rPr>
        <w:t>之</w:t>
      </w:r>
      <w:r w:rsidRPr="005E10B3">
        <w:rPr>
          <w:rFonts w:ascii="標楷體" w:hAnsi="標楷體" w:hint="eastAsia"/>
          <w:sz w:val="32"/>
          <w:szCs w:val="32"/>
        </w:rPr>
        <w:t>配偶、未成年子女及成年身心障</w:t>
      </w:r>
      <w:r w:rsidRPr="005E10B3">
        <w:rPr>
          <w:rFonts w:ascii="標楷體" w:hAnsi="標楷體" w:hint="eastAsia"/>
          <w:sz w:val="32"/>
          <w:szCs w:val="32"/>
        </w:rPr>
        <w:lastRenderedPageBreak/>
        <w:t>礙子女</w:t>
      </w:r>
      <w:r>
        <w:rPr>
          <w:rFonts w:ascii="標楷體" w:hAnsi="標楷體" w:hint="eastAsia"/>
          <w:sz w:val="32"/>
          <w:szCs w:val="32"/>
        </w:rPr>
        <w:t>隨同申請</w:t>
      </w:r>
      <w:r w:rsidRPr="005E10B3">
        <w:rPr>
          <w:rFonts w:ascii="標楷體" w:hAnsi="標楷體" w:hint="eastAsia"/>
          <w:sz w:val="32"/>
          <w:szCs w:val="32"/>
        </w:rPr>
        <w:t>永居</w:t>
      </w:r>
      <w:r w:rsidR="00E46654">
        <w:rPr>
          <w:rFonts w:ascii="標楷體" w:hAnsi="標楷體" w:hint="eastAsia"/>
          <w:sz w:val="32"/>
          <w:szCs w:val="32"/>
        </w:rPr>
        <w:t>。</w:t>
      </w:r>
    </w:p>
    <w:p w:rsidR="007825E0" w:rsidRDefault="007825E0" w:rsidP="00406340">
      <w:pPr>
        <w:pStyle w:val="k02"/>
        <w:numPr>
          <w:ilvl w:val="0"/>
          <w:numId w:val="10"/>
        </w:numPr>
        <w:tabs>
          <w:tab w:val="clear" w:pos="960"/>
          <w:tab w:val="clear" w:pos="1920"/>
          <w:tab w:val="clear" w:pos="2880"/>
        </w:tabs>
        <w:spacing w:afterLines="50" w:after="180" w:line="500" w:lineRule="exact"/>
        <w:ind w:left="709" w:hanging="425"/>
        <w:contextualSpacing/>
        <w:rPr>
          <w:rFonts w:ascii="標楷體" w:hAnsi="標楷體"/>
          <w:sz w:val="32"/>
          <w:szCs w:val="32"/>
        </w:rPr>
      </w:pPr>
      <w:r w:rsidRPr="005E10B3">
        <w:rPr>
          <w:rFonts w:ascii="標楷體" w:hAnsi="標楷體" w:hint="eastAsia"/>
          <w:sz w:val="32"/>
          <w:szCs w:val="32"/>
        </w:rPr>
        <w:t>核發</w:t>
      </w:r>
      <w:r>
        <w:rPr>
          <w:rFonts w:ascii="標楷體" w:hAnsi="標楷體" w:hint="eastAsia"/>
          <w:sz w:val="32"/>
          <w:szCs w:val="32"/>
        </w:rPr>
        <w:t>取得</w:t>
      </w:r>
      <w:r w:rsidRPr="005E10B3">
        <w:rPr>
          <w:rFonts w:ascii="標楷體" w:hAnsi="標楷體" w:hint="eastAsia"/>
          <w:sz w:val="32"/>
          <w:szCs w:val="32"/>
        </w:rPr>
        <w:t>永久居留外國專業人才</w:t>
      </w:r>
      <w:r w:rsidR="00E46654">
        <w:rPr>
          <w:rFonts w:ascii="標楷體" w:hAnsi="標楷體" w:hint="eastAsia"/>
          <w:sz w:val="32"/>
          <w:szCs w:val="32"/>
        </w:rPr>
        <w:t>符合條件</w:t>
      </w:r>
      <w:r w:rsidRPr="005E10B3">
        <w:rPr>
          <w:rFonts w:ascii="標楷體" w:hAnsi="標楷體" w:hint="eastAsia"/>
          <w:sz w:val="32"/>
          <w:szCs w:val="32"/>
        </w:rPr>
        <w:t>之成年子女個人工作許可，鬆綁留臺工作</w:t>
      </w:r>
      <w:r>
        <w:rPr>
          <w:rFonts w:ascii="標楷體" w:hAnsi="標楷體" w:hint="eastAsia"/>
          <w:sz w:val="32"/>
          <w:szCs w:val="32"/>
        </w:rPr>
        <w:t>相關規定</w:t>
      </w:r>
      <w:r w:rsidR="00E46654">
        <w:rPr>
          <w:rFonts w:ascii="標楷體" w:hAnsi="標楷體" w:hint="eastAsia"/>
          <w:sz w:val="32"/>
          <w:szCs w:val="32"/>
        </w:rPr>
        <w:t>。</w:t>
      </w:r>
    </w:p>
    <w:p w:rsidR="007825E0" w:rsidRPr="005E10B3" w:rsidRDefault="007825E0" w:rsidP="00406340">
      <w:pPr>
        <w:pStyle w:val="k02"/>
        <w:numPr>
          <w:ilvl w:val="0"/>
          <w:numId w:val="10"/>
        </w:numPr>
        <w:tabs>
          <w:tab w:val="clear" w:pos="960"/>
          <w:tab w:val="clear" w:pos="1920"/>
          <w:tab w:val="clear" w:pos="2880"/>
        </w:tabs>
        <w:spacing w:afterLines="50" w:after="180" w:line="500" w:lineRule="exact"/>
        <w:ind w:left="709" w:hanging="425"/>
        <w:contextualSpacing/>
        <w:rPr>
          <w:rFonts w:ascii="標楷體" w:hAnsi="標楷體"/>
          <w:sz w:val="32"/>
          <w:szCs w:val="32"/>
        </w:rPr>
      </w:pPr>
      <w:r w:rsidRPr="005E10B3">
        <w:rPr>
          <w:rFonts w:ascii="標楷體" w:hAnsi="標楷體" w:hint="eastAsia"/>
          <w:sz w:val="32"/>
          <w:szCs w:val="32"/>
        </w:rPr>
        <w:t>直系尊親屬探親停留期限由最長6個月延長至1年。</w:t>
      </w:r>
      <w:r w:rsidRPr="005E10B3">
        <w:rPr>
          <w:rFonts w:ascii="標楷體" w:hAnsi="標楷體"/>
          <w:sz w:val="32"/>
          <w:szCs w:val="32"/>
        </w:rPr>
        <w:t xml:space="preserve"> </w:t>
      </w:r>
    </w:p>
    <w:p w:rsidR="007825E0" w:rsidRDefault="007825E0" w:rsidP="007825E0">
      <w:pPr>
        <w:pStyle w:val="k02"/>
        <w:numPr>
          <w:ilvl w:val="0"/>
          <w:numId w:val="7"/>
        </w:numPr>
        <w:spacing w:afterLines="50" w:after="180" w:line="500" w:lineRule="exact"/>
        <w:ind w:left="709" w:hanging="709"/>
        <w:contextualSpacing/>
        <w:rPr>
          <w:rFonts w:ascii="標楷體" w:hAnsi="標楷體"/>
          <w:sz w:val="32"/>
          <w:szCs w:val="32"/>
        </w:rPr>
      </w:pPr>
      <w:r w:rsidRPr="005E10B3">
        <w:rPr>
          <w:rFonts w:ascii="標楷體" w:hAnsi="標楷體" w:hint="eastAsia"/>
          <w:sz w:val="32"/>
          <w:szCs w:val="32"/>
        </w:rPr>
        <w:t>提供退休、健保及租稅優惠</w:t>
      </w:r>
    </w:p>
    <w:p w:rsidR="007825E0" w:rsidRDefault="007825E0" w:rsidP="00406340">
      <w:pPr>
        <w:pStyle w:val="k02"/>
        <w:numPr>
          <w:ilvl w:val="0"/>
          <w:numId w:val="11"/>
        </w:numPr>
        <w:tabs>
          <w:tab w:val="clear" w:pos="960"/>
          <w:tab w:val="clear" w:pos="1920"/>
          <w:tab w:val="clear" w:pos="2880"/>
        </w:tabs>
        <w:spacing w:afterLines="50" w:after="180" w:line="500" w:lineRule="exact"/>
        <w:ind w:left="709" w:hanging="425"/>
        <w:contextualSpacing/>
        <w:rPr>
          <w:rFonts w:ascii="標楷體" w:hAnsi="標楷體"/>
          <w:sz w:val="32"/>
          <w:szCs w:val="32"/>
        </w:rPr>
      </w:pPr>
      <w:r w:rsidRPr="005E10B3">
        <w:rPr>
          <w:rFonts w:ascii="標楷體" w:hAnsi="標楷體" w:hint="eastAsia"/>
          <w:sz w:val="32"/>
          <w:szCs w:val="32"/>
        </w:rPr>
        <w:t>取得永久</w:t>
      </w:r>
      <w:r w:rsidR="00E46654">
        <w:rPr>
          <w:rFonts w:ascii="標楷體" w:hAnsi="標楷體" w:hint="eastAsia"/>
          <w:sz w:val="32"/>
          <w:szCs w:val="32"/>
        </w:rPr>
        <w:t>居留外國專業人才得適用勞退新制、外籍公立學校教師得支領月退休金。</w:t>
      </w:r>
    </w:p>
    <w:p w:rsidR="007825E0" w:rsidRDefault="007825E0" w:rsidP="00406340">
      <w:pPr>
        <w:pStyle w:val="k02"/>
        <w:numPr>
          <w:ilvl w:val="0"/>
          <w:numId w:val="11"/>
        </w:numPr>
        <w:tabs>
          <w:tab w:val="clear" w:pos="960"/>
          <w:tab w:val="clear" w:pos="1920"/>
          <w:tab w:val="clear" w:pos="2880"/>
        </w:tabs>
        <w:spacing w:afterLines="50" w:after="180" w:line="500" w:lineRule="exact"/>
        <w:ind w:left="709" w:hanging="425"/>
        <w:contextualSpacing/>
        <w:rPr>
          <w:rFonts w:ascii="標楷體" w:hAnsi="標楷體"/>
          <w:sz w:val="32"/>
          <w:szCs w:val="32"/>
        </w:rPr>
      </w:pPr>
      <w:r w:rsidRPr="005E10B3">
        <w:rPr>
          <w:rFonts w:ascii="標楷體" w:hAnsi="標楷體" w:hint="eastAsia"/>
          <w:sz w:val="32"/>
          <w:szCs w:val="32"/>
        </w:rPr>
        <w:t>放寬受聘僱外國專業人才之配偶、未成年子女及成年身心障礙子女納入健保免除</w:t>
      </w:r>
      <w:r w:rsidRPr="005E10B3">
        <w:rPr>
          <w:rFonts w:ascii="標楷體" w:hAnsi="標楷體"/>
          <w:sz w:val="32"/>
          <w:szCs w:val="32"/>
        </w:rPr>
        <w:t>6</w:t>
      </w:r>
      <w:r w:rsidRPr="005E10B3">
        <w:rPr>
          <w:rFonts w:ascii="標楷體" w:hAnsi="標楷體" w:hint="eastAsia"/>
          <w:sz w:val="32"/>
          <w:szCs w:val="32"/>
        </w:rPr>
        <w:t>個月等待期</w:t>
      </w:r>
      <w:r w:rsidR="00E46654">
        <w:rPr>
          <w:rFonts w:ascii="標楷體" w:hAnsi="標楷體" w:hint="eastAsia"/>
          <w:sz w:val="32"/>
          <w:szCs w:val="32"/>
        </w:rPr>
        <w:t>。</w:t>
      </w:r>
    </w:p>
    <w:p w:rsidR="007825E0" w:rsidRDefault="007825E0" w:rsidP="00406340">
      <w:pPr>
        <w:pStyle w:val="k02"/>
        <w:numPr>
          <w:ilvl w:val="0"/>
          <w:numId w:val="11"/>
        </w:numPr>
        <w:tabs>
          <w:tab w:val="clear" w:pos="960"/>
          <w:tab w:val="clear" w:pos="1920"/>
          <w:tab w:val="clear" w:pos="2880"/>
        </w:tabs>
        <w:spacing w:afterLines="50" w:after="180" w:line="500" w:lineRule="exact"/>
        <w:ind w:left="709" w:hanging="425"/>
        <w:contextualSpacing/>
        <w:rPr>
          <w:rFonts w:ascii="標楷體" w:hAnsi="標楷體"/>
          <w:sz w:val="32"/>
          <w:szCs w:val="32"/>
        </w:rPr>
      </w:pPr>
      <w:r w:rsidRPr="005E10B3">
        <w:rPr>
          <w:rFonts w:ascii="標楷體" w:hAnsi="標楷體" w:hint="eastAsia"/>
          <w:sz w:val="32"/>
          <w:szCs w:val="32"/>
        </w:rPr>
        <w:t>外國特定專業人才來臺首</w:t>
      </w:r>
      <w:r w:rsidRPr="005E10B3">
        <w:rPr>
          <w:rFonts w:ascii="標楷體" w:hAnsi="標楷體"/>
          <w:sz w:val="32"/>
          <w:szCs w:val="32"/>
        </w:rPr>
        <w:t>3</w:t>
      </w:r>
      <w:r w:rsidRPr="005E10B3">
        <w:rPr>
          <w:rFonts w:ascii="標楷體" w:hAnsi="標楷體" w:hint="eastAsia"/>
          <w:sz w:val="32"/>
          <w:szCs w:val="32"/>
        </w:rPr>
        <w:t>年，薪資所得超過新台幣</w:t>
      </w:r>
      <w:r w:rsidRPr="005E10B3">
        <w:rPr>
          <w:rFonts w:ascii="標楷體" w:hAnsi="標楷體"/>
          <w:sz w:val="32"/>
          <w:szCs w:val="32"/>
        </w:rPr>
        <w:t>300</w:t>
      </w:r>
      <w:r w:rsidRPr="005E10B3">
        <w:rPr>
          <w:rFonts w:ascii="標楷體" w:hAnsi="標楷體" w:hint="eastAsia"/>
          <w:sz w:val="32"/>
          <w:szCs w:val="32"/>
        </w:rPr>
        <w:t>萬元部分，折半課稅。</w:t>
      </w:r>
    </w:p>
    <w:p w:rsidR="00896CAE" w:rsidRPr="009E3070" w:rsidRDefault="00C226DC" w:rsidP="00406340">
      <w:pPr>
        <w:pStyle w:val="k02"/>
        <w:spacing w:afterLines="50" w:after="180" w:line="500" w:lineRule="exact"/>
        <w:ind w:firstLine="709"/>
        <w:contextualSpacing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為提升本法實施效益</w:t>
      </w:r>
      <w:r w:rsidR="00896CAE" w:rsidRPr="00896CAE">
        <w:rPr>
          <w:rFonts w:ascii="標楷體" w:hAnsi="標楷體" w:hint="eastAsia"/>
          <w:sz w:val="32"/>
          <w:szCs w:val="32"/>
        </w:rPr>
        <w:t>，</w:t>
      </w:r>
      <w:r w:rsidR="00896CAE">
        <w:rPr>
          <w:rFonts w:ascii="標楷體" w:hAnsi="標楷體" w:hint="eastAsia"/>
          <w:sz w:val="32"/>
          <w:szCs w:val="32"/>
        </w:rPr>
        <w:t>國發會刻</w:t>
      </w:r>
      <w:r>
        <w:rPr>
          <w:rFonts w:ascii="標楷體" w:hAnsi="標楷體" w:hint="eastAsia"/>
          <w:sz w:val="32"/>
          <w:szCs w:val="32"/>
        </w:rPr>
        <w:t>正</w:t>
      </w:r>
      <w:r w:rsidR="009F6740">
        <w:rPr>
          <w:rFonts w:ascii="標楷體" w:hAnsi="標楷體" w:hint="eastAsia"/>
          <w:sz w:val="32"/>
          <w:szCs w:val="32"/>
        </w:rPr>
        <w:t>積極</w:t>
      </w:r>
      <w:r w:rsidR="00896CAE" w:rsidRPr="00896CAE">
        <w:rPr>
          <w:rFonts w:ascii="標楷體" w:hAnsi="標楷體" w:hint="eastAsia"/>
          <w:sz w:val="32"/>
          <w:szCs w:val="32"/>
        </w:rPr>
        <w:t>協同各部會</w:t>
      </w:r>
      <w:r w:rsidR="00896CAE">
        <w:rPr>
          <w:rFonts w:ascii="標楷體" w:hAnsi="標楷體" w:hint="eastAsia"/>
          <w:sz w:val="32"/>
          <w:szCs w:val="32"/>
        </w:rPr>
        <w:t>加</w:t>
      </w:r>
      <w:r w:rsidR="00896CAE" w:rsidRPr="00896CAE">
        <w:rPr>
          <w:rFonts w:ascii="標楷體" w:hAnsi="標楷體" w:hint="eastAsia"/>
          <w:sz w:val="32"/>
          <w:szCs w:val="32"/>
        </w:rPr>
        <w:t>速</w:t>
      </w:r>
      <w:r w:rsidR="009E3070">
        <w:rPr>
          <w:rFonts w:ascii="標楷體" w:hAnsi="標楷體" w:hint="eastAsia"/>
          <w:sz w:val="32"/>
          <w:szCs w:val="32"/>
        </w:rPr>
        <w:t>完成</w:t>
      </w:r>
      <w:r w:rsidR="00896CAE" w:rsidRPr="00896CAE">
        <w:rPr>
          <w:rFonts w:ascii="標楷體" w:hAnsi="標楷體" w:hint="eastAsia"/>
          <w:sz w:val="32"/>
          <w:szCs w:val="32"/>
        </w:rPr>
        <w:t>相關子法及配套措施擬訂及預告作業等，</w:t>
      </w:r>
      <w:r w:rsidRPr="00C226DC">
        <w:rPr>
          <w:rFonts w:ascii="標楷體" w:hAnsi="標楷體" w:hint="eastAsia"/>
          <w:sz w:val="32"/>
          <w:szCs w:val="32"/>
        </w:rPr>
        <w:t>以期</w:t>
      </w:r>
      <w:r w:rsidR="00A85F10">
        <w:rPr>
          <w:rFonts w:ascii="標楷體" w:hAnsi="標楷體" w:hint="eastAsia"/>
          <w:sz w:val="32"/>
          <w:szCs w:val="32"/>
        </w:rPr>
        <w:t>本</w:t>
      </w:r>
      <w:r w:rsidR="000C3798" w:rsidRPr="000C3798">
        <w:rPr>
          <w:rFonts w:ascii="標楷體" w:hAnsi="標楷體" w:hint="eastAsia"/>
          <w:sz w:val="32"/>
          <w:szCs w:val="32"/>
        </w:rPr>
        <w:t>法與</w:t>
      </w:r>
      <w:r w:rsidR="00A85F10">
        <w:rPr>
          <w:rFonts w:ascii="標楷體" w:hAnsi="標楷體" w:hint="eastAsia"/>
          <w:sz w:val="32"/>
          <w:szCs w:val="32"/>
        </w:rPr>
        <w:t>其</w:t>
      </w:r>
      <w:r w:rsidR="000C3798" w:rsidRPr="000C3798">
        <w:rPr>
          <w:rFonts w:ascii="標楷體" w:hAnsi="標楷體" w:hint="eastAsia"/>
          <w:sz w:val="32"/>
          <w:szCs w:val="32"/>
        </w:rPr>
        <w:t>子法得於107年農曆年前同步施行</w:t>
      </w:r>
      <w:r w:rsidRPr="00C226DC">
        <w:rPr>
          <w:rFonts w:ascii="標楷體" w:hAnsi="標楷體" w:hint="eastAsia"/>
          <w:sz w:val="32"/>
          <w:szCs w:val="32"/>
        </w:rPr>
        <w:t>。</w:t>
      </w:r>
      <w:r w:rsidR="00406340">
        <w:rPr>
          <w:rFonts w:ascii="標楷體" w:hAnsi="標楷體" w:hint="eastAsia"/>
          <w:sz w:val="32"/>
          <w:szCs w:val="32"/>
        </w:rPr>
        <w:t>同時</w:t>
      </w:r>
      <w:r w:rsidR="00B86F7D">
        <w:rPr>
          <w:rFonts w:ascii="標楷體" w:hAnsi="標楷體" w:hint="eastAsia"/>
          <w:sz w:val="32"/>
          <w:szCs w:val="32"/>
        </w:rPr>
        <w:t>，</w:t>
      </w:r>
      <w:r w:rsidR="00406340">
        <w:rPr>
          <w:rFonts w:ascii="標楷體" w:hAnsi="標楷體" w:hint="eastAsia"/>
          <w:sz w:val="32"/>
          <w:szCs w:val="32"/>
        </w:rPr>
        <w:t>國發會亦將進一步</w:t>
      </w:r>
      <w:r w:rsidR="009E3070" w:rsidRPr="009E3070">
        <w:rPr>
          <w:rFonts w:ascii="標楷體" w:hAnsi="標楷體" w:hint="eastAsia"/>
          <w:sz w:val="32"/>
          <w:szCs w:val="32"/>
        </w:rPr>
        <w:t>協調相關部會</w:t>
      </w:r>
      <w:r w:rsidR="009E3070">
        <w:rPr>
          <w:rFonts w:ascii="標楷體" w:hAnsi="標楷體" w:hint="eastAsia"/>
          <w:sz w:val="32"/>
          <w:szCs w:val="32"/>
        </w:rPr>
        <w:t>擴大推動積極性攬才政策，啟動新一波</w:t>
      </w:r>
      <w:r w:rsidR="00987EBF">
        <w:rPr>
          <w:rFonts w:ascii="標楷體" w:hAnsi="標楷體" w:hint="eastAsia"/>
          <w:sz w:val="32"/>
          <w:szCs w:val="32"/>
        </w:rPr>
        <w:t>外國</w:t>
      </w:r>
      <w:r w:rsidR="009E3070">
        <w:rPr>
          <w:rFonts w:ascii="標楷體" w:hAnsi="標楷體" w:hint="eastAsia"/>
          <w:sz w:val="32"/>
          <w:szCs w:val="32"/>
        </w:rPr>
        <w:t>專業人才</w:t>
      </w:r>
      <w:r w:rsidR="00FE3991">
        <w:rPr>
          <w:rFonts w:ascii="標楷體" w:hAnsi="標楷體" w:hint="eastAsia"/>
          <w:sz w:val="32"/>
          <w:szCs w:val="32"/>
        </w:rPr>
        <w:t>全球</w:t>
      </w:r>
      <w:r w:rsidR="00346029">
        <w:rPr>
          <w:rFonts w:ascii="標楷體" w:hAnsi="標楷體" w:hint="eastAsia"/>
          <w:sz w:val="32"/>
          <w:szCs w:val="32"/>
        </w:rPr>
        <w:t>延</w:t>
      </w:r>
      <w:r w:rsidR="00FE3991">
        <w:rPr>
          <w:rFonts w:ascii="標楷體" w:hAnsi="標楷體" w:hint="eastAsia"/>
          <w:sz w:val="32"/>
          <w:szCs w:val="32"/>
        </w:rPr>
        <w:t>攬行動</w:t>
      </w:r>
      <w:r w:rsidR="00876675" w:rsidRPr="002D73B6">
        <w:rPr>
          <w:rFonts w:ascii="標楷體" w:hAnsi="標楷體" w:hint="eastAsia"/>
          <w:sz w:val="32"/>
          <w:szCs w:val="32"/>
        </w:rPr>
        <w:t>。</w:t>
      </w:r>
    </w:p>
    <w:sectPr w:rsidR="00896CAE" w:rsidRPr="009E3070" w:rsidSect="00D6441E">
      <w:footerReference w:type="default" r:id="rId10"/>
      <w:pgSz w:w="11906" w:h="16838"/>
      <w:pgMar w:top="1418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D6" w:rsidRDefault="005463D6" w:rsidP="00784A4F">
      <w:r>
        <w:separator/>
      </w:r>
    </w:p>
  </w:endnote>
  <w:endnote w:type="continuationSeparator" w:id="0">
    <w:p w:rsidR="005463D6" w:rsidRDefault="005463D6" w:rsidP="007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34152"/>
      <w:docPartObj>
        <w:docPartGallery w:val="Page Numbers (Bottom of Page)"/>
        <w:docPartUnique/>
      </w:docPartObj>
    </w:sdtPr>
    <w:sdtEndPr/>
    <w:sdtContent>
      <w:p w:rsidR="00DD060A" w:rsidRDefault="00DD0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EAE" w:rsidRPr="006C1EAE">
          <w:rPr>
            <w:noProof/>
            <w:lang w:val="zh-TW"/>
          </w:rPr>
          <w:t>2</w:t>
        </w:r>
        <w:r>
          <w:fldChar w:fldCharType="end"/>
        </w:r>
      </w:p>
    </w:sdtContent>
  </w:sdt>
  <w:p w:rsidR="00DD060A" w:rsidRDefault="00DD0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D6" w:rsidRDefault="005463D6" w:rsidP="00784A4F">
      <w:r>
        <w:separator/>
      </w:r>
    </w:p>
  </w:footnote>
  <w:footnote w:type="continuationSeparator" w:id="0">
    <w:p w:rsidR="005463D6" w:rsidRDefault="005463D6" w:rsidP="0078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74E"/>
    <w:multiLevelType w:val="hybridMultilevel"/>
    <w:tmpl w:val="DEE0F8E4"/>
    <w:lvl w:ilvl="0" w:tplc="04090015">
      <w:start w:val="1"/>
      <w:numFmt w:val="taiwaneseCountingThousand"/>
      <w:lvlText w:val="%1、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">
    <w:nsid w:val="33DA755C"/>
    <w:multiLevelType w:val="hybridMultilevel"/>
    <w:tmpl w:val="3A683300"/>
    <w:lvl w:ilvl="0" w:tplc="FA4E2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A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5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A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8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0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5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0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53746"/>
    <w:multiLevelType w:val="hybridMultilevel"/>
    <w:tmpl w:val="627C9FD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3">
    <w:nsid w:val="451E5D4F"/>
    <w:multiLevelType w:val="hybridMultilevel"/>
    <w:tmpl w:val="14D6ABF4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">
    <w:nsid w:val="498B0E38"/>
    <w:multiLevelType w:val="hybridMultilevel"/>
    <w:tmpl w:val="607011CA"/>
    <w:lvl w:ilvl="0" w:tplc="C592F5D6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5">
    <w:nsid w:val="4A8D3DF3"/>
    <w:multiLevelType w:val="hybridMultilevel"/>
    <w:tmpl w:val="B576DF3E"/>
    <w:lvl w:ilvl="0" w:tplc="8EC0E5FC">
      <w:start w:val="1"/>
      <w:numFmt w:val="taiwaneseCountingThousand"/>
      <w:lvlText w:val="(%1)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6">
    <w:nsid w:val="4C7E4D1F"/>
    <w:multiLevelType w:val="hybridMultilevel"/>
    <w:tmpl w:val="EC54E60A"/>
    <w:lvl w:ilvl="0" w:tplc="5B2AE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BECD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E660F1"/>
    <w:multiLevelType w:val="hybridMultilevel"/>
    <w:tmpl w:val="72C8D21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8">
    <w:nsid w:val="58B30412"/>
    <w:multiLevelType w:val="hybridMultilevel"/>
    <w:tmpl w:val="C8143BF4"/>
    <w:lvl w:ilvl="0" w:tplc="0409000F">
      <w:start w:val="1"/>
      <w:numFmt w:val="decimal"/>
      <w:lvlText w:val="%1."/>
      <w:lvlJc w:val="left"/>
      <w:pPr>
        <w:ind w:left="2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9">
    <w:nsid w:val="6E0A3908"/>
    <w:multiLevelType w:val="hybridMultilevel"/>
    <w:tmpl w:val="7C0C45D4"/>
    <w:lvl w:ilvl="0" w:tplc="C598F1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12471E"/>
    <w:multiLevelType w:val="hybridMultilevel"/>
    <w:tmpl w:val="1D2CA496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1"/>
    <w:rsid w:val="000059E4"/>
    <w:rsid w:val="00011F1C"/>
    <w:rsid w:val="000679C7"/>
    <w:rsid w:val="000A06EE"/>
    <w:rsid w:val="000B6097"/>
    <w:rsid w:val="000C3798"/>
    <w:rsid w:val="000D54FB"/>
    <w:rsid w:val="000F3C0E"/>
    <w:rsid w:val="00102B8F"/>
    <w:rsid w:val="00103F24"/>
    <w:rsid w:val="00115562"/>
    <w:rsid w:val="00117CFE"/>
    <w:rsid w:val="00120707"/>
    <w:rsid w:val="00122F14"/>
    <w:rsid w:val="00135F2C"/>
    <w:rsid w:val="00137E7C"/>
    <w:rsid w:val="001422D1"/>
    <w:rsid w:val="001522C6"/>
    <w:rsid w:val="001565AB"/>
    <w:rsid w:val="001603AD"/>
    <w:rsid w:val="00163EFB"/>
    <w:rsid w:val="00172D9A"/>
    <w:rsid w:val="00173D1E"/>
    <w:rsid w:val="001D74C2"/>
    <w:rsid w:val="001E1489"/>
    <w:rsid w:val="001E6743"/>
    <w:rsid w:val="001F5679"/>
    <w:rsid w:val="002119DF"/>
    <w:rsid w:val="00230E31"/>
    <w:rsid w:val="00237118"/>
    <w:rsid w:val="00244A31"/>
    <w:rsid w:val="00254FEC"/>
    <w:rsid w:val="002A48B0"/>
    <w:rsid w:val="002C2DD9"/>
    <w:rsid w:val="002C5D97"/>
    <w:rsid w:val="002D73B6"/>
    <w:rsid w:val="002E0658"/>
    <w:rsid w:val="002F6EDC"/>
    <w:rsid w:val="0030718F"/>
    <w:rsid w:val="0032467A"/>
    <w:rsid w:val="00346029"/>
    <w:rsid w:val="00354E77"/>
    <w:rsid w:val="00361E37"/>
    <w:rsid w:val="00363D7B"/>
    <w:rsid w:val="003765C1"/>
    <w:rsid w:val="00392CF2"/>
    <w:rsid w:val="003978E6"/>
    <w:rsid w:val="003A0241"/>
    <w:rsid w:val="003A7300"/>
    <w:rsid w:val="003B2347"/>
    <w:rsid w:val="003C28B5"/>
    <w:rsid w:val="003D59CE"/>
    <w:rsid w:val="003F4D90"/>
    <w:rsid w:val="00406340"/>
    <w:rsid w:val="004168B1"/>
    <w:rsid w:val="00472100"/>
    <w:rsid w:val="004B3704"/>
    <w:rsid w:val="004C4147"/>
    <w:rsid w:val="004F602C"/>
    <w:rsid w:val="004F7393"/>
    <w:rsid w:val="00505882"/>
    <w:rsid w:val="00531EDA"/>
    <w:rsid w:val="005463D6"/>
    <w:rsid w:val="0055631B"/>
    <w:rsid w:val="0056592B"/>
    <w:rsid w:val="00577859"/>
    <w:rsid w:val="00587456"/>
    <w:rsid w:val="0059162E"/>
    <w:rsid w:val="005B6DFE"/>
    <w:rsid w:val="005D0CA3"/>
    <w:rsid w:val="005E10B3"/>
    <w:rsid w:val="005F3604"/>
    <w:rsid w:val="00640A6B"/>
    <w:rsid w:val="006840B5"/>
    <w:rsid w:val="0069344F"/>
    <w:rsid w:val="006A2A93"/>
    <w:rsid w:val="006B66FF"/>
    <w:rsid w:val="006C1EAE"/>
    <w:rsid w:val="006C656E"/>
    <w:rsid w:val="006D61AA"/>
    <w:rsid w:val="006F17C1"/>
    <w:rsid w:val="006F76C5"/>
    <w:rsid w:val="00704851"/>
    <w:rsid w:val="00712550"/>
    <w:rsid w:val="00713C91"/>
    <w:rsid w:val="007339D6"/>
    <w:rsid w:val="00736358"/>
    <w:rsid w:val="00743B03"/>
    <w:rsid w:val="00760518"/>
    <w:rsid w:val="007702A0"/>
    <w:rsid w:val="00772E01"/>
    <w:rsid w:val="007825E0"/>
    <w:rsid w:val="00784A4F"/>
    <w:rsid w:val="007A7E8D"/>
    <w:rsid w:val="007C15FB"/>
    <w:rsid w:val="008357A6"/>
    <w:rsid w:val="00843270"/>
    <w:rsid w:val="0086299E"/>
    <w:rsid w:val="00873A2E"/>
    <w:rsid w:val="00873B65"/>
    <w:rsid w:val="00876675"/>
    <w:rsid w:val="00887ABF"/>
    <w:rsid w:val="00896CAE"/>
    <w:rsid w:val="008D015B"/>
    <w:rsid w:val="00947CFF"/>
    <w:rsid w:val="00961328"/>
    <w:rsid w:val="00962B52"/>
    <w:rsid w:val="00972622"/>
    <w:rsid w:val="00987EBF"/>
    <w:rsid w:val="00990A20"/>
    <w:rsid w:val="00991147"/>
    <w:rsid w:val="00994C24"/>
    <w:rsid w:val="009B0CDD"/>
    <w:rsid w:val="009B186F"/>
    <w:rsid w:val="009C01AA"/>
    <w:rsid w:val="009C07A2"/>
    <w:rsid w:val="009E3070"/>
    <w:rsid w:val="009F1B23"/>
    <w:rsid w:val="009F6740"/>
    <w:rsid w:val="00A21298"/>
    <w:rsid w:val="00A27EC7"/>
    <w:rsid w:val="00A42D20"/>
    <w:rsid w:val="00A43EF4"/>
    <w:rsid w:val="00A441C9"/>
    <w:rsid w:val="00A82074"/>
    <w:rsid w:val="00A85F10"/>
    <w:rsid w:val="00AB1832"/>
    <w:rsid w:val="00AB7CA3"/>
    <w:rsid w:val="00AC5AFC"/>
    <w:rsid w:val="00AF4C2B"/>
    <w:rsid w:val="00B10310"/>
    <w:rsid w:val="00B141AA"/>
    <w:rsid w:val="00B365F0"/>
    <w:rsid w:val="00B403BF"/>
    <w:rsid w:val="00B478EE"/>
    <w:rsid w:val="00B519B5"/>
    <w:rsid w:val="00B62BB3"/>
    <w:rsid w:val="00B84209"/>
    <w:rsid w:val="00B86F7D"/>
    <w:rsid w:val="00B90E19"/>
    <w:rsid w:val="00BB6FBA"/>
    <w:rsid w:val="00BD3175"/>
    <w:rsid w:val="00BE7762"/>
    <w:rsid w:val="00BE7D63"/>
    <w:rsid w:val="00C060AA"/>
    <w:rsid w:val="00C15B80"/>
    <w:rsid w:val="00C17A7F"/>
    <w:rsid w:val="00C224F1"/>
    <w:rsid w:val="00C226DC"/>
    <w:rsid w:val="00C2402C"/>
    <w:rsid w:val="00C27557"/>
    <w:rsid w:val="00C52BA9"/>
    <w:rsid w:val="00C72CD4"/>
    <w:rsid w:val="00C770B9"/>
    <w:rsid w:val="00C9440E"/>
    <w:rsid w:val="00CB1ADF"/>
    <w:rsid w:val="00CC19ED"/>
    <w:rsid w:val="00D07149"/>
    <w:rsid w:val="00D41C8F"/>
    <w:rsid w:val="00D53A4E"/>
    <w:rsid w:val="00D60D5B"/>
    <w:rsid w:val="00D61C58"/>
    <w:rsid w:val="00D6441E"/>
    <w:rsid w:val="00D8338D"/>
    <w:rsid w:val="00DA1FF5"/>
    <w:rsid w:val="00DA2E08"/>
    <w:rsid w:val="00DA50A4"/>
    <w:rsid w:val="00DD060A"/>
    <w:rsid w:val="00DD6241"/>
    <w:rsid w:val="00DE4909"/>
    <w:rsid w:val="00E058C4"/>
    <w:rsid w:val="00E12985"/>
    <w:rsid w:val="00E46654"/>
    <w:rsid w:val="00E47B14"/>
    <w:rsid w:val="00E95488"/>
    <w:rsid w:val="00EA540D"/>
    <w:rsid w:val="00EA5CE2"/>
    <w:rsid w:val="00EB4369"/>
    <w:rsid w:val="00ED3028"/>
    <w:rsid w:val="00ED4BE6"/>
    <w:rsid w:val="00F02DC4"/>
    <w:rsid w:val="00F16AD4"/>
    <w:rsid w:val="00F344EA"/>
    <w:rsid w:val="00F47E9C"/>
    <w:rsid w:val="00F507A3"/>
    <w:rsid w:val="00F66198"/>
    <w:rsid w:val="00F83290"/>
    <w:rsid w:val="00F8665E"/>
    <w:rsid w:val="00FA07E9"/>
    <w:rsid w:val="00FA1397"/>
    <w:rsid w:val="00FA2965"/>
    <w:rsid w:val="00FA38C7"/>
    <w:rsid w:val="00FD770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B341-3503-4AE1-A3BA-7F56392C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高育幸</dc:creator>
  <cp:lastModifiedBy>ACER</cp:lastModifiedBy>
  <cp:revision>2</cp:revision>
  <cp:lastPrinted>2017-10-31T08:33:00Z</cp:lastPrinted>
  <dcterms:created xsi:type="dcterms:W3CDTF">2017-11-02T06:21:00Z</dcterms:created>
  <dcterms:modified xsi:type="dcterms:W3CDTF">2017-11-02T06:21:00Z</dcterms:modified>
</cp:coreProperties>
</file>