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4B2E" w14:textId="345224E4" w:rsidR="0037344E" w:rsidRPr="004A3C2F" w:rsidRDefault="00B71F32" w:rsidP="0074638B">
      <w:pPr>
        <w:widowControl/>
        <w:spacing w:line="540" w:lineRule="exact"/>
        <w:rPr>
          <w:rFonts w:ascii="標楷體" w:eastAsia="標楷體" w:hAnsi="標楷體"/>
          <w:b/>
          <w:strike/>
          <w:kern w:val="0"/>
          <w:sz w:val="32"/>
          <w:szCs w:val="32"/>
          <w:lang w:bidi="ta-IN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2DCAE539" wp14:editId="4F135935">
            <wp:simplePos x="0" y="0"/>
            <wp:positionH relativeFrom="column">
              <wp:posOffset>-13970</wp:posOffset>
            </wp:positionH>
            <wp:positionV relativeFrom="paragraph">
              <wp:posOffset>-9525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BFB4D" w14:textId="77777777" w:rsidR="0037344E" w:rsidRPr="004A3C2F" w:rsidRDefault="0037344E" w:rsidP="009B2173">
      <w:pPr>
        <w:widowControl/>
        <w:spacing w:line="540" w:lineRule="exact"/>
        <w:jc w:val="center"/>
        <w:rPr>
          <w:rFonts w:ascii="標楷體" w:eastAsia="標楷體" w:hAnsi="標楷體"/>
          <w:b/>
          <w:kern w:val="0"/>
          <w:sz w:val="36"/>
          <w:szCs w:val="36"/>
          <w:lang w:bidi="ta-IN"/>
        </w:rPr>
      </w:pPr>
      <w:r w:rsidRPr="004A3C2F">
        <w:rPr>
          <w:rFonts w:ascii="標楷體" w:eastAsia="標楷體" w:hAnsi="標楷體"/>
          <w:b/>
          <w:kern w:val="0"/>
          <w:sz w:val="36"/>
          <w:szCs w:val="36"/>
          <w:lang w:bidi="ta-IN"/>
        </w:rPr>
        <w:t>國家發展委員會 新聞稿</w:t>
      </w:r>
    </w:p>
    <w:p w14:paraId="76B49FC5" w14:textId="6A85B606" w:rsidR="0037344E" w:rsidRPr="004A3C2F" w:rsidRDefault="0037344E" w:rsidP="00357B99">
      <w:pPr>
        <w:spacing w:beforeLines="30" w:before="108" w:line="280" w:lineRule="exact"/>
        <w:ind w:leftChars="2185" w:left="5244" w:rightChars="-236" w:right="-566"/>
        <w:jc w:val="both"/>
        <w:rPr>
          <w:rFonts w:ascii="標楷體" w:eastAsia="標楷體" w:hAnsi="標楷體"/>
        </w:rPr>
      </w:pPr>
      <w:r w:rsidRPr="004A3C2F">
        <w:rPr>
          <w:rFonts w:ascii="標楷體" w:eastAsia="標楷體" w:hAnsi="標楷體" w:hint="eastAsia"/>
        </w:rPr>
        <w:t>發布日期：</w:t>
      </w:r>
      <w:r w:rsidR="00F60EF9">
        <w:rPr>
          <w:rFonts w:ascii="標楷體" w:eastAsia="標楷體" w:hAnsi="標楷體" w:hint="eastAsia"/>
        </w:rPr>
        <w:t>106</w:t>
      </w:r>
      <w:r w:rsidR="00496E53">
        <w:rPr>
          <w:rFonts w:ascii="標楷體" w:eastAsia="標楷體" w:hAnsi="標楷體" w:hint="eastAsia"/>
        </w:rPr>
        <w:t>年</w:t>
      </w:r>
      <w:r w:rsidR="00852A0B">
        <w:rPr>
          <w:rFonts w:ascii="標楷體" w:eastAsia="標楷體" w:hAnsi="標楷體" w:hint="eastAsia"/>
        </w:rPr>
        <w:t>8</w:t>
      </w:r>
      <w:r w:rsidR="00496E53">
        <w:rPr>
          <w:rFonts w:ascii="標楷體" w:eastAsia="標楷體" w:hAnsi="標楷體" w:hint="eastAsia"/>
        </w:rPr>
        <w:t>月</w:t>
      </w:r>
      <w:r w:rsidR="00852A0B">
        <w:rPr>
          <w:rFonts w:ascii="標楷體" w:eastAsia="標楷體" w:hAnsi="標楷體" w:hint="eastAsia"/>
        </w:rPr>
        <w:t>15</w:t>
      </w:r>
      <w:r w:rsidRPr="004A3C2F">
        <w:rPr>
          <w:rFonts w:ascii="標楷體" w:eastAsia="標楷體" w:hAnsi="標楷體" w:hint="eastAsia"/>
        </w:rPr>
        <w:t>日</w:t>
      </w:r>
    </w:p>
    <w:p w14:paraId="0A6250DD" w14:textId="1029175F" w:rsidR="0037344E" w:rsidRPr="004A3C2F" w:rsidRDefault="0037344E" w:rsidP="00357B99">
      <w:pPr>
        <w:spacing w:line="280" w:lineRule="exact"/>
        <w:ind w:leftChars="2185" w:left="5244" w:rightChars="-236" w:right="-566"/>
        <w:jc w:val="both"/>
        <w:rPr>
          <w:rFonts w:ascii="標楷體" w:eastAsia="標楷體" w:hAnsi="標楷體"/>
        </w:rPr>
      </w:pPr>
      <w:r w:rsidRPr="004A3C2F">
        <w:rPr>
          <w:rFonts w:ascii="標楷體" w:eastAsia="標楷體" w:hAnsi="標楷體" w:hint="eastAsia"/>
        </w:rPr>
        <w:t>聯</w:t>
      </w:r>
      <w:r w:rsidRPr="004A3C2F">
        <w:rPr>
          <w:rFonts w:ascii="標楷體" w:eastAsia="標楷體" w:hAnsi="標楷體"/>
        </w:rPr>
        <w:t xml:space="preserve"> </w:t>
      </w:r>
      <w:r w:rsidRPr="004A3C2F">
        <w:rPr>
          <w:rFonts w:ascii="標楷體" w:eastAsia="標楷體" w:hAnsi="標楷體" w:hint="eastAsia"/>
        </w:rPr>
        <w:t>絡</w:t>
      </w:r>
      <w:r w:rsidRPr="004A3C2F">
        <w:rPr>
          <w:rFonts w:ascii="標楷體" w:eastAsia="標楷體" w:hAnsi="標楷體"/>
        </w:rPr>
        <w:t xml:space="preserve"> </w:t>
      </w:r>
      <w:r w:rsidRPr="004A3C2F">
        <w:rPr>
          <w:rFonts w:ascii="標楷體" w:eastAsia="標楷體" w:hAnsi="標楷體" w:hint="eastAsia"/>
        </w:rPr>
        <w:t>人：</w:t>
      </w:r>
      <w:proofErr w:type="gramStart"/>
      <w:r w:rsidR="00E02C54">
        <w:rPr>
          <w:rFonts w:ascii="標楷體" w:eastAsia="標楷體" w:hAnsi="標楷體" w:hint="eastAsia"/>
        </w:rPr>
        <w:t>郭翡</w:t>
      </w:r>
      <w:proofErr w:type="gramEnd"/>
      <w:r w:rsidR="00E02C54">
        <w:rPr>
          <w:rFonts w:ascii="標楷體" w:eastAsia="標楷體" w:hAnsi="標楷體" w:hint="eastAsia"/>
        </w:rPr>
        <w:t>玉</w:t>
      </w:r>
      <w:r w:rsidR="00496E53">
        <w:rPr>
          <w:rFonts w:ascii="標楷體" w:eastAsia="標楷體" w:hAnsi="標楷體" w:hint="eastAsia"/>
        </w:rPr>
        <w:t>、蘇玉守</w:t>
      </w:r>
    </w:p>
    <w:p w14:paraId="7DEE6061" w14:textId="77777777" w:rsidR="00357B99" w:rsidRDefault="0037344E" w:rsidP="00357B99">
      <w:pPr>
        <w:spacing w:line="280" w:lineRule="exact"/>
        <w:ind w:leftChars="2185" w:left="5244" w:rightChars="-236" w:right="-566"/>
        <w:jc w:val="both"/>
        <w:rPr>
          <w:rFonts w:ascii="標楷體" w:eastAsia="標楷體" w:hAnsi="標楷體"/>
        </w:rPr>
      </w:pPr>
      <w:r w:rsidRPr="004A3C2F">
        <w:rPr>
          <w:rFonts w:ascii="標楷體" w:eastAsia="標楷體" w:hAnsi="標楷體" w:hint="eastAsia"/>
        </w:rPr>
        <w:t>聯絡電話：</w:t>
      </w:r>
      <w:r w:rsidR="009B2173" w:rsidRPr="004A3C2F">
        <w:rPr>
          <w:rFonts w:ascii="標楷體" w:eastAsia="標楷體" w:hAnsi="標楷體" w:hint="eastAsia"/>
        </w:rPr>
        <w:t>2316-</w:t>
      </w:r>
      <w:r w:rsidR="00357B99">
        <w:rPr>
          <w:rFonts w:ascii="標楷體" w:eastAsia="標楷體" w:hAnsi="標楷體" w:hint="eastAsia"/>
        </w:rPr>
        <w:t>5300</w:t>
      </w:r>
    </w:p>
    <w:p w14:paraId="78C4F158" w14:textId="45D964BE" w:rsidR="0037344E" w:rsidRPr="004A3C2F" w:rsidRDefault="00357B99" w:rsidP="00357B99">
      <w:pPr>
        <w:spacing w:line="280" w:lineRule="exact"/>
        <w:ind w:leftChars="2185" w:left="5244" w:rightChars="-236" w:right="-566"/>
        <w:jc w:val="both"/>
        <w:rPr>
          <w:rFonts w:ascii="標楷體" w:eastAsia="標楷體" w:hAnsi="標楷體"/>
          <w:b/>
          <w:kern w:val="0"/>
          <w:sz w:val="36"/>
          <w:szCs w:val="36"/>
          <w:lang w:bidi="ta-IN"/>
        </w:rPr>
      </w:pPr>
      <w:r>
        <w:rPr>
          <w:rFonts w:ascii="標楷體" w:eastAsia="標楷體" w:hAnsi="標楷體" w:hint="eastAsia"/>
        </w:rPr>
        <w:t xml:space="preserve">          分機</w:t>
      </w:r>
      <w:r w:rsidR="00E02C54">
        <w:rPr>
          <w:rFonts w:ascii="標楷體" w:eastAsia="標楷體" w:hAnsi="標楷體" w:hint="eastAsia"/>
        </w:rPr>
        <w:t>5351</w:t>
      </w:r>
      <w:r>
        <w:rPr>
          <w:rFonts w:ascii="標楷體" w:eastAsia="標楷體" w:hAnsi="標楷體" w:hint="eastAsia"/>
        </w:rPr>
        <w:t>、5</w:t>
      </w:r>
      <w:r w:rsidR="009B2173" w:rsidRPr="004A3C2F">
        <w:rPr>
          <w:rFonts w:ascii="標楷體" w:eastAsia="標楷體" w:hAnsi="標楷體" w:hint="eastAsia"/>
        </w:rPr>
        <w:t>8</w:t>
      </w:r>
      <w:r w:rsidR="00496E53">
        <w:rPr>
          <w:rFonts w:ascii="標楷體" w:eastAsia="標楷體" w:hAnsi="標楷體" w:hint="eastAsia"/>
        </w:rPr>
        <w:t>16</w:t>
      </w:r>
    </w:p>
    <w:p w14:paraId="0F56F5EF" w14:textId="6EA6B9E0" w:rsidR="00835246" w:rsidRPr="00835246" w:rsidRDefault="00852A0B" w:rsidP="00012EFC">
      <w:pPr>
        <w:spacing w:before="100" w:beforeAutospacing="1" w:line="48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國際2050</w:t>
      </w:r>
      <w:r w:rsidR="00835246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研究綜</w:t>
      </w:r>
      <w:proofErr w:type="gramStart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覽</w:t>
      </w:r>
      <w:proofErr w:type="gramEnd"/>
    </w:p>
    <w:p w14:paraId="40EC0BB6" w14:textId="45352082" w:rsidR="00B30BC9" w:rsidRDefault="00DB44A9" w:rsidP="00DB44A9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自</w:t>
      </w:r>
      <w:r>
        <w:rPr>
          <w:rFonts w:ascii="標楷體" w:eastAsia="標楷體" w:hAnsi="標楷體"/>
          <w:sz w:val="32"/>
          <w:szCs w:val="32"/>
        </w:rPr>
        <w:t>2010年以後，國際上</w:t>
      </w:r>
      <w:r w:rsidR="0084572A">
        <w:rPr>
          <w:rFonts w:ascii="標楷體" w:eastAsia="標楷體" w:hAnsi="標楷體" w:hint="eastAsia"/>
          <w:sz w:val="32"/>
          <w:szCs w:val="32"/>
        </w:rPr>
        <w:t>許多研究機構紛紛就氣候變遷、能源、農糧、人口、社會、資源、科技、城市</w:t>
      </w:r>
      <w:r w:rsidR="00923633">
        <w:rPr>
          <w:rFonts w:ascii="標楷體" w:eastAsia="標楷體" w:hAnsi="標楷體" w:hint="eastAsia"/>
          <w:sz w:val="32"/>
          <w:szCs w:val="32"/>
        </w:rPr>
        <w:t>發展等議題進行</w:t>
      </w:r>
      <w:r>
        <w:rPr>
          <w:rFonts w:ascii="標楷體" w:eastAsia="標楷體" w:hAnsi="標楷體"/>
          <w:sz w:val="32"/>
          <w:szCs w:val="32"/>
        </w:rPr>
        <w:t>2050年</w:t>
      </w:r>
      <w:r w:rsidR="0084572A">
        <w:rPr>
          <w:rFonts w:ascii="標楷體" w:eastAsia="標楷體" w:hAnsi="標楷體" w:hint="eastAsia"/>
          <w:sz w:val="32"/>
          <w:szCs w:val="32"/>
        </w:rPr>
        <w:t>目標年之趨勢與情境分析，國發</w:t>
      </w:r>
      <w:r w:rsidR="00923633">
        <w:rPr>
          <w:rFonts w:ascii="標楷體" w:eastAsia="標楷體" w:hAnsi="標楷體" w:hint="eastAsia"/>
          <w:sz w:val="32"/>
          <w:szCs w:val="32"/>
        </w:rPr>
        <w:t>會</w:t>
      </w:r>
      <w:proofErr w:type="gramStart"/>
      <w:r w:rsidR="00BD0F69">
        <w:rPr>
          <w:rFonts w:ascii="標楷體" w:eastAsia="標楷體" w:hAnsi="標楷體" w:hint="eastAsia"/>
          <w:sz w:val="32"/>
          <w:szCs w:val="32"/>
        </w:rPr>
        <w:t>初步</w:t>
      </w:r>
      <w:r w:rsidR="0084572A">
        <w:rPr>
          <w:rFonts w:ascii="標楷體" w:eastAsia="標楷體" w:hAnsi="標楷體" w:hint="eastAsia"/>
          <w:sz w:val="32"/>
          <w:szCs w:val="32"/>
        </w:rPr>
        <w:t>綜整</w:t>
      </w:r>
      <w:proofErr w:type="gramEnd"/>
      <w:r w:rsidR="0084572A">
        <w:rPr>
          <w:rFonts w:ascii="標楷體" w:eastAsia="標楷體" w:hAnsi="標楷體" w:hint="eastAsia"/>
          <w:sz w:val="32"/>
          <w:szCs w:val="32"/>
        </w:rPr>
        <w:t>這些相關</w:t>
      </w:r>
      <w:r>
        <w:rPr>
          <w:rFonts w:ascii="標楷體" w:eastAsia="標楷體" w:hAnsi="標楷體"/>
          <w:sz w:val="32"/>
          <w:szCs w:val="32"/>
        </w:rPr>
        <w:t>2050年</w:t>
      </w:r>
      <w:r w:rsidR="0084572A">
        <w:rPr>
          <w:rFonts w:ascii="標楷體" w:eastAsia="標楷體" w:hAnsi="標楷體" w:hint="eastAsia"/>
          <w:sz w:val="32"/>
          <w:szCs w:val="32"/>
        </w:rPr>
        <w:t>的</w:t>
      </w:r>
      <w:r w:rsidR="00F43A08">
        <w:rPr>
          <w:rFonts w:ascii="標楷體" w:eastAsia="標楷體" w:hAnsi="標楷體" w:hint="eastAsia"/>
          <w:sz w:val="32"/>
          <w:szCs w:val="32"/>
        </w:rPr>
        <w:t>研究</w:t>
      </w:r>
      <w:r w:rsidR="0084572A">
        <w:rPr>
          <w:rFonts w:ascii="標楷體" w:eastAsia="標楷體" w:hAnsi="標楷體" w:hint="eastAsia"/>
          <w:sz w:val="32"/>
          <w:szCs w:val="32"/>
        </w:rPr>
        <w:t>結論</w:t>
      </w:r>
      <w:r w:rsidR="00923633">
        <w:rPr>
          <w:rFonts w:ascii="標楷體" w:eastAsia="標楷體" w:hAnsi="標楷體" w:hint="eastAsia"/>
          <w:sz w:val="32"/>
          <w:szCs w:val="32"/>
        </w:rPr>
        <w:t>，</w:t>
      </w:r>
      <w:r w:rsidR="0084572A">
        <w:rPr>
          <w:rFonts w:ascii="標楷體" w:eastAsia="標楷體" w:hAnsi="標楷體" w:hint="eastAsia"/>
          <w:sz w:val="32"/>
          <w:szCs w:val="32"/>
        </w:rPr>
        <w:t>主要有</w:t>
      </w:r>
      <w:r w:rsidR="001975A7">
        <w:rPr>
          <w:rFonts w:ascii="標楷體" w:eastAsia="標楷體" w:hAnsi="標楷體" w:hint="eastAsia"/>
          <w:sz w:val="32"/>
          <w:szCs w:val="32"/>
        </w:rPr>
        <w:t>:</w:t>
      </w:r>
    </w:p>
    <w:p w14:paraId="692FF965" w14:textId="157FCD7E" w:rsidR="0084572A" w:rsidRDefault="00CF67D7" w:rsidP="0084572A">
      <w:pPr>
        <w:pStyle w:val="af"/>
        <w:numPr>
          <w:ilvl w:val="0"/>
          <w:numId w:val="8"/>
        </w:numPr>
        <w:snapToGrid w:val="0"/>
        <w:spacing w:beforeLines="50" w:before="180" w:line="480" w:lineRule="exact"/>
        <w:ind w:leftChars="266" w:left="1131" w:hangingChars="154" w:hanging="493"/>
        <w:jc w:val="both"/>
        <w:rPr>
          <w:rFonts w:ascii="標楷體" w:eastAsia="標楷體" w:hAnsi="標楷體"/>
          <w:sz w:val="32"/>
          <w:szCs w:val="32"/>
        </w:rPr>
      </w:pPr>
      <w:r w:rsidRPr="0084572A">
        <w:rPr>
          <w:rFonts w:ascii="標楷體" w:eastAsia="標楷體" w:hAnsi="標楷體" w:hint="eastAsia"/>
          <w:sz w:val="32"/>
          <w:szCs w:val="32"/>
        </w:rPr>
        <w:t>全球企業永續發展協會(WBCSD)的2050年願景報告(Vision 2050)分析，預估2050年全球各部門產值</w:t>
      </w:r>
      <w:r w:rsidRPr="0084572A">
        <w:rPr>
          <w:rFonts w:ascii="標楷體" w:eastAsia="標楷體" w:hAnsi="標楷體"/>
          <w:sz w:val="32"/>
          <w:szCs w:val="32"/>
        </w:rPr>
        <w:t>以能源</w:t>
      </w:r>
      <w:r w:rsidRPr="0084572A">
        <w:rPr>
          <w:rFonts w:ascii="標楷體" w:eastAsia="標楷體" w:hAnsi="標楷體" w:hint="eastAsia"/>
          <w:sz w:val="32"/>
          <w:szCs w:val="32"/>
        </w:rPr>
        <w:t>產業為最</w:t>
      </w:r>
      <w:proofErr w:type="gramStart"/>
      <w:r w:rsidRPr="0084572A">
        <w:rPr>
          <w:rFonts w:ascii="標楷體" w:eastAsia="標楷體" w:hAnsi="標楷體" w:hint="eastAsia"/>
          <w:sz w:val="32"/>
          <w:szCs w:val="32"/>
        </w:rPr>
        <w:t>大宗，</w:t>
      </w:r>
      <w:proofErr w:type="gramEnd"/>
      <w:r w:rsidRPr="0084572A">
        <w:rPr>
          <w:rFonts w:ascii="標楷體" w:eastAsia="標楷體" w:hAnsi="標楷體" w:hint="eastAsia"/>
          <w:sz w:val="32"/>
          <w:szCs w:val="32"/>
        </w:rPr>
        <w:t>其次為</w:t>
      </w:r>
      <w:r w:rsidRPr="0084572A">
        <w:rPr>
          <w:rFonts w:ascii="標楷體" w:eastAsia="標楷體" w:hAnsi="標楷體"/>
          <w:sz w:val="32"/>
          <w:szCs w:val="32"/>
        </w:rPr>
        <w:t>健康</w:t>
      </w:r>
      <w:r w:rsidRPr="0084572A">
        <w:rPr>
          <w:rFonts w:ascii="標楷體" w:eastAsia="標楷體" w:hAnsi="標楷體" w:hint="eastAsia"/>
          <w:sz w:val="32"/>
          <w:szCs w:val="32"/>
        </w:rPr>
        <w:t>醫療、</w:t>
      </w:r>
      <w:r w:rsidRPr="0084572A">
        <w:rPr>
          <w:rFonts w:ascii="標楷體" w:eastAsia="標楷體" w:hAnsi="標楷體"/>
          <w:sz w:val="32"/>
          <w:szCs w:val="32"/>
        </w:rPr>
        <w:t>教育</w:t>
      </w:r>
      <w:r w:rsidRPr="0084572A">
        <w:rPr>
          <w:rFonts w:ascii="標楷體" w:eastAsia="標楷體" w:hAnsi="標楷體" w:hint="eastAsia"/>
          <w:sz w:val="32"/>
          <w:szCs w:val="32"/>
        </w:rPr>
        <w:t>產業，</w:t>
      </w:r>
      <w:r w:rsidR="00BC7873" w:rsidRPr="0084572A">
        <w:rPr>
          <w:rFonts w:ascii="標楷體" w:eastAsia="標楷體" w:hAnsi="標楷體" w:hint="eastAsia"/>
          <w:sz w:val="32"/>
          <w:szCs w:val="32"/>
        </w:rPr>
        <w:t>企業應共同朝向以</w:t>
      </w:r>
      <w:r w:rsidR="00BC7873" w:rsidRPr="0084572A">
        <w:rPr>
          <w:rFonts w:ascii="標楷體" w:eastAsia="標楷體" w:hAnsi="標楷體"/>
          <w:sz w:val="32"/>
          <w:szCs w:val="32"/>
        </w:rPr>
        <w:t>「依賴再生能源、循環資源」為</w:t>
      </w:r>
      <w:r w:rsidR="00BC7873" w:rsidRPr="0084572A">
        <w:rPr>
          <w:rFonts w:ascii="標楷體" w:eastAsia="標楷體" w:hAnsi="標楷體" w:hint="eastAsia"/>
          <w:sz w:val="32"/>
          <w:szCs w:val="32"/>
        </w:rPr>
        <w:t>基礎，建立</w:t>
      </w:r>
      <w:r w:rsidR="00BC7873" w:rsidRPr="0084572A">
        <w:rPr>
          <w:rFonts w:ascii="標楷體" w:eastAsia="標楷體" w:hAnsi="標楷體"/>
          <w:sz w:val="32"/>
          <w:szCs w:val="32"/>
        </w:rPr>
        <w:t>追求永續發展</w:t>
      </w:r>
      <w:r w:rsidR="00BC7873" w:rsidRPr="0084572A">
        <w:rPr>
          <w:rFonts w:ascii="標楷體" w:eastAsia="標楷體" w:hAnsi="標楷體" w:hint="eastAsia"/>
          <w:sz w:val="32"/>
          <w:szCs w:val="32"/>
        </w:rPr>
        <w:t>與環境責任</w:t>
      </w:r>
      <w:r w:rsidR="00BC7873" w:rsidRPr="0084572A">
        <w:rPr>
          <w:rFonts w:ascii="標楷體" w:eastAsia="標楷體" w:hAnsi="標楷體"/>
          <w:sz w:val="32"/>
          <w:szCs w:val="32"/>
        </w:rPr>
        <w:t>的共識</w:t>
      </w:r>
      <w:r w:rsidR="00DB44A9" w:rsidRPr="0084572A">
        <w:rPr>
          <w:rFonts w:ascii="標楷體" w:eastAsia="標楷體" w:hAnsi="標楷體"/>
          <w:sz w:val="32"/>
          <w:szCs w:val="32"/>
        </w:rPr>
        <w:t>。</w:t>
      </w:r>
    </w:p>
    <w:p w14:paraId="69620C7D" w14:textId="696BC609" w:rsidR="00CF67D7" w:rsidRPr="0084572A" w:rsidRDefault="00416104" w:rsidP="0084572A">
      <w:pPr>
        <w:pStyle w:val="af"/>
        <w:numPr>
          <w:ilvl w:val="0"/>
          <w:numId w:val="8"/>
        </w:numPr>
        <w:snapToGrid w:val="0"/>
        <w:spacing w:beforeLines="50" w:before="180" w:line="480" w:lineRule="exact"/>
        <w:ind w:leftChars="266" w:left="1131" w:hangingChars="154" w:hanging="493"/>
        <w:jc w:val="both"/>
        <w:rPr>
          <w:rFonts w:ascii="標楷體" w:eastAsia="標楷體" w:hAnsi="標楷體"/>
          <w:sz w:val="32"/>
          <w:szCs w:val="32"/>
        </w:rPr>
      </w:pPr>
      <w:r w:rsidRPr="0084572A">
        <w:rPr>
          <w:rFonts w:ascii="標楷體" w:eastAsia="標楷體" w:hAnsi="標楷體" w:hint="eastAsia"/>
          <w:sz w:val="32"/>
          <w:szCs w:val="32"/>
        </w:rPr>
        <w:t>低碳能源</w:t>
      </w:r>
      <w:r w:rsidR="0084572A" w:rsidRPr="0084572A">
        <w:rPr>
          <w:rFonts w:ascii="標楷體" w:eastAsia="標楷體" w:hAnsi="標楷體" w:hint="eastAsia"/>
          <w:sz w:val="32"/>
          <w:szCs w:val="32"/>
        </w:rPr>
        <w:t>的成本</w:t>
      </w:r>
      <w:r w:rsidRPr="0084572A">
        <w:rPr>
          <w:rFonts w:ascii="標楷體" w:eastAsia="標楷體" w:hAnsi="標楷體" w:hint="eastAsia"/>
          <w:sz w:val="32"/>
          <w:szCs w:val="32"/>
        </w:rPr>
        <w:t>將變得</w:t>
      </w:r>
      <w:r w:rsidR="0084572A" w:rsidRPr="0084572A">
        <w:rPr>
          <w:rFonts w:ascii="標楷體" w:eastAsia="標楷體" w:hAnsi="標楷體" w:hint="eastAsia"/>
          <w:sz w:val="32"/>
          <w:szCs w:val="32"/>
        </w:rPr>
        <w:t>更低，相較於傳統能源而言，會更有競爭力。</w:t>
      </w:r>
      <w:r w:rsidR="00BC7873" w:rsidRPr="0084572A">
        <w:rPr>
          <w:rFonts w:ascii="標楷體" w:eastAsia="標楷體" w:hAnsi="標楷體" w:hint="eastAsia"/>
          <w:sz w:val="32"/>
          <w:szCs w:val="32"/>
        </w:rPr>
        <w:t>英國政府2050年發展路徑</w:t>
      </w:r>
      <w:r w:rsidR="0084572A" w:rsidRPr="0084572A">
        <w:rPr>
          <w:rFonts w:ascii="標楷體" w:eastAsia="標楷體" w:hAnsi="標楷體" w:hint="eastAsia"/>
          <w:sz w:val="32"/>
          <w:szCs w:val="32"/>
        </w:rPr>
        <w:t>報告書</w:t>
      </w:r>
      <w:r w:rsidR="00BC7873" w:rsidRPr="0084572A">
        <w:rPr>
          <w:rFonts w:ascii="標楷體" w:eastAsia="標楷體" w:hAnsi="標楷體" w:hint="eastAsia"/>
          <w:sz w:val="32"/>
          <w:szCs w:val="32"/>
        </w:rPr>
        <w:t>(2050 Pathways)</w:t>
      </w:r>
      <w:r w:rsidR="0084572A" w:rsidRPr="0084572A">
        <w:rPr>
          <w:rFonts w:ascii="標楷體" w:eastAsia="標楷體" w:hAnsi="標楷體" w:hint="eastAsia"/>
          <w:sz w:val="32"/>
          <w:szCs w:val="32"/>
        </w:rPr>
        <w:t>，針對英國</w:t>
      </w:r>
      <w:r w:rsidR="00BD0F69" w:rsidRPr="0084572A">
        <w:rPr>
          <w:rFonts w:ascii="標楷體" w:eastAsia="標楷體" w:hAnsi="標楷體" w:hint="eastAsia"/>
          <w:sz w:val="32"/>
          <w:szCs w:val="32"/>
        </w:rPr>
        <w:t>因應氣候變遷</w:t>
      </w:r>
      <w:r w:rsidR="00BC7873" w:rsidRPr="0084572A">
        <w:rPr>
          <w:rFonts w:ascii="標楷體" w:eastAsia="標楷體" w:hAnsi="標楷體" w:hint="eastAsia"/>
          <w:sz w:val="32"/>
          <w:szCs w:val="32"/>
        </w:rPr>
        <w:t>所做的</w:t>
      </w:r>
      <w:r w:rsidR="001975A7" w:rsidRPr="0084572A">
        <w:rPr>
          <w:rFonts w:ascii="標楷體" w:eastAsia="標楷體" w:hAnsi="標楷體" w:hint="eastAsia"/>
          <w:sz w:val="32"/>
          <w:szCs w:val="32"/>
        </w:rPr>
        <w:t>情境分析</w:t>
      </w:r>
      <w:r w:rsidR="001975A7" w:rsidRPr="0084572A">
        <w:rPr>
          <w:rFonts w:ascii="標楷體" w:eastAsia="標楷體" w:hAnsi="標楷體"/>
          <w:sz w:val="32"/>
          <w:szCs w:val="32"/>
        </w:rPr>
        <w:t>，</w:t>
      </w:r>
      <w:r w:rsidR="0084572A" w:rsidRPr="0084572A">
        <w:rPr>
          <w:rFonts w:ascii="標楷體" w:eastAsia="標楷體" w:hAnsi="標楷體" w:hint="eastAsia"/>
          <w:sz w:val="32"/>
          <w:szCs w:val="32"/>
        </w:rPr>
        <w:t>推估</w:t>
      </w:r>
      <w:r w:rsidR="00BD0F69" w:rsidRPr="0084572A">
        <w:rPr>
          <w:rFonts w:ascii="標楷體" w:eastAsia="標楷體" w:hAnsi="標楷體" w:hint="eastAsia"/>
          <w:sz w:val="32"/>
          <w:szCs w:val="32"/>
        </w:rPr>
        <w:t>2050</w:t>
      </w:r>
      <w:r w:rsidRPr="0084572A">
        <w:rPr>
          <w:rFonts w:ascii="標楷體" w:eastAsia="標楷體" w:hAnsi="標楷體" w:hint="eastAsia"/>
          <w:sz w:val="32"/>
          <w:szCs w:val="32"/>
        </w:rPr>
        <w:t>年</w:t>
      </w:r>
      <w:r w:rsidR="00BD0F69" w:rsidRPr="0084572A">
        <w:rPr>
          <w:rFonts w:ascii="標楷體" w:eastAsia="標楷體" w:hAnsi="標楷體"/>
          <w:sz w:val="32"/>
          <w:szCs w:val="32"/>
        </w:rPr>
        <w:t>低碳能源</w:t>
      </w:r>
      <w:r w:rsidRPr="0084572A">
        <w:rPr>
          <w:rFonts w:ascii="標楷體" w:eastAsia="標楷體" w:hAnsi="標楷體" w:hint="eastAsia"/>
          <w:sz w:val="32"/>
          <w:szCs w:val="32"/>
        </w:rPr>
        <w:t>的</w:t>
      </w:r>
      <w:r w:rsidR="00EB31A1" w:rsidRPr="0084572A">
        <w:rPr>
          <w:rFonts w:ascii="標楷體" w:eastAsia="標楷體" w:hAnsi="標楷體" w:hint="eastAsia"/>
          <w:sz w:val="32"/>
          <w:szCs w:val="32"/>
        </w:rPr>
        <w:t>成本</w:t>
      </w:r>
      <w:r w:rsidR="0084572A" w:rsidRPr="0084572A">
        <w:rPr>
          <w:rFonts w:ascii="標楷體" w:eastAsia="標楷體" w:hAnsi="標楷體" w:hint="eastAsia"/>
          <w:sz w:val="32"/>
          <w:szCs w:val="32"/>
        </w:rPr>
        <w:t>，</w:t>
      </w:r>
      <w:r w:rsidRPr="0084572A">
        <w:rPr>
          <w:rFonts w:ascii="標楷體" w:eastAsia="標楷體" w:hAnsi="標楷體"/>
          <w:sz w:val="32"/>
          <w:szCs w:val="32"/>
        </w:rPr>
        <w:t>每人每年</w:t>
      </w:r>
      <w:r w:rsidR="00BD0F69" w:rsidRPr="0084572A">
        <w:rPr>
          <w:rFonts w:ascii="標楷體" w:eastAsia="標楷體" w:hAnsi="標楷體" w:hint="eastAsia"/>
          <w:sz w:val="32"/>
          <w:szCs w:val="32"/>
        </w:rPr>
        <w:t>約</w:t>
      </w:r>
      <w:r w:rsidR="00BD0F69" w:rsidRPr="0084572A">
        <w:rPr>
          <w:rFonts w:ascii="標楷體" w:eastAsia="標楷體" w:hAnsi="標楷體"/>
          <w:sz w:val="32"/>
          <w:szCs w:val="32"/>
        </w:rPr>
        <w:t>500英鎊</w:t>
      </w:r>
      <w:r w:rsidR="00BD0F69" w:rsidRPr="0084572A">
        <w:rPr>
          <w:rFonts w:ascii="標楷體" w:eastAsia="標楷體" w:hAnsi="標楷體" w:hint="eastAsia"/>
          <w:sz w:val="32"/>
          <w:szCs w:val="32"/>
        </w:rPr>
        <w:t>，</w:t>
      </w:r>
      <w:r w:rsidR="00EB31A1" w:rsidRPr="0084572A">
        <w:rPr>
          <w:rFonts w:ascii="標楷體" w:eastAsia="標楷體" w:hAnsi="標楷體" w:hint="eastAsia"/>
          <w:sz w:val="32"/>
          <w:szCs w:val="32"/>
        </w:rPr>
        <w:t>將</w:t>
      </w:r>
      <w:r w:rsidR="00EB31A1" w:rsidRPr="0084572A">
        <w:rPr>
          <w:rFonts w:ascii="標楷體" w:eastAsia="標楷體" w:hAnsi="標楷體"/>
          <w:sz w:val="32"/>
          <w:szCs w:val="32"/>
        </w:rPr>
        <w:t>比傳統能源</w:t>
      </w:r>
      <w:r w:rsidRPr="0084572A">
        <w:rPr>
          <w:rFonts w:ascii="標楷體" w:eastAsia="標楷體" w:hAnsi="標楷體"/>
          <w:sz w:val="32"/>
          <w:szCs w:val="32"/>
        </w:rPr>
        <w:t>每人每年</w:t>
      </w:r>
      <w:r w:rsidRPr="0084572A">
        <w:rPr>
          <w:rFonts w:ascii="標楷體" w:eastAsia="標楷體" w:hAnsi="標楷體" w:hint="eastAsia"/>
          <w:sz w:val="32"/>
          <w:szCs w:val="32"/>
        </w:rPr>
        <w:t>約</w:t>
      </w:r>
      <w:r w:rsidR="00BD0F69" w:rsidRPr="0084572A">
        <w:rPr>
          <w:rFonts w:ascii="標楷體" w:eastAsia="標楷體" w:hAnsi="標楷體"/>
          <w:sz w:val="32"/>
          <w:szCs w:val="32"/>
        </w:rPr>
        <w:t>4,682英鎊</w:t>
      </w:r>
      <w:r w:rsidR="00EB31A1" w:rsidRPr="0084572A">
        <w:rPr>
          <w:rFonts w:ascii="標楷體" w:eastAsia="標楷體" w:hAnsi="標楷體"/>
          <w:sz w:val="32"/>
          <w:szCs w:val="32"/>
        </w:rPr>
        <w:t>便宜</w:t>
      </w:r>
      <w:r w:rsidR="001975A7" w:rsidRPr="0084572A">
        <w:rPr>
          <w:rFonts w:ascii="標楷體" w:eastAsia="標楷體" w:hAnsi="標楷體" w:hint="eastAsia"/>
          <w:sz w:val="32"/>
          <w:szCs w:val="32"/>
        </w:rPr>
        <w:t>，</w:t>
      </w:r>
      <w:r w:rsidR="00BD0F69" w:rsidRPr="0084572A">
        <w:rPr>
          <w:rFonts w:ascii="標楷體" w:eastAsia="標楷體" w:hAnsi="標楷體" w:hint="eastAsia"/>
          <w:sz w:val="32"/>
          <w:szCs w:val="32"/>
        </w:rPr>
        <w:t>低碳能源成本</w:t>
      </w:r>
      <w:r w:rsidR="0084572A" w:rsidRPr="0084572A">
        <w:rPr>
          <w:rFonts w:ascii="標楷體" w:eastAsia="標楷體" w:hAnsi="標楷體" w:hint="eastAsia"/>
          <w:sz w:val="32"/>
          <w:szCs w:val="32"/>
        </w:rPr>
        <w:t>將僅</w:t>
      </w:r>
      <w:r w:rsidR="00BD0F69" w:rsidRPr="0084572A">
        <w:rPr>
          <w:rFonts w:ascii="標楷體" w:eastAsia="標楷體" w:hAnsi="標楷體" w:hint="eastAsia"/>
          <w:sz w:val="32"/>
          <w:szCs w:val="32"/>
        </w:rPr>
        <w:t>為</w:t>
      </w:r>
      <w:r w:rsidR="001975A7" w:rsidRPr="0084572A">
        <w:rPr>
          <w:rFonts w:ascii="標楷體" w:eastAsia="標楷體" w:hAnsi="標楷體" w:hint="eastAsia"/>
          <w:sz w:val="32"/>
          <w:szCs w:val="32"/>
        </w:rPr>
        <w:t>傳統能源的十分之</w:t>
      </w:r>
      <w:proofErr w:type="gramStart"/>
      <w:r w:rsidR="001975A7" w:rsidRPr="0084572A">
        <w:rPr>
          <w:rFonts w:ascii="標楷體" w:eastAsia="標楷體" w:hAnsi="標楷體" w:hint="eastAsia"/>
          <w:sz w:val="32"/>
          <w:szCs w:val="32"/>
        </w:rPr>
        <w:t>ㄧ</w:t>
      </w:r>
      <w:proofErr w:type="gramEnd"/>
      <w:r w:rsidR="00DB44A9" w:rsidRPr="0084572A">
        <w:rPr>
          <w:rFonts w:ascii="標楷體" w:eastAsia="標楷體" w:hAnsi="標楷體"/>
          <w:sz w:val="32"/>
          <w:szCs w:val="32"/>
        </w:rPr>
        <w:t>。</w:t>
      </w:r>
    </w:p>
    <w:p w14:paraId="35AF4C6E" w14:textId="36FE26B1" w:rsidR="00B30BC9" w:rsidRDefault="00CF67D7" w:rsidP="00B30BC9">
      <w:pPr>
        <w:snapToGrid w:val="0"/>
        <w:spacing w:beforeLines="50" w:before="180" w:line="480" w:lineRule="exact"/>
        <w:ind w:leftChars="266" w:left="1131" w:hangingChars="154" w:hanging="4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DB536D">
        <w:rPr>
          <w:rFonts w:ascii="標楷體" w:eastAsia="標楷體" w:hAnsi="標楷體" w:hint="eastAsia"/>
          <w:sz w:val="32"/>
          <w:szCs w:val="32"/>
        </w:rPr>
        <w:t>、</w:t>
      </w:r>
      <w:r w:rsidR="00DB44A9">
        <w:rPr>
          <w:rFonts w:ascii="標楷體" w:eastAsia="標楷體" w:hAnsi="標楷體"/>
          <w:sz w:val="32"/>
          <w:szCs w:val="32"/>
        </w:rPr>
        <w:t>無人軌道車、無人車</w:t>
      </w:r>
      <w:r w:rsidR="00C42A36">
        <w:rPr>
          <w:rFonts w:ascii="標楷體" w:eastAsia="標楷體" w:hAnsi="標楷體" w:hint="eastAsia"/>
          <w:sz w:val="32"/>
          <w:szCs w:val="32"/>
        </w:rPr>
        <w:t>、智慧車</w:t>
      </w:r>
      <w:r w:rsidR="009C4400">
        <w:rPr>
          <w:rFonts w:ascii="標楷體" w:eastAsia="標楷體" w:hAnsi="標楷體" w:hint="eastAsia"/>
          <w:sz w:val="32"/>
          <w:szCs w:val="32"/>
        </w:rPr>
        <w:t>等創新運具</w:t>
      </w:r>
      <w:r w:rsidR="00416104">
        <w:rPr>
          <w:rFonts w:ascii="標楷體" w:eastAsia="標楷體" w:hAnsi="標楷體" w:hint="eastAsia"/>
          <w:sz w:val="32"/>
          <w:szCs w:val="32"/>
        </w:rPr>
        <w:t>將</w:t>
      </w:r>
      <w:r w:rsidR="009C4400">
        <w:rPr>
          <w:rFonts w:ascii="標楷體" w:eastAsia="標楷體" w:hAnsi="標楷體" w:hint="eastAsia"/>
          <w:sz w:val="32"/>
          <w:szCs w:val="32"/>
        </w:rPr>
        <w:t>被各都市大量</w:t>
      </w:r>
      <w:r w:rsidR="00416104">
        <w:rPr>
          <w:rFonts w:ascii="標楷體" w:eastAsia="標楷體" w:hAnsi="標楷體" w:hint="eastAsia"/>
          <w:sz w:val="32"/>
          <w:szCs w:val="32"/>
        </w:rPr>
        <w:t>採用，</w:t>
      </w:r>
      <w:r w:rsidR="00DB44A9">
        <w:rPr>
          <w:rFonts w:ascii="標楷體" w:eastAsia="標楷體" w:hAnsi="標楷體"/>
          <w:sz w:val="32"/>
          <w:szCs w:val="32"/>
        </w:rPr>
        <w:t>對都市</w:t>
      </w:r>
      <w:r w:rsidR="00C42A36">
        <w:rPr>
          <w:rFonts w:ascii="標楷體" w:eastAsia="標楷體" w:hAnsi="標楷體" w:hint="eastAsia"/>
          <w:sz w:val="32"/>
          <w:szCs w:val="32"/>
        </w:rPr>
        <w:t>與交通</w:t>
      </w:r>
      <w:r w:rsidR="00DB44A9">
        <w:rPr>
          <w:rFonts w:ascii="標楷體" w:eastAsia="標楷體" w:hAnsi="標楷體"/>
          <w:sz w:val="32"/>
          <w:szCs w:val="32"/>
        </w:rPr>
        <w:t>產生革命性</w:t>
      </w:r>
      <w:r w:rsidR="00C42A36">
        <w:rPr>
          <w:rFonts w:ascii="標楷體" w:eastAsia="標楷體" w:hAnsi="標楷體" w:hint="eastAsia"/>
          <w:sz w:val="32"/>
          <w:szCs w:val="32"/>
        </w:rPr>
        <w:t>的</w:t>
      </w:r>
      <w:r w:rsidR="00DB44A9">
        <w:rPr>
          <w:rFonts w:ascii="標楷體" w:eastAsia="標楷體" w:hAnsi="標楷體"/>
          <w:sz w:val="32"/>
          <w:szCs w:val="32"/>
        </w:rPr>
        <w:t>影響。</w:t>
      </w:r>
    </w:p>
    <w:p w14:paraId="124D5862" w14:textId="222D01A8" w:rsidR="00B30BC9" w:rsidRDefault="00CF67D7" w:rsidP="0084572A">
      <w:pPr>
        <w:snapToGrid w:val="0"/>
        <w:spacing w:beforeLines="50" w:before="180" w:line="480" w:lineRule="exact"/>
        <w:ind w:leftChars="266" w:left="1131" w:hangingChars="154" w:hanging="4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DB536D">
        <w:rPr>
          <w:rFonts w:ascii="標楷體" w:eastAsia="標楷體" w:hAnsi="標楷體" w:hint="eastAsia"/>
          <w:sz w:val="32"/>
          <w:szCs w:val="32"/>
        </w:rPr>
        <w:t>、</w:t>
      </w:r>
      <w:r w:rsidR="00BD0F69">
        <w:rPr>
          <w:rFonts w:ascii="標楷體" w:eastAsia="標楷體" w:hAnsi="標楷體" w:hint="eastAsia"/>
          <w:sz w:val="32"/>
          <w:szCs w:val="32"/>
        </w:rPr>
        <w:t>日本</w:t>
      </w:r>
      <w:r w:rsidR="00BC7873">
        <w:rPr>
          <w:rFonts w:ascii="標楷體" w:eastAsia="標楷體" w:hAnsi="標楷體" w:hint="eastAsia"/>
          <w:sz w:val="32"/>
          <w:szCs w:val="32"/>
        </w:rPr>
        <w:t>政府</w:t>
      </w:r>
      <w:r w:rsidR="0084572A">
        <w:rPr>
          <w:rFonts w:ascii="標楷體" w:eastAsia="標楷體" w:hAnsi="標楷體" w:hint="eastAsia"/>
          <w:sz w:val="32"/>
          <w:szCs w:val="32"/>
        </w:rPr>
        <w:t>在</w:t>
      </w:r>
      <w:r w:rsidR="00BC7873">
        <w:rPr>
          <w:rFonts w:ascii="標楷體" w:eastAsia="標楷體" w:hAnsi="標楷體" w:hint="eastAsia"/>
          <w:sz w:val="32"/>
          <w:szCs w:val="32"/>
        </w:rPr>
        <w:t>國土發展2050年(GDNSD 2050)</w:t>
      </w:r>
      <w:r w:rsidR="0084572A">
        <w:rPr>
          <w:rFonts w:ascii="標楷體" w:eastAsia="標楷體" w:hAnsi="標楷體" w:hint="eastAsia"/>
          <w:sz w:val="32"/>
          <w:szCs w:val="32"/>
        </w:rPr>
        <w:t>報告指出</w:t>
      </w:r>
      <w:r w:rsidR="00BC7873">
        <w:rPr>
          <w:rFonts w:ascii="標楷體" w:eastAsia="標楷體" w:hAnsi="標楷體" w:hint="eastAsia"/>
          <w:sz w:val="32"/>
          <w:szCs w:val="32"/>
        </w:rPr>
        <w:t>，</w:t>
      </w:r>
      <w:r w:rsidR="0084572A">
        <w:rPr>
          <w:rFonts w:ascii="標楷體" w:eastAsia="標楷體" w:hAnsi="標楷體" w:hint="eastAsia"/>
          <w:sz w:val="32"/>
          <w:szCs w:val="32"/>
        </w:rPr>
        <w:t>日本</w:t>
      </w:r>
      <w:r w:rsidR="00163E8F">
        <w:rPr>
          <w:rFonts w:ascii="標楷體" w:eastAsia="標楷體" w:hAnsi="標楷體" w:hint="eastAsia"/>
          <w:sz w:val="32"/>
          <w:szCs w:val="32"/>
        </w:rPr>
        <w:t>將</w:t>
      </w:r>
      <w:r w:rsidR="009C4400">
        <w:rPr>
          <w:rFonts w:ascii="標楷體" w:eastAsia="標楷體" w:hAnsi="標楷體" w:hint="eastAsia"/>
          <w:sz w:val="32"/>
          <w:szCs w:val="32"/>
        </w:rPr>
        <w:t>面臨</w:t>
      </w:r>
      <w:r w:rsidR="00BD0F69">
        <w:rPr>
          <w:rFonts w:ascii="標楷體" w:eastAsia="標楷體" w:hAnsi="標楷體"/>
          <w:sz w:val="32"/>
          <w:szCs w:val="32"/>
        </w:rPr>
        <w:t>人口萎縮、低生育率、超高齡社會、基礎</w:t>
      </w:r>
      <w:r w:rsidR="00BD0F69">
        <w:rPr>
          <w:rFonts w:ascii="標楷體" w:eastAsia="標楷體" w:hAnsi="標楷體"/>
          <w:sz w:val="32"/>
          <w:szCs w:val="32"/>
        </w:rPr>
        <w:lastRenderedPageBreak/>
        <w:t>設施老化、日益增加的天災、糧食、水與能源供給等挑戰，</w:t>
      </w:r>
      <w:r w:rsidR="0084572A">
        <w:rPr>
          <w:rFonts w:ascii="標楷體" w:eastAsia="標楷體" w:hAnsi="標楷體" w:hint="eastAsia"/>
          <w:sz w:val="32"/>
          <w:szCs w:val="32"/>
        </w:rPr>
        <w:t>到2050年時，</w:t>
      </w:r>
      <w:r w:rsidR="00E26AD1">
        <w:rPr>
          <w:rFonts w:ascii="標楷體" w:eastAsia="標楷體" w:hAnsi="標楷體" w:hint="eastAsia"/>
          <w:sz w:val="32"/>
          <w:szCs w:val="32"/>
        </w:rPr>
        <w:t>國土約</w:t>
      </w:r>
      <w:r w:rsidR="00B30BC9">
        <w:rPr>
          <w:rFonts w:ascii="標楷體" w:eastAsia="標楷體" w:hAnsi="標楷體" w:hint="eastAsia"/>
          <w:sz w:val="32"/>
          <w:szCs w:val="32"/>
        </w:rPr>
        <w:t>有</w:t>
      </w:r>
      <w:r w:rsidR="00BD0F69">
        <w:rPr>
          <w:rFonts w:ascii="標楷體" w:eastAsia="標楷體" w:hAnsi="標楷體"/>
          <w:sz w:val="32"/>
          <w:szCs w:val="32"/>
        </w:rPr>
        <w:t>44%</w:t>
      </w:r>
      <w:r w:rsidR="0084572A">
        <w:rPr>
          <w:rFonts w:ascii="標楷體" w:eastAsia="標楷體" w:hAnsi="標楷體" w:hint="eastAsia"/>
          <w:sz w:val="32"/>
          <w:szCs w:val="32"/>
        </w:rPr>
        <w:t>的</w:t>
      </w:r>
      <w:r w:rsidR="00BD0F69">
        <w:rPr>
          <w:rFonts w:ascii="標楷體" w:eastAsia="標楷體" w:hAnsi="標楷體"/>
          <w:sz w:val="32"/>
          <w:szCs w:val="32"/>
        </w:rPr>
        <w:t>面積</w:t>
      </w:r>
      <w:r w:rsidR="00E26AD1">
        <w:rPr>
          <w:rFonts w:ascii="標楷體" w:eastAsia="標楷體" w:hAnsi="標楷體" w:hint="eastAsia"/>
          <w:sz w:val="32"/>
          <w:szCs w:val="32"/>
        </w:rPr>
        <w:t>，</w:t>
      </w:r>
      <w:r w:rsidR="0084572A">
        <w:rPr>
          <w:rFonts w:ascii="標楷體" w:eastAsia="標楷體" w:hAnsi="標楷體" w:hint="eastAsia"/>
          <w:sz w:val="32"/>
          <w:szCs w:val="32"/>
        </w:rPr>
        <w:t>該土地內居住</w:t>
      </w:r>
      <w:r w:rsidR="00BD0F69">
        <w:rPr>
          <w:rFonts w:ascii="標楷體" w:eastAsia="標楷體" w:hAnsi="標楷體"/>
          <w:sz w:val="32"/>
          <w:szCs w:val="32"/>
        </w:rPr>
        <w:t>人口</w:t>
      </w:r>
      <w:r w:rsidR="00BD0F69">
        <w:rPr>
          <w:rFonts w:ascii="標楷體" w:eastAsia="標楷體" w:hAnsi="標楷體" w:hint="eastAsia"/>
          <w:sz w:val="32"/>
          <w:szCs w:val="32"/>
        </w:rPr>
        <w:t>將</w:t>
      </w:r>
      <w:r w:rsidR="0084572A">
        <w:rPr>
          <w:rFonts w:ascii="標楷體" w:eastAsia="標楷體" w:hAnsi="標楷體"/>
          <w:sz w:val="32"/>
          <w:szCs w:val="32"/>
        </w:rPr>
        <w:t>減少一半</w:t>
      </w:r>
      <w:r w:rsidR="00BD0F69">
        <w:rPr>
          <w:rFonts w:ascii="標楷體" w:eastAsia="標楷體" w:hAnsi="標楷體"/>
          <w:sz w:val="32"/>
          <w:szCs w:val="32"/>
        </w:rPr>
        <w:t>，</w:t>
      </w:r>
      <w:r w:rsidR="0084572A">
        <w:rPr>
          <w:rFonts w:ascii="標楷體" w:eastAsia="標楷體" w:hAnsi="標楷體" w:hint="eastAsia"/>
          <w:sz w:val="32"/>
          <w:szCs w:val="32"/>
        </w:rPr>
        <w:t>其</w:t>
      </w:r>
      <w:r w:rsidR="00BD0F69">
        <w:rPr>
          <w:rFonts w:ascii="標楷體" w:eastAsia="標楷體" w:hAnsi="標楷體"/>
          <w:sz w:val="32"/>
          <w:szCs w:val="32"/>
        </w:rPr>
        <w:t>國土</w:t>
      </w:r>
      <w:r w:rsidR="00E26AD1">
        <w:rPr>
          <w:rFonts w:ascii="標楷體" w:eastAsia="標楷體" w:hAnsi="標楷體" w:hint="eastAsia"/>
          <w:sz w:val="32"/>
          <w:szCs w:val="32"/>
        </w:rPr>
        <w:t>規劃</w:t>
      </w:r>
      <w:r w:rsidR="00BD0F69">
        <w:rPr>
          <w:rFonts w:ascii="標楷體" w:eastAsia="標楷體" w:hAnsi="標楷體"/>
          <w:sz w:val="32"/>
          <w:szCs w:val="32"/>
        </w:rPr>
        <w:t>策略</w:t>
      </w:r>
      <w:r w:rsidR="0084572A">
        <w:rPr>
          <w:rFonts w:ascii="標楷體" w:eastAsia="標楷體" w:hAnsi="標楷體" w:hint="eastAsia"/>
          <w:sz w:val="32"/>
          <w:szCs w:val="32"/>
        </w:rPr>
        <w:t>未來</w:t>
      </w:r>
      <w:r w:rsidR="0084572A">
        <w:rPr>
          <w:rFonts w:ascii="標楷體" w:eastAsia="標楷體" w:hAnsi="標楷體"/>
          <w:sz w:val="32"/>
          <w:szCs w:val="32"/>
        </w:rPr>
        <w:t>人口集中在東京、名古屋、大阪為主的</w:t>
      </w:r>
      <w:r w:rsidR="0084572A">
        <w:rPr>
          <w:rFonts w:ascii="標楷體" w:eastAsia="標楷體" w:hAnsi="標楷體" w:hint="eastAsia"/>
          <w:sz w:val="32"/>
          <w:szCs w:val="32"/>
        </w:rPr>
        <w:t>單一</w:t>
      </w:r>
      <w:r w:rsidR="0084572A">
        <w:rPr>
          <w:rFonts w:ascii="標楷體" w:eastAsia="標楷體" w:hAnsi="標楷體"/>
          <w:sz w:val="32"/>
          <w:szCs w:val="32"/>
        </w:rPr>
        <w:t>超級巨型區域發展為主</w:t>
      </w:r>
      <w:r w:rsidR="0084572A">
        <w:rPr>
          <w:rFonts w:ascii="標楷體" w:eastAsia="標楷體" w:hAnsi="標楷體" w:hint="eastAsia"/>
          <w:sz w:val="32"/>
          <w:szCs w:val="32"/>
        </w:rPr>
        <w:t>(Super Mega Region)</w:t>
      </w:r>
      <w:r w:rsidR="0084572A">
        <w:rPr>
          <w:rFonts w:ascii="標楷體" w:eastAsia="標楷體" w:hAnsi="標楷體"/>
          <w:sz w:val="32"/>
          <w:szCs w:val="32"/>
        </w:rPr>
        <w:t>，</w:t>
      </w:r>
      <w:r w:rsidR="00BD0F69">
        <w:rPr>
          <w:rFonts w:ascii="標楷體" w:eastAsia="標楷體" w:hAnsi="標楷體" w:hint="eastAsia"/>
          <w:sz w:val="32"/>
          <w:szCs w:val="32"/>
        </w:rPr>
        <w:t>並</w:t>
      </w:r>
      <w:r w:rsidR="00BD0F69">
        <w:rPr>
          <w:rFonts w:ascii="標楷體" w:eastAsia="標楷體" w:hAnsi="標楷體"/>
          <w:sz w:val="32"/>
          <w:szCs w:val="32"/>
        </w:rPr>
        <w:t>強化其</w:t>
      </w:r>
      <w:r w:rsidR="00BD0F69">
        <w:rPr>
          <w:rFonts w:ascii="標楷體" w:eastAsia="標楷體" w:hAnsi="標楷體" w:hint="eastAsia"/>
          <w:sz w:val="32"/>
          <w:szCs w:val="32"/>
        </w:rPr>
        <w:t>交通與網絡</w:t>
      </w:r>
      <w:r w:rsidR="00BD0F69">
        <w:rPr>
          <w:rFonts w:ascii="標楷體" w:eastAsia="標楷體" w:hAnsi="標楷體"/>
          <w:sz w:val="32"/>
          <w:szCs w:val="32"/>
        </w:rPr>
        <w:t>連結</w:t>
      </w:r>
      <w:r w:rsidR="00BD0F69">
        <w:rPr>
          <w:rFonts w:ascii="標楷體" w:eastAsia="標楷體" w:hAnsi="標楷體" w:hint="eastAsia"/>
          <w:sz w:val="32"/>
          <w:szCs w:val="32"/>
        </w:rPr>
        <w:t>。</w:t>
      </w:r>
    </w:p>
    <w:p w14:paraId="28D3987F" w14:textId="4312128D" w:rsidR="00B30BC9" w:rsidRDefault="00CF67D7" w:rsidP="00AC424C">
      <w:pPr>
        <w:snapToGrid w:val="0"/>
        <w:spacing w:beforeLines="50" w:before="180" w:line="480" w:lineRule="exact"/>
        <w:ind w:leftChars="266" w:left="1131" w:hangingChars="154" w:hanging="4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BD0F69">
        <w:rPr>
          <w:rFonts w:ascii="標楷體" w:eastAsia="標楷體" w:hAnsi="標楷體" w:hint="eastAsia"/>
          <w:sz w:val="32"/>
          <w:szCs w:val="32"/>
        </w:rPr>
        <w:t>、</w:t>
      </w:r>
      <w:r w:rsidR="00DB44A9">
        <w:rPr>
          <w:rFonts w:ascii="標楷體" w:eastAsia="標楷體" w:hAnsi="標楷體" w:hint="eastAsia"/>
          <w:sz w:val="32"/>
          <w:szCs w:val="32"/>
        </w:rPr>
        <w:t>歐洲</w:t>
      </w:r>
      <w:r w:rsidR="00163E8F">
        <w:rPr>
          <w:rFonts w:ascii="標楷體" w:eastAsia="標楷體" w:hAnsi="標楷體" w:hint="eastAsia"/>
          <w:sz w:val="32"/>
          <w:szCs w:val="32"/>
        </w:rPr>
        <w:t>2050年空間發展策略(ET 2050)，</w:t>
      </w:r>
      <w:r w:rsidR="0084572A">
        <w:rPr>
          <w:rFonts w:ascii="標楷體" w:eastAsia="標楷體" w:hAnsi="標楷體" w:hint="eastAsia"/>
          <w:sz w:val="32"/>
          <w:szCs w:val="32"/>
        </w:rPr>
        <w:t>經由大都會發展、</w:t>
      </w:r>
      <w:r w:rsidR="00AC424C">
        <w:rPr>
          <w:rFonts w:ascii="標楷體" w:eastAsia="標楷體" w:hAnsi="標楷體" w:hint="eastAsia"/>
          <w:sz w:val="32"/>
          <w:szCs w:val="32"/>
        </w:rPr>
        <w:t>中型</w:t>
      </w:r>
      <w:r w:rsidR="0084572A">
        <w:rPr>
          <w:rFonts w:ascii="標楷體" w:eastAsia="標楷體" w:hAnsi="標楷體" w:hint="eastAsia"/>
          <w:sz w:val="32"/>
          <w:szCs w:val="32"/>
        </w:rPr>
        <w:t>都市</w:t>
      </w:r>
      <w:r w:rsidR="00AC424C">
        <w:rPr>
          <w:rFonts w:ascii="標楷體" w:eastAsia="標楷體" w:hAnsi="標楷體" w:hint="eastAsia"/>
          <w:sz w:val="32"/>
          <w:szCs w:val="32"/>
        </w:rPr>
        <w:t>發展</w:t>
      </w:r>
      <w:r w:rsidR="0084572A">
        <w:rPr>
          <w:rFonts w:ascii="標楷體" w:eastAsia="標楷體" w:hAnsi="標楷體" w:hint="eastAsia"/>
          <w:sz w:val="32"/>
          <w:szCs w:val="32"/>
        </w:rPr>
        <w:t>、</w:t>
      </w:r>
      <w:r w:rsidR="00102290">
        <w:rPr>
          <w:rFonts w:ascii="標楷體" w:eastAsia="標楷體" w:hAnsi="標楷體" w:hint="eastAsia"/>
          <w:sz w:val="32"/>
          <w:szCs w:val="32"/>
        </w:rPr>
        <w:t>廣泛區域發展等3種不同情境分析，仍建議維持歐盟</w:t>
      </w:r>
      <w:proofErr w:type="gramStart"/>
      <w:r w:rsidR="00102290">
        <w:rPr>
          <w:rFonts w:ascii="標楷體" w:eastAsia="標楷體" w:hAnsi="標楷體" w:hint="eastAsia"/>
          <w:sz w:val="32"/>
          <w:szCs w:val="32"/>
        </w:rPr>
        <w:t>ㄧ</w:t>
      </w:r>
      <w:proofErr w:type="gramEnd"/>
      <w:r w:rsidR="00102290">
        <w:rPr>
          <w:rFonts w:ascii="標楷體" w:eastAsia="標楷體" w:hAnsi="標楷體" w:hint="eastAsia"/>
          <w:sz w:val="32"/>
          <w:szCs w:val="32"/>
        </w:rPr>
        <w:t>向採取的區域均衡發展理念，</w:t>
      </w:r>
      <w:r w:rsidR="00AC424C">
        <w:rPr>
          <w:rFonts w:ascii="標楷體" w:eastAsia="標楷體" w:hAnsi="標楷體" w:hint="eastAsia"/>
          <w:sz w:val="32"/>
          <w:szCs w:val="32"/>
        </w:rPr>
        <w:t>未來</w:t>
      </w:r>
      <w:r w:rsidR="00163E8F">
        <w:rPr>
          <w:rFonts w:ascii="標楷體" w:eastAsia="標楷體" w:hAnsi="標楷體" w:hint="eastAsia"/>
          <w:sz w:val="32"/>
          <w:szCs w:val="32"/>
        </w:rPr>
        <w:t>空間</w:t>
      </w:r>
      <w:r w:rsidR="00B30BC9">
        <w:rPr>
          <w:rFonts w:ascii="標楷體" w:eastAsia="標楷體" w:hAnsi="標楷體" w:hint="eastAsia"/>
          <w:sz w:val="32"/>
          <w:szCs w:val="32"/>
        </w:rPr>
        <w:t>發展重點朝向</w:t>
      </w:r>
      <w:r w:rsidR="00B30BC9">
        <w:rPr>
          <w:rFonts w:ascii="標楷體" w:eastAsia="標楷體" w:hAnsi="標楷體"/>
          <w:sz w:val="32"/>
          <w:szCs w:val="32"/>
        </w:rPr>
        <w:t>中型</w:t>
      </w:r>
      <w:r w:rsidR="00AC424C">
        <w:rPr>
          <w:rFonts w:ascii="標楷體" w:eastAsia="標楷體" w:hAnsi="標楷體" w:hint="eastAsia"/>
          <w:sz w:val="32"/>
          <w:szCs w:val="32"/>
        </w:rPr>
        <w:t>主要</w:t>
      </w:r>
      <w:r w:rsidR="00B30BC9">
        <w:rPr>
          <w:rFonts w:ascii="標楷體" w:eastAsia="標楷體" w:hAnsi="標楷體"/>
          <w:sz w:val="32"/>
          <w:szCs w:val="32"/>
        </w:rPr>
        <w:t>都市</w:t>
      </w:r>
      <w:r w:rsidR="00AC424C">
        <w:rPr>
          <w:rFonts w:ascii="標楷體" w:eastAsia="標楷體" w:hAnsi="標楷體" w:hint="eastAsia"/>
          <w:sz w:val="32"/>
          <w:szCs w:val="32"/>
        </w:rPr>
        <w:t>發展</w:t>
      </w:r>
      <w:r w:rsidR="00B30BC9">
        <w:rPr>
          <w:rFonts w:ascii="標楷體" w:eastAsia="標楷體" w:hAnsi="標楷體" w:hint="eastAsia"/>
          <w:sz w:val="32"/>
          <w:szCs w:val="32"/>
        </w:rPr>
        <w:t>為</w:t>
      </w:r>
      <w:r w:rsidR="00B30BC9">
        <w:rPr>
          <w:rFonts w:ascii="標楷體" w:eastAsia="標楷體" w:hAnsi="標楷體"/>
          <w:sz w:val="32"/>
          <w:szCs w:val="32"/>
        </w:rPr>
        <w:t>主</w:t>
      </w:r>
      <w:r w:rsidR="00163E8F">
        <w:rPr>
          <w:rFonts w:ascii="標楷體" w:eastAsia="標楷體" w:hAnsi="標楷體" w:hint="eastAsia"/>
          <w:sz w:val="32"/>
          <w:szCs w:val="32"/>
        </w:rPr>
        <w:t>，</w:t>
      </w:r>
      <w:r w:rsidR="00B30BC9">
        <w:rPr>
          <w:rFonts w:ascii="標楷體" w:eastAsia="標楷體" w:hAnsi="標楷體" w:hint="eastAsia"/>
          <w:sz w:val="32"/>
          <w:szCs w:val="32"/>
        </w:rPr>
        <w:t>避免過度集中在</w:t>
      </w:r>
      <w:r w:rsidR="00B30BC9">
        <w:rPr>
          <w:rFonts w:ascii="標楷體" w:eastAsia="標楷體" w:hAnsi="標楷體"/>
          <w:sz w:val="32"/>
          <w:szCs w:val="32"/>
        </w:rPr>
        <w:t>倫敦、巴黎、法蘭克福等</w:t>
      </w:r>
      <w:r w:rsidR="00AC424C">
        <w:rPr>
          <w:rFonts w:ascii="標楷體" w:eastAsia="標楷體" w:hAnsi="標楷體" w:hint="eastAsia"/>
          <w:sz w:val="32"/>
          <w:szCs w:val="32"/>
        </w:rPr>
        <w:t>大都會</w:t>
      </w:r>
      <w:r w:rsidR="00DB44A9">
        <w:rPr>
          <w:rFonts w:ascii="標楷體" w:eastAsia="標楷體" w:hAnsi="標楷體"/>
          <w:sz w:val="32"/>
          <w:szCs w:val="32"/>
        </w:rPr>
        <w:t>。</w:t>
      </w:r>
    </w:p>
    <w:p w14:paraId="34F639FB" w14:textId="6C988B31" w:rsidR="00DB44A9" w:rsidRDefault="00CF67D7" w:rsidP="00B30BC9">
      <w:pPr>
        <w:snapToGrid w:val="0"/>
        <w:spacing w:beforeLines="50" w:before="180" w:line="480" w:lineRule="exact"/>
        <w:ind w:leftChars="266" w:left="1131" w:hangingChars="154" w:hanging="4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DB536D">
        <w:rPr>
          <w:rFonts w:ascii="標楷體" w:eastAsia="標楷體" w:hAnsi="標楷體" w:hint="eastAsia"/>
          <w:sz w:val="32"/>
          <w:szCs w:val="32"/>
        </w:rPr>
        <w:t>、</w:t>
      </w:r>
      <w:r w:rsidR="00DB44A9">
        <w:rPr>
          <w:rFonts w:ascii="標楷體" w:eastAsia="標楷體" w:hAnsi="標楷體" w:hint="eastAsia"/>
          <w:sz w:val="32"/>
          <w:szCs w:val="32"/>
        </w:rPr>
        <w:t>美國</w:t>
      </w:r>
      <w:r w:rsidR="00DB44A9">
        <w:rPr>
          <w:rFonts w:ascii="標楷體" w:eastAsia="標楷體" w:hAnsi="標楷體"/>
          <w:sz w:val="32"/>
          <w:szCs w:val="32"/>
        </w:rPr>
        <w:t>2050</w:t>
      </w:r>
      <w:r w:rsidR="001975A7">
        <w:rPr>
          <w:rFonts w:ascii="標楷體" w:eastAsia="標楷體" w:hAnsi="標楷體" w:hint="eastAsia"/>
          <w:sz w:val="32"/>
          <w:szCs w:val="32"/>
        </w:rPr>
        <w:t>年</w:t>
      </w:r>
      <w:r w:rsidR="00163E8F">
        <w:rPr>
          <w:rFonts w:ascii="標楷體" w:eastAsia="標楷體" w:hAnsi="標楷體" w:hint="eastAsia"/>
          <w:sz w:val="32"/>
          <w:szCs w:val="32"/>
        </w:rPr>
        <w:t>國土空間發展</w:t>
      </w:r>
      <w:r w:rsidR="00AC424C">
        <w:rPr>
          <w:rFonts w:ascii="標楷體" w:eastAsia="標楷體" w:hAnsi="標楷體" w:hint="eastAsia"/>
          <w:sz w:val="32"/>
          <w:szCs w:val="32"/>
        </w:rPr>
        <w:t>報告</w:t>
      </w:r>
      <w:r w:rsidR="00163E8F">
        <w:rPr>
          <w:rFonts w:ascii="標楷體" w:eastAsia="標楷體" w:hAnsi="標楷體" w:hint="eastAsia"/>
          <w:sz w:val="32"/>
          <w:szCs w:val="32"/>
        </w:rPr>
        <w:t>(America 2050)</w:t>
      </w:r>
      <w:r w:rsidR="00AC424C">
        <w:rPr>
          <w:rFonts w:ascii="標楷體" w:eastAsia="標楷體" w:hAnsi="標楷體" w:hint="eastAsia"/>
          <w:sz w:val="32"/>
          <w:szCs w:val="32"/>
        </w:rPr>
        <w:t>指出</w:t>
      </w:r>
      <w:r w:rsidR="00163E8F">
        <w:rPr>
          <w:rFonts w:ascii="標楷體" w:eastAsia="標楷體" w:hAnsi="標楷體" w:hint="eastAsia"/>
          <w:sz w:val="32"/>
          <w:szCs w:val="32"/>
        </w:rPr>
        <w:t>，</w:t>
      </w:r>
      <w:r w:rsidR="00AC424C">
        <w:rPr>
          <w:rFonts w:ascii="標楷體" w:eastAsia="標楷體" w:hAnsi="標楷體" w:hint="eastAsia"/>
          <w:sz w:val="32"/>
          <w:szCs w:val="32"/>
        </w:rPr>
        <w:t>人口、產業、服務等</w:t>
      </w:r>
      <w:r w:rsidR="001975A7">
        <w:rPr>
          <w:rFonts w:ascii="標楷體" w:eastAsia="標楷體" w:hAnsi="標楷體" w:hint="eastAsia"/>
          <w:sz w:val="32"/>
          <w:szCs w:val="32"/>
        </w:rPr>
        <w:t>將</w:t>
      </w:r>
      <w:r w:rsidR="00AC424C">
        <w:rPr>
          <w:rFonts w:ascii="標楷體" w:eastAsia="標楷體" w:hAnsi="標楷體" w:hint="eastAsia"/>
          <w:sz w:val="32"/>
          <w:szCs w:val="32"/>
        </w:rPr>
        <w:t>更集中在主要都會區，2050年將呈現</w:t>
      </w:r>
      <w:r w:rsidR="00DB44A9">
        <w:rPr>
          <w:rFonts w:ascii="標楷體" w:eastAsia="標楷體" w:hAnsi="標楷體"/>
          <w:sz w:val="32"/>
          <w:szCs w:val="32"/>
        </w:rPr>
        <w:t>10</w:t>
      </w:r>
      <w:r w:rsidR="00163E8F">
        <w:rPr>
          <w:rFonts w:ascii="標楷體" w:eastAsia="標楷體" w:hAnsi="標楷體"/>
          <w:sz w:val="32"/>
          <w:szCs w:val="32"/>
        </w:rPr>
        <w:t>個</w:t>
      </w:r>
      <w:r w:rsidR="00AC424C">
        <w:rPr>
          <w:rFonts w:ascii="標楷體" w:eastAsia="標楷體" w:hAnsi="標楷體" w:hint="eastAsia"/>
          <w:sz w:val="32"/>
          <w:szCs w:val="32"/>
        </w:rPr>
        <w:t>主要</w:t>
      </w:r>
      <w:r w:rsidR="00163E8F">
        <w:rPr>
          <w:rFonts w:ascii="標楷體" w:eastAsia="標楷體" w:hAnsi="標楷體" w:hint="eastAsia"/>
          <w:sz w:val="32"/>
          <w:szCs w:val="32"/>
        </w:rPr>
        <w:t>巨型</w:t>
      </w:r>
      <w:r w:rsidR="00DB44A9">
        <w:rPr>
          <w:rFonts w:ascii="標楷體" w:eastAsia="標楷體" w:hAnsi="標楷體"/>
          <w:sz w:val="32"/>
          <w:szCs w:val="32"/>
        </w:rPr>
        <w:t>區域(</w:t>
      </w:r>
      <w:r w:rsidR="00835246">
        <w:rPr>
          <w:rFonts w:ascii="標楷體" w:eastAsia="標楷體" w:hAnsi="標楷體"/>
          <w:sz w:val="32"/>
          <w:szCs w:val="32"/>
        </w:rPr>
        <w:t>10 Megaregions</w:t>
      </w:r>
      <w:r w:rsidR="00DB44A9">
        <w:rPr>
          <w:rFonts w:ascii="標楷體" w:eastAsia="標楷體" w:hAnsi="標楷體"/>
          <w:sz w:val="32"/>
          <w:szCs w:val="32"/>
        </w:rPr>
        <w:t>)</w:t>
      </w:r>
      <w:r w:rsidR="001975A7">
        <w:rPr>
          <w:rFonts w:ascii="標楷體" w:eastAsia="標楷體" w:hAnsi="標楷體"/>
          <w:sz w:val="32"/>
          <w:szCs w:val="32"/>
        </w:rPr>
        <w:t>，</w:t>
      </w:r>
      <w:r w:rsidR="00163E8F">
        <w:rPr>
          <w:rFonts w:ascii="標楷體" w:eastAsia="標楷體" w:hAnsi="標楷體" w:hint="eastAsia"/>
          <w:sz w:val="32"/>
          <w:szCs w:val="32"/>
        </w:rPr>
        <w:t>在巨型區域內</w:t>
      </w:r>
      <w:r w:rsidR="00DB536D">
        <w:rPr>
          <w:rFonts w:ascii="標楷體" w:eastAsia="標楷體" w:hAnsi="標楷體" w:hint="eastAsia"/>
          <w:sz w:val="32"/>
          <w:szCs w:val="32"/>
        </w:rPr>
        <w:t>透過</w:t>
      </w:r>
      <w:r w:rsidR="00DB536D">
        <w:rPr>
          <w:rFonts w:ascii="標楷體" w:eastAsia="標楷體" w:hAnsi="標楷體"/>
          <w:sz w:val="32"/>
          <w:szCs w:val="32"/>
        </w:rPr>
        <w:t>創造</w:t>
      </w:r>
      <w:r w:rsidR="00DB536D">
        <w:rPr>
          <w:rFonts w:ascii="標楷體" w:eastAsia="標楷體" w:hAnsi="標楷體" w:hint="eastAsia"/>
          <w:sz w:val="32"/>
          <w:szCs w:val="32"/>
        </w:rPr>
        <w:t>經濟</w:t>
      </w:r>
      <w:r w:rsidR="00DB536D">
        <w:rPr>
          <w:rFonts w:ascii="標楷體" w:eastAsia="標楷體" w:hAnsi="標楷體"/>
          <w:sz w:val="32"/>
          <w:szCs w:val="32"/>
        </w:rPr>
        <w:t>成長</w:t>
      </w:r>
      <w:r w:rsidR="00DB536D">
        <w:rPr>
          <w:rFonts w:ascii="標楷體" w:eastAsia="標楷體" w:hAnsi="標楷體" w:hint="eastAsia"/>
          <w:sz w:val="32"/>
          <w:szCs w:val="32"/>
        </w:rPr>
        <w:t>動能</w:t>
      </w:r>
      <w:r w:rsidR="00DB536D">
        <w:rPr>
          <w:rFonts w:ascii="標楷體" w:eastAsia="標楷體" w:hAnsi="標楷體"/>
          <w:sz w:val="32"/>
          <w:szCs w:val="32"/>
        </w:rPr>
        <w:t>、重建社會流動性、保護自然資源</w:t>
      </w:r>
      <w:r w:rsidR="00DB536D">
        <w:rPr>
          <w:rFonts w:ascii="標楷體" w:eastAsia="標楷體" w:hAnsi="標楷體" w:hint="eastAsia"/>
          <w:sz w:val="32"/>
          <w:szCs w:val="32"/>
        </w:rPr>
        <w:t>、</w:t>
      </w:r>
      <w:r w:rsidR="00DB536D">
        <w:rPr>
          <w:rFonts w:ascii="標楷體" w:eastAsia="標楷體" w:hAnsi="標楷體"/>
          <w:sz w:val="32"/>
          <w:szCs w:val="32"/>
        </w:rPr>
        <w:t>建立低</w:t>
      </w:r>
      <w:r w:rsidR="00DB536D">
        <w:rPr>
          <w:rFonts w:ascii="標楷體" w:eastAsia="標楷體" w:hAnsi="標楷體" w:hint="eastAsia"/>
          <w:sz w:val="32"/>
          <w:szCs w:val="32"/>
        </w:rPr>
        <w:t>衝擊的</w:t>
      </w:r>
      <w:r w:rsidR="00DB536D">
        <w:rPr>
          <w:rFonts w:ascii="標楷體" w:eastAsia="標楷體" w:hAnsi="標楷體"/>
          <w:sz w:val="32"/>
          <w:szCs w:val="32"/>
        </w:rPr>
        <w:t>土地消耗成長模式</w:t>
      </w:r>
      <w:r w:rsidR="00DB536D">
        <w:rPr>
          <w:rFonts w:ascii="標楷體" w:eastAsia="標楷體" w:hAnsi="標楷體" w:hint="eastAsia"/>
          <w:sz w:val="32"/>
          <w:szCs w:val="32"/>
        </w:rPr>
        <w:t>為主要</w:t>
      </w:r>
      <w:r w:rsidR="00DB44A9">
        <w:rPr>
          <w:rFonts w:ascii="標楷體" w:eastAsia="標楷體" w:hAnsi="標楷體"/>
          <w:sz w:val="32"/>
          <w:szCs w:val="32"/>
        </w:rPr>
        <w:t>策略。</w:t>
      </w:r>
    </w:p>
    <w:p w14:paraId="1A7D871B" w14:textId="474F415D" w:rsidR="008E0F28" w:rsidRDefault="00E26AD1" w:rsidP="008E0F28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衡酌歐美</w:t>
      </w:r>
      <w:r w:rsidR="00DB44A9">
        <w:rPr>
          <w:rFonts w:ascii="標楷體" w:eastAsia="標楷體" w:hAnsi="標楷體" w:hint="eastAsia"/>
          <w:sz w:val="32"/>
          <w:szCs w:val="32"/>
        </w:rPr>
        <w:t>日等各國</w:t>
      </w:r>
      <w:r w:rsidR="00DB44A9">
        <w:rPr>
          <w:rFonts w:ascii="標楷體" w:eastAsia="標楷體" w:hAnsi="標楷體"/>
          <w:sz w:val="32"/>
          <w:szCs w:val="32"/>
        </w:rPr>
        <w:t>2050</w:t>
      </w:r>
      <w:r>
        <w:rPr>
          <w:rFonts w:ascii="標楷體" w:eastAsia="標楷體" w:hAnsi="標楷體" w:hint="eastAsia"/>
          <w:sz w:val="32"/>
          <w:szCs w:val="32"/>
        </w:rPr>
        <w:t>年研究綜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>
        <w:rPr>
          <w:rFonts w:ascii="標楷體" w:eastAsia="標楷體" w:hAnsi="標楷體" w:hint="eastAsia"/>
          <w:sz w:val="32"/>
          <w:szCs w:val="32"/>
        </w:rPr>
        <w:t>發現，</w:t>
      </w:r>
      <w:r w:rsidR="00BD0F69">
        <w:rPr>
          <w:rFonts w:ascii="標楷體" w:eastAsia="標楷體" w:hAnsi="標楷體"/>
          <w:sz w:val="32"/>
          <w:szCs w:val="32"/>
        </w:rPr>
        <w:t>低碳能源、循環經濟、創新運具</w:t>
      </w:r>
      <w:r w:rsidR="00835246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快速發展，將</w:t>
      </w:r>
      <w:r w:rsidR="00835246">
        <w:rPr>
          <w:rFonts w:ascii="標楷體" w:eastAsia="標楷體" w:hAnsi="標楷體" w:hint="eastAsia"/>
          <w:sz w:val="32"/>
          <w:szCs w:val="32"/>
        </w:rPr>
        <w:t>對</w:t>
      </w:r>
      <w:r w:rsidR="00BD0F69">
        <w:rPr>
          <w:rFonts w:ascii="標楷體" w:eastAsia="標楷體" w:hAnsi="標楷體" w:hint="eastAsia"/>
          <w:sz w:val="32"/>
          <w:szCs w:val="32"/>
        </w:rPr>
        <w:t>都市發展</w:t>
      </w:r>
      <w:r>
        <w:rPr>
          <w:rFonts w:ascii="標楷體" w:eastAsia="標楷體" w:hAnsi="標楷體" w:hint="eastAsia"/>
          <w:sz w:val="32"/>
          <w:szCs w:val="32"/>
        </w:rPr>
        <w:t>與建設產生重要</w:t>
      </w:r>
      <w:r w:rsidR="00BD0F69">
        <w:rPr>
          <w:rFonts w:ascii="標楷體" w:eastAsia="標楷體" w:hAnsi="標楷體" w:hint="eastAsia"/>
          <w:sz w:val="32"/>
          <w:szCs w:val="32"/>
        </w:rPr>
        <w:t>影響</w:t>
      </w:r>
      <w:r w:rsidR="0083524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而</w:t>
      </w:r>
      <w:r w:rsidR="00835246">
        <w:rPr>
          <w:rFonts w:ascii="標楷體" w:eastAsia="標楷體" w:hAnsi="標楷體" w:hint="eastAsia"/>
          <w:sz w:val="32"/>
          <w:szCs w:val="32"/>
        </w:rPr>
        <w:t>各國</w:t>
      </w:r>
      <w:r w:rsidR="00DB44A9">
        <w:rPr>
          <w:rFonts w:ascii="標楷體" w:eastAsia="標楷體" w:hAnsi="標楷體"/>
          <w:sz w:val="32"/>
          <w:szCs w:val="32"/>
        </w:rPr>
        <w:t>國土空間</w:t>
      </w:r>
      <w:r w:rsidR="00835246">
        <w:rPr>
          <w:rFonts w:ascii="標楷體" w:eastAsia="標楷體" w:hAnsi="標楷體" w:hint="eastAsia"/>
          <w:sz w:val="32"/>
          <w:szCs w:val="32"/>
        </w:rPr>
        <w:t>發展</w:t>
      </w:r>
      <w:r>
        <w:rPr>
          <w:rFonts w:ascii="標楷體" w:eastAsia="標楷體" w:hAnsi="標楷體" w:hint="eastAsia"/>
          <w:sz w:val="32"/>
          <w:szCs w:val="32"/>
        </w:rPr>
        <w:t>趨勢</w:t>
      </w:r>
      <w:r w:rsidR="00DB44A9">
        <w:rPr>
          <w:rFonts w:ascii="標楷體" w:eastAsia="標楷體" w:hAnsi="標楷體"/>
          <w:sz w:val="32"/>
          <w:szCs w:val="32"/>
        </w:rPr>
        <w:t>仍</w:t>
      </w:r>
      <w:r w:rsidR="0090246B">
        <w:rPr>
          <w:rFonts w:ascii="標楷體" w:eastAsia="標楷體" w:hAnsi="標楷體" w:hint="eastAsia"/>
          <w:sz w:val="32"/>
          <w:szCs w:val="32"/>
        </w:rPr>
        <w:t>將</w:t>
      </w:r>
      <w:r w:rsidR="00835246">
        <w:rPr>
          <w:rFonts w:ascii="標楷體" w:eastAsia="標楷體" w:hAnsi="標楷體" w:hint="eastAsia"/>
          <w:sz w:val="32"/>
          <w:szCs w:val="32"/>
        </w:rPr>
        <w:t>持續</w:t>
      </w:r>
      <w:r w:rsidR="00835246">
        <w:rPr>
          <w:rFonts w:ascii="標楷體" w:eastAsia="標楷體" w:hAnsi="標楷體"/>
          <w:sz w:val="32"/>
          <w:szCs w:val="32"/>
        </w:rPr>
        <w:t>集中在主要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835246">
        <w:rPr>
          <w:rFonts w:ascii="標楷體" w:eastAsia="標楷體" w:hAnsi="標楷體" w:hint="eastAsia"/>
          <w:sz w:val="32"/>
          <w:szCs w:val="32"/>
        </w:rPr>
        <w:t>都會區</w:t>
      </w:r>
      <w:r>
        <w:rPr>
          <w:rFonts w:ascii="標楷體" w:eastAsia="標楷體" w:hAnsi="標楷體" w:hint="eastAsia"/>
          <w:sz w:val="32"/>
          <w:szCs w:val="32"/>
        </w:rPr>
        <w:t>發展</w:t>
      </w:r>
      <w:r w:rsidR="00835246">
        <w:rPr>
          <w:rFonts w:ascii="標楷體" w:eastAsia="標楷體" w:hAnsi="標楷體" w:hint="eastAsia"/>
          <w:sz w:val="32"/>
          <w:szCs w:val="32"/>
        </w:rPr>
        <w:t>，並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="00835246">
        <w:rPr>
          <w:rFonts w:ascii="標楷體" w:eastAsia="標楷體" w:hAnsi="標楷體" w:hint="eastAsia"/>
          <w:sz w:val="32"/>
          <w:szCs w:val="32"/>
        </w:rPr>
        <w:t>漸漸形成超級都會區的緊密生活圈</w:t>
      </w:r>
      <w:r>
        <w:rPr>
          <w:rFonts w:ascii="標楷體" w:eastAsia="標楷體" w:hAnsi="標楷體" w:hint="eastAsia"/>
          <w:sz w:val="32"/>
          <w:szCs w:val="32"/>
        </w:rPr>
        <w:t>發展趨勢</w:t>
      </w:r>
      <w:r w:rsidR="0090246B">
        <w:rPr>
          <w:rFonts w:ascii="標楷體" w:eastAsia="標楷體" w:hAnsi="標楷體" w:hint="eastAsia"/>
          <w:sz w:val="32"/>
          <w:szCs w:val="32"/>
        </w:rPr>
        <w:t>。</w:t>
      </w:r>
      <w:r w:rsidR="008E0F28">
        <w:rPr>
          <w:rFonts w:ascii="標楷體" w:eastAsia="標楷體" w:hAnsi="標楷體" w:hint="eastAsia"/>
          <w:sz w:val="32"/>
          <w:szCs w:val="32"/>
        </w:rPr>
        <w:t>國發會展望未來國土空間發展，</w:t>
      </w:r>
      <w:r w:rsidR="00A128AA">
        <w:rPr>
          <w:rFonts w:ascii="標楷體" w:eastAsia="標楷體" w:hAnsi="標楷體" w:hint="eastAsia"/>
          <w:sz w:val="32"/>
          <w:szCs w:val="32"/>
        </w:rPr>
        <w:t>參考國際2050年相關研究成果，規劃</w:t>
      </w:r>
      <w:r w:rsidR="008E0F28">
        <w:rPr>
          <w:rFonts w:ascii="標楷體" w:eastAsia="標楷體" w:hAnsi="標楷體" w:hint="eastAsia"/>
          <w:sz w:val="32"/>
          <w:szCs w:val="32"/>
        </w:rPr>
        <w:t>在</w:t>
      </w:r>
      <w:r w:rsidR="00A128AA">
        <w:rPr>
          <w:rFonts w:ascii="標楷體" w:eastAsia="標楷體" w:hAnsi="標楷體" w:hint="eastAsia"/>
          <w:sz w:val="32"/>
          <w:szCs w:val="32"/>
        </w:rPr>
        <w:t>氣候變遷與</w:t>
      </w:r>
      <w:r w:rsidR="008E0F28" w:rsidRPr="004507A0">
        <w:rPr>
          <w:rFonts w:ascii="標楷體" w:eastAsia="標楷體" w:hAnsi="標楷體" w:hint="eastAsia"/>
          <w:sz w:val="32"/>
          <w:szCs w:val="32"/>
        </w:rPr>
        <w:t>能資源、人口及社會、科技技術與產業、生活及工作型態、</w:t>
      </w:r>
      <w:r w:rsidR="008E0F28">
        <w:rPr>
          <w:rFonts w:ascii="標楷體" w:eastAsia="標楷體" w:hAnsi="標楷體" w:hint="eastAsia"/>
          <w:sz w:val="32"/>
          <w:szCs w:val="32"/>
        </w:rPr>
        <w:t>未來</w:t>
      </w:r>
      <w:r w:rsidR="008E0F28" w:rsidRPr="004507A0">
        <w:rPr>
          <w:rFonts w:ascii="標楷體" w:eastAsia="標楷體" w:hAnsi="標楷體" w:hint="eastAsia"/>
          <w:sz w:val="32"/>
          <w:szCs w:val="32"/>
        </w:rPr>
        <w:t>城鄉發展</w:t>
      </w:r>
      <w:r w:rsidR="008E0F28">
        <w:rPr>
          <w:rFonts w:ascii="標楷體" w:eastAsia="標楷體" w:hAnsi="標楷體" w:hint="eastAsia"/>
          <w:sz w:val="32"/>
          <w:szCs w:val="32"/>
        </w:rPr>
        <w:t>等面向，分析未來</w:t>
      </w:r>
      <w:r w:rsidR="00A128AA">
        <w:rPr>
          <w:rFonts w:ascii="標楷體" w:eastAsia="標楷體" w:hAnsi="標楷體" w:hint="eastAsia"/>
          <w:sz w:val="32"/>
          <w:szCs w:val="32"/>
        </w:rPr>
        <w:t>趨勢、</w:t>
      </w:r>
      <w:r w:rsidR="008E0F28">
        <w:rPr>
          <w:rFonts w:ascii="標楷體" w:eastAsia="標楷體" w:hAnsi="標楷體" w:hint="eastAsia"/>
          <w:sz w:val="32"/>
          <w:szCs w:val="32"/>
        </w:rPr>
        <w:t>情境與挑戰，</w:t>
      </w:r>
      <w:r w:rsidR="00A128AA">
        <w:rPr>
          <w:rFonts w:ascii="標楷體" w:eastAsia="標楷體" w:hAnsi="標楷體" w:hint="eastAsia"/>
          <w:sz w:val="32"/>
          <w:szCs w:val="32"/>
        </w:rPr>
        <w:t>作為</w:t>
      </w:r>
      <w:r w:rsidR="008E0F28">
        <w:rPr>
          <w:rFonts w:ascii="標楷體" w:eastAsia="標楷體" w:hAnsi="標楷體" w:hint="eastAsia"/>
          <w:sz w:val="32"/>
          <w:szCs w:val="32"/>
        </w:rPr>
        <w:t>長期國土空間</w:t>
      </w:r>
      <w:r w:rsidR="00A128AA">
        <w:rPr>
          <w:rFonts w:ascii="標楷體" w:eastAsia="標楷體" w:hAnsi="標楷體" w:hint="eastAsia"/>
          <w:sz w:val="32"/>
          <w:szCs w:val="32"/>
        </w:rPr>
        <w:t>策略</w:t>
      </w:r>
      <w:r w:rsidR="008E0F28">
        <w:rPr>
          <w:rFonts w:ascii="標楷體" w:eastAsia="標楷體" w:hAnsi="標楷體" w:hint="eastAsia"/>
          <w:sz w:val="32"/>
          <w:szCs w:val="32"/>
        </w:rPr>
        <w:t>發展</w:t>
      </w:r>
      <w:r w:rsidR="00A128AA">
        <w:rPr>
          <w:rFonts w:ascii="標楷體" w:eastAsia="標楷體" w:hAnsi="標楷體" w:hint="eastAsia"/>
          <w:sz w:val="32"/>
          <w:szCs w:val="32"/>
        </w:rPr>
        <w:t>規劃之</w:t>
      </w:r>
      <w:r w:rsidR="008E0F28">
        <w:rPr>
          <w:rFonts w:ascii="標楷體" w:eastAsia="標楷體" w:hAnsi="標楷體" w:hint="eastAsia"/>
          <w:sz w:val="32"/>
          <w:szCs w:val="32"/>
        </w:rPr>
        <w:t>基礎。</w:t>
      </w:r>
    </w:p>
    <w:p w14:paraId="59169981" w14:textId="77777777" w:rsidR="00471EBE" w:rsidRPr="008E0F28" w:rsidRDefault="00471EBE" w:rsidP="00DB44A9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22FDFA67" w14:textId="6840D1B4" w:rsidR="00AC424C" w:rsidRPr="00471EBE" w:rsidRDefault="00AC424C" w:rsidP="00471EBE">
      <w:pPr>
        <w:snapToGrid w:val="0"/>
        <w:spacing w:beforeLines="50" w:before="180" w:line="48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71EBE">
        <w:rPr>
          <w:rFonts w:ascii="標楷體" w:eastAsia="標楷體" w:hAnsi="標楷體" w:hint="eastAsia"/>
          <w:sz w:val="28"/>
          <w:szCs w:val="28"/>
        </w:rPr>
        <w:lastRenderedPageBreak/>
        <w:t>參考資料:</w:t>
      </w:r>
    </w:p>
    <w:p w14:paraId="290EBEEE" w14:textId="0B4CD5A5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Clear Channel</w:t>
      </w:r>
      <w:r w:rsidRPr="00D821BF">
        <w:rPr>
          <w:rFonts w:ascii="標楷體" w:eastAsia="標楷體" w:hAnsi="標楷體" w:hint="eastAsia"/>
          <w:bCs/>
        </w:rPr>
        <w:t>，2014，</w:t>
      </w:r>
      <w:r w:rsidRPr="00D821BF">
        <w:rPr>
          <w:rFonts w:ascii="標楷體" w:eastAsia="標楷體" w:hAnsi="標楷體"/>
          <w:bCs/>
        </w:rPr>
        <w:t>A 2050 Vision for London</w:t>
      </w:r>
      <w:r w:rsidRPr="00D821BF">
        <w:rPr>
          <w:rFonts w:ascii="標楷體" w:eastAsia="標楷體" w:hAnsi="標楷體" w:hint="eastAsia"/>
          <w:bCs/>
        </w:rPr>
        <w:t>，UK</w:t>
      </w:r>
    </w:p>
    <w:p w14:paraId="178E6BD4" w14:textId="77777777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Department for Business, Energy &amp; Industrial Strategy(BEIS)</w:t>
      </w:r>
      <w:r w:rsidRPr="00D821BF">
        <w:rPr>
          <w:rFonts w:ascii="標楷體" w:eastAsia="標楷體" w:hAnsi="標楷體" w:hint="eastAsia"/>
          <w:bCs/>
        </w:rPr>
        <w:t>，2013，</w:t>
      </w:r>
      <w:r w:rsidRPr="00D821BF">
        <w:rPr>
          <w:rFonts w:ascii="標楷體" w:eastAsia="標楷體" w:hAnsi="標楷體"/>
          <w:bCs/>
        </w:rPr>
        <w:t>2050 Pathways</w:t>
      </w:r>
      <w:r w:rsidRPr="00D821BF">
        <w:rPr>
          <w:rFonts w:ascii="標楷體" w:eastAsia="標楷體" w:hAnsi="標楷體" w:hint="eastAsia"/>
          <w:bCs/>
        </w:rPr>
        <w:t>，</w:t>
      </w:r>
      <w:r w:rsidRPr="00D821BF">
        <w:rPr>
          <w:rFonts w:ascii="標楷體" w:eastAsia="標楷體" w:hAnsi="標楷體"/>
          <w:bCs/>
        </w:rPr>
        <w:t>UK Government</w:t>
      </w:r>
    </w:p>
    <w:p w14:paraId="2B06C066" w14:textId="77777777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E</w:t>
      </w:r>
      <w:r w:rsidRPr="00D821BF">
        <w:rPr>
          <w:rFonts w:ascii="標楷體" w:eastAsia="標楷體" w:hAnsi="標楷體" w:hint="eastAsia"/>
          <w:bCs/>
        </w:rPr>
        <w:t>uropean Union (E</w:t>
      </w:r>
      <w:r w:rsidRPr="00D821BF">
        <w:rPr>
          <w:rFonts w:ascii="標楷體" w:eastAsia="標楷體" w:hAnsi="標楷體"/>
          <w:bCs/>
        </w:rPr>
        <w:t>U</w:t>
      </w:r>
      <w:r w:rsidRPr="00D821BF">
        <w:rPr>
          <w:rFonts w:ascii="標楷體" w:eastAsia="標楷體" w:hAnsi="標楷體" w:hint="eastAsia"/>
          <w:bCs/>
        </w:rPr>
        <w:t>)，2014，</w:t>
      </w:r>
      <w:r w:rsidRPr="00D821BF">
        <w:rPr>
          <w:rFonts w:ascii="標楷體" w:eastAsia="標楷體" w:hAnsi="標楷體"/>
          <w:bCs/>
        </w:rPr>
        <w:t>ET 2050</w:t>
      </w:r>
      <w:r w:rsidRPr="00D821BF">
        <w:rPr>
          <w:rFonts w:ascii="標楷體" w:eastAsia="標楷體" w:hAnsi="標楷體" w:hint="eastAsia"/>
          <w:bCs/>
        </w:rPr>
        <w:t xml:space="preserve">: </w:t>
      </w:r>
      <w:r w:rsidRPr="00D821BF">
        <w:rPr>
          <w:rFonts w:ascii="標楷體" w:eastAsia="標楷體" w:hAnsi="標楷體"/>
          <w:bCs/>
        </w:rPr>
        <w:t>Territorial Scenarios and Visions for Europe</w:t>
      </w:r>
      <w:r w:rsidRPr="00D821BF">
        <w:rPr>
          <w:rFonts w:ascii="標楷體" w:eastAsia="標楷體" w:hAnsi="標楷體" w:hint="eastAsia"/>
          <w:bCs/>
        </w:rPr>
        <w:t>，EU</w:t>
      </w:r>
    </w:p>
    <w:p w14:paraId="78FDB521" w14:textId="77777777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Food and Agriculture Organization of the United Nations</w:t>
      </w:r>
      <w:r w:rsidRPr="00D821BF">
        <w:rPr>
          <w:rFonts w:ascii="標楷體" w:eastAsia="標楷體" w:hAnsi="標楷體" w:hint="eastAsia"/>
          <w:bCs/>
        </w:rPr>
        <w:t xml:space="preserve"> (FAO)，2012，</w:t>
      </w:r>
      <w:r w:rsidRPr="00D821BF">
        <w:rPr>
          <w:rFonts w:ascii="標楷體" w:eastAsia="標楷體" w:hAnsi="標楷體"/>
          <w:bCs/>
        </w:rPr>
        <w:t>World Agriculture Towards 2030/2050</w:t>
      </w:r>
      <w:r w:rsidRPr="00D821BF">
        <w:rPr>
          <w:rFonts w:ascii="標楷體" w:eastAsia="標楷體" w:hAnsi="標楷體" w:hint="eastAsia"/>
          <w:bCs/>
        </w:rPr>
        <w:t>，UN</w:t>
      </w:r>
    </w:p>
    <w:p w14:paraId="73E7258B" w14:textId="77777777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Mayor of London</w:t>
      </w:r>
      <w:r w:rsidRPr="00D821BF">
        <w:rPr>
          <w:rFonts w:ascii="標楷體" w:eastAsia="標楷體" w:hAnsi="標楷體" w:hint="eastAsia"/>
          <w:bCs/>
        </w:rPr>
        <w:t>，2014，</w:t>
      </w:r>
      <w:r w:rsidRPr="00D821BF">
        <w:rPr>
          <w:rFonts w:ascii="標楷體" w:eastAsia="標楷體" w:hAnsi="標楷體"/>
          <w:bCs/>
        </w:rPr>
        <w:t>London Infrastructure Plan 2050</w:t>
      </w:r>
      <w:r w:rsidRPr="00D821BF">
        <w:rPr>
          <w:rFonts w:ascii="標楷體" w:eastAsia="標楷體" w:hAnsi="標楷體" w:hint="eastAsia"/>
          <w:bCs/>
        </w:rPr>
        <w:t>，UK</w:t>
      </w:r>
    </w:p>
    <w:p w14:paraId="0DD31C20" w14:textId="77777777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Ministry of Infrastructure and Environment</w:t>
      </w:r>
      <w:r w:rsidRPr="00D821BF">
        <w:rPr>
          <w:rFonts w:ascii="標楷體" w:eastAsia="標楷體" w:hAnsi="標楷體" w:hint="eastAsia"/>
          <w:bCs/>
        </w:rPr>
        <w:t xml:space="preserve">(MIE) &amp; </w:t>
      </w:r>
      <w:r w:rsidRPr="00D821BF">
        <w:rPr>
          <w:rFonts w:ascii="標楷體" w:eastAsia="標楷體" w:hAnsi="標楷體"/>
          <w:bCs/>
        </w:rPr>
        <w:t>Ministry of Economic Affairs</w:t>
      </w:r>
      <w:r w:rsidRPr="00D821BF">
        <w:rPr>
          <w:rFonts w:ascii="標楷體" w:eastAsia="標楷體" w:hAnsi="標楷體" w:hint="eastAsia"/>
          <w:bCs/>
        </w:rPr>
        <w:t>(MEA)</w:t>
      </w:r>
      <w:r w:rsidRPr="00D821BF">
        <w:rPr>
          <w:rFonts w:ascii="標楷體" w:eastAsia="標楷體" w:hAnsi="標楷體"/>
          <w:bCs/>
        </w:rPr>
        <w:t xml:space="preserve"> </w:t>
      </w:r>
      <w:r w:rsidRPr="00D821BF">
        <w:rPr>
          <w:rFonts w:ascii="標楷體" w:eastAsia="標楷體" w:hAnsi="標楷體" w:hint="eastAsia"/>
          <w:bCs/>
        </w:rPr>
        <w:t>，</w:t>
      </w:r>
      <w:r w:rsidRPr="00D821BF">
        <w:rPr>
          <w:rFonts w:ascii="標楷體" w:eastAsia="標楷體" w:hAnsi="標楷體"/>
          <w:bCs/>
        </w:rPr>
        <w:t>2014</w:t>
      </w:r>
      <w:r w:rsidRPr="00D821BF">
        <w:rPr>
          <w:rFonts w:ascii="標楷體" w:eastAsia="標楷體" w:hAnsi="標楷體" w:hint="eastAsia"/>
          <w:bCs/>
        </w:rPr>
        <w:t>，</w:t>
      </w:r>
      <w:r w:rsidRPr="00D821BF">
        <w:rPr>
          <w:rFonts w:ascii="標楷體" w:eastAsia="標楷體" w:hAnsi="標楷體"/>
          <w:bCs/>
        </w:rPr>
        <w:t>North Sea 2050 Spatial Agenda</w:t>
      </w:r>
      <w:r w:rsidRPr="00D821BF">
        <w:rPr>
          <w:rFonts w:ascii="標楷體" w:eastAsia="標楷體" w:hAnsi="標楷體" w:hint="eastAsia"/>
          <w:bCs/>
        </w:rPr>
        <w:t>，The</w:t>
      </w:r>
      <w:r w:rsidRPr="00D821BF">
        <w:rPr>
          <w:rFonts w:ascii="標楷體" w:eastAsia="標楷體" w:hAnsi="標楷體"/>
          <w:bCs/>
        </w:rPr>
        <w:t xml:space="preserve"> Netherlands </w:t>
      </w:r>
    </w:p>
    <w:p w14:paraId="04611674" w14:textId="28085EBF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 xml:space="preserve">Ministry of Land, Infrastructure, Transport and Tourism </w:t>
      </w:r>
      <w:r w:rsidRPr="00D821BF">
        <w:rPr>
          <w:rFonts w:ascii="標楷體" w:eastAsia="標楷體" w:hAnsi="標楷體" w:hint="eastAsia"/>
          <w:bCs/>
        </w:rPr>
        <w:t>(</w:t>
      </w:r>
      <w:r w:rsidRPr="00D821BF">
        <w:rPr>
          <w:rFonts w:ascii="標楷體" w:eastAsia="標楷體" w:hAnsi="標楷體"/>
          <w:bCs/>
        </w:rPr>
        <w:t>M</w:t>
      </w:r>
      <w:r w:rsidRPr="00D821BF">
        <w:rPr>
          <w:rFonts w:ascii="標楷體" w:eastAsia="標楷體" w:hAnsi="標楷體" w:hint="eastAsia"/>
          <w:bCs/>
        </w:rPr>
        <w:t>LIT)，2014，</w:t>
      </w:r>
      <w:r w:rsidRPr="00D821BF">
        <w:rPr>
          <w:rFonts w:ascii="標楷體" w:eastAsia="標楷體" w:hAnsi="標楷體"/>
          <w:bCs/>
        </w:rPr>
        <w:t>Grand Design of National Spatial Development towards 2050</w:t>
      </w:r>
      <w:r w:rsidR="00F678C6">
        <w:rPr>
          <w:rFonts w:ascii="標楷體" w:eastAsia="標楷體" w:hAnsi="標楷體" w:hint="eastAsia"/>
          <w:bCs/>
        </w:rPr>
        <w:t xml:space="preserve"> (GDNSD 2050)</w:t>
      </w:r>
      <w:r w:rsidRPr="00D821BF">
        <w:rPr>
          <w:rFonts w:ascii="標楷體" w:eastAsia="標楷體" w:hAnsi="標楷體" w:hint="eastAsia"/>
          <w:bCs/>
        </w:rPr>
        <w:t>，</w:t>
      </w:r>
      <w:r w:rsidRPr="00D821BF">
        <w:rPr>
          <w:rFonts w:ascii="標楷體" w:eastAsia="標楷體" w:hAnsi="標楷體"/>
          <w:bCs/>
        </w:rPr>
        <w:t>Japan</w:t>
      </w:r>
    </w:p>
    <w:p w14:paraId="64744348" w14:textId="77777777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PricewaterhouseCoopers (PwC)</w:t>
      </w:r>
      <w:r w:rsidRPr="00D821BF">
        <w:rPr>
          <w:rFonts w:ascii="標楷體" w:eastAsia="標楷體" w:hAnsi="標楷體" w:hint="eastAsia"/>
          <w:bCs/>
        </w:rPr>
        <w:t>，2010，</w:t>
      </w:r>
      <w:r w:rsidRPr="00D821BF">
        <w:rPr>
          <w:rFonts w:ascii="標楷體" w:eastAsia="標楷體" w:hAnsi="標楷體"/>
          <w:bCs/>
        </w:rPr>
        <w:t>Vision 2050: Estimating the order of magnitude of sustainability-related business opportunities in key sectors</w:t>
      </w:r>
      <w:r w:rsidRPr="00D821BF">
        <w:rPr>
          <w:rFonts w:ascii="標楷體" w:eastAsia="標楷體" w:hAnsi="標楷體" w:hint="eastAsia"/>
          <w:bCs/>
        </w:rPr>
        <w:t>，</w:t>
      </w:r>
      <w:r w:rsidRPr="00D821BF">
        <w:rPr>
          <w:rFonts w:ascii="標楷體" w:eastAsia="標楷體" w:hAnsi="標楷體"/>
          <w:bCs/>
        </w:rPr>
        <w:t>PwC</w:t>
      </w:r>
    </w:p>
    <w:p w14:paraId="08CBE2B3" w14:textId="5B461106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PricewaterhouseCoopers (PwC)</w:t>
      </w:r>
      <w:r w:rsidRPr="00D821BF">
        <w:rPr>
          <w:rFonts w:ascii="標楷體" w:eastAsia="標楷體" w:hAnsi="標楷體" w:hint="eastAsia"/>
          <w:bCs/>
        </w:rPr>
        <w:t>，2017，</w:t>
      </w:r>
      <w:r w:rsidRPr="00D821BF">
        <w:rPr>
          <w:rFonts w:ascii="標楷體" w:eastAsia="標楷體" w:hAnsi="標楷體"/>
          <w:bCs/>
        </w:rPr>
        <w:t>The World in 2050: How will the global economic order change</w:t>
      </w:r>
      <w:r w:rsidRPr="00D821BF">
        <w:rPr>
          <w:rFonts w:ascii="標楷體" w:eastAsia="標楷體" w:hAnsi="標楷體" w:hint="eastAsia"/>
          <w:bCs/>
        </w:rPr>
        <w:t>，</w:t>
      </w:r>
      <w:r w:rsidRPr="00D821BF">
        <w:rPr>
          <w:rFonts w:ascii="標楷體" w:eastAsia="標楷體" w:hAnsi="標楷體"/>
          <w:bCs/>
        </w:rPr>
        <w:t>PwC</w:t>
      </w:r>
    </w:p>
    <w:p w14:paraId="6B7ADDED" w14:textId="77777777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Regional Planning Association (RPA)</w:t>
      </w:r>
      <w:r w:rsidRPr="00D821BF">
        <w:rPr>
          <w:rFonts w:ascii="標楷體" w:eastAsia="標楷體" w:hAnsi="標楷體" w:hint="eastAsia"/>
          <w:bCs/>
        </w:rPr>
        <w:t>，2012，</w:t>
      </w:r>
      <w:r w:rsidRPr="00D821BF">
        <w:rPr>
          <w:rFonts w:ascii="標楷體" w:eastAsia="標楷體" w:hAnsi="標楷體"/>
          <w:bCs/>
        </w:rPr>
        <w:t>America 2050: A Prospectus</w:t>
      </w:r>
      <w:r w:rsidRPr="00D821BF">
        <w:rPr>
          <w:rFonts w:ascii="標楷體" w:eastAsia="標楷體" w:hAnsi="標楷體" w:hint="eastAsia"/>
          <w:bCs/>
        </w:rPr>
        <w:t>，USA</w:t>
      </w:r>
      <w:r w:rsidRPr="00D821BF">
        <w:rPr>
          <w:rFonts w:ascii="標楷體" w:eastAsia="標楷體" w:hAnsi="標楷體"/>
          <w:bCs/>
        </w:rPr>
        <w:t xml:space="preserve"> </w:t>
      </w:r>
    </w:p>
    <w:p w14:paraId="497E4206" w14:textId="3F899A3C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The Royal Society for the Protection of Birds (RSPB)</w:t>
      </w:r>
      <w:r w:rsidRPr="00D821BF">
        <w:rPr>
          <w:rFonts w:ascii="標楷體" w:eastAsia="標楷體" w:hAnsi="標楷體" w:hint="eastAsia"/>
          <w:bCs/>
        </w:rPr>
        <w:t>，2016，</w:t>
      </w:r>
      <w:r w:rsidRPr="00D821BF">
        <w:rPr>
          <w:rFonts w:ascii="標楷體" w:eastAsia="標楷體" w:hAnsi="標楷體"/>
          <w:bCs/>
        </w:rPr>
        <w:t>The RSPB</w:t>
      </w:r>
      <w:proofErr w:type="gramStart"/>
      <w:r w:rsidRPr="00D821BF">
        <w:rPr>
          <w:rFonts w:ascii="標楷體" w:eastAsia="標楷體" w:hAnsi="標楷體"/>
          <w:bCs/>
        </w:rPr>
        <w:t>’</w:t>
      </w:r>
      <w:proofErr w:type="gramEnd"/>
      <w:r w:rsidRPr="00D821BF">
        <w:rPr>
          <w:rFonts w:ascii="標楷體" w:eastAsia="標楷體" w:hAnsi="標楷體"/>
          <w:bCs/>
        </w:rPr>
        <w:t>s 2050 en</w:t>
      </w:r>
      <w:r w:rsidR="00F678C6">
        <w:rPr>
          <w:rFonts w:ascii="標楷體" w:eastAsia="標楷體" w:hAnsi="標楷體"/>
          <w:bCs/>
        </w:rPr>
        <w:t>ergy vision Meeting the UK</w:t>
      </w:r>
      <w:proofErr w:type="gramStart"/>
      <w:r w:rsidR="00F678C6">
        <w:rPr>
          <w:rFonts w:ascii="標楷體" w:eastAsia="標楷體" w:hAnsi="標楷體"/>
          <w:bCs/>
        </w:rPr>
        <w:t>’</w:t>
      </w:r>
      <w:proofErr w:type="gramEnd"/>
      <w:r w:rsidRPr="00D821BF">
        <w:rPr>
          <w:rFonts w:ascii="標楷體" w:eastAsia="標楷體" w:hAnsi="標楷體"/>
          <w:bCs/>
        </w:rPr>
        <w:t>s climate targets in harmony with nature</w:t>
      </w:r>
      <w:r w:rsidRPr="00D821BF">
        <w:rPr>
          <w:rFonts w:ascii="標楷體" w:eastAsia="標楷體" w:hAnsi="標楷體" w:hint="eastAsia"/>
          <w:bCs/>
        </w:rPr>
        <w:t>，UK</w:t>
      </w:r>
      <w:r w:rsidRPr="00D821BF">
        <w:rPr>
          <w:rFonts w:ascii="標楷體" w:eastAsia="標楷體" w:hAnsi="標楷體"/>
          <w:bCs/>
        </w:rPr>
        <w:t xml:space="preserve"> </w:t>
      </w:r>
    </w:p>
    <w:p w14:paraId="753B9A07" w14:textId="0BB7CF27" w:rsidR="00471EBE" w:rsidRPr="00D821BF" w:rsidRDefault="00471EBE" w:rsidP="00F678C6">
      <w:pPr>
        <w:pStyle w:val="af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</w:rPr>
      </w:pPr>
      <w:r w:rsidRPr="00D821BF">
        <w:rPr>
          <w:rFonts w:ascii="標楷體" w:eastAsia="標楷體" w:hAnsi="標楷體"/>
          <w:bCs/>
        </w:rPr>
        <w:t>World Business Council for Sustainable Development (WBCSD)</w:t>
      </w:r>
      <w:r w:rsidRPr="00D821BF">
        <w:rPr>
          <w:rFonts w:ascii="標楷體" w:eastAsia="標楷體" w:hAnsi="標楷體" w:hint="eastAsia"/>
          <w:bCs/>
        </w:rPr>
        <w:t>，2010，</w:t>
      </w:r>
      <w:r w:rsidRPr="00D821BF">
        <w:rPr>
          <w:rFonts w:ascii="標楷體" w:eastAsia="標楷體" w:hAnsi="標楷體"/>
          <w:bCs/>
        </w:rPr>
        <w:t>Vision 2050</w:t>
      </w:r>
      <w:r w:rsidRPr="00D821BF">
        <w:rPr>
          <w:rFonts w:ascii="標楷體" w:eastAsia="標楷體" w:hAnsi="標楷體" w:hint="eastAsia"/>
          <w:bCs/>
        </w:rPr>
        <w:t>，WBCSD</w:t>
      </w:r>
    </w:p>
    <w:sectPr w:rsidR="00471EBE" w:rsidRPr="00D821BF" w:rsidSect="00C33D45">
      <w:footerReference w:type="even" r:id="rId10"/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2BA6F" w14:textId="77777777" w:rsidR="00AB04E9" w:rsidRDefault="00AB04E9">
      <w:r>
        <w:separator/>
      </w:r>
    </w:p>
  </w:endnote>
  <w:endnote w:type="continuationSeparator" w:id="0">
    <w:p w14:paraId="75AC7A8A" w14:textId="77777777" w:rsidR="00AB04E9" w:rsidRDefault="00AB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AC25" w14:textId="77777777" w:rsidR="00FB604F" w:rsidRDefault="00FB604F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4DEA8" w14:textId="77777777" w:rsidR="00FB604F" w:rsidRDefault="00FB60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1C4E" w14:textId="77777777" w:rsidR="00FB604F" w:rsidRDefault="00FB604F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0DB">
      <w:rPr>
        <w:rStyle w:val="a5"/>
        <w:noProof/>
      </w:rPr>
      <w:t>1</w:t>
    </w:r>
    <w:r>
      <w:rPr>
        <w:rStyle w:val="a5"/>
      </w:rPr>
      <w:fldChar w:fldCharType="end"/>
    </w:r>
  </w:p>
  <w:p w14:paraId="65A1CAC7" w14:textId="77777777" w:rsidR="00FB604F" w:rsidRPr="00C33D45" w:rsidRDefault="00FB604F" w:rsidP="00C33D45">
    <w:pPr>
      <w:spacing w:line="520" w:lineRule="exact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7A0F7" w14:textId="77777777" w:rsidR="00AB04E9" w:rsidRDefault="00AB04E9">
      <w:r>
        <w:separator/>
      </w:r>
    </w:p>
  </w:footnote>
  <w:footnote w:type="continuationSeparator" w:id="0">
    <w:p w14:paraId="0F4CF08D" w14:textId="77777777" w:rsidR="00AB04E9" w:rsidRDefault="00AB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76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E235A"/>
    <w:multiLevelType w:val="hybridMultilevel"/>
    <w:tmpl w:val="AB6260E2"/>
    <w:lvl w:ilvl="0" w:tplc="480C586C">
      <w:start w:val="1"/>
      <w:numFmt w:val="decimal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>
    <w:nsid w:val="15B85CF5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AA125D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AC0C5A"/>
    <w:multiLevelType w:val="hybridMultilevel"/>
    <w:tmpl w:val="15AAA018"/>
    <w:lvl w:ilvl="0" w:tplc="279AC8A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5">
    <w:nsid w:val="4BBC33D3"/>
    <w:multiLevelType w:val="hybridMultilevel"/>
    <w:tmpl w:val="790C466E"/>
    <w:lvl w:ilvl="0" w:tplc="0AF6C1DA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629F4C70"/>
    <w:multiLevelType w:val="hybridMultilevel"/>
    <w:tmpl w:val="DDBAD3C0"/>
    <w:lvl w:ilvl="0" w:tplc="EFD68DAE">
      <w:start w:val="1"/>
      <w:numFmt w:val="taiwaneseCountingThousand"/>
      <w:suff w:val="nothing"/>
      <w:lvlText w:val="%1、"/>
      <w:lvlJc w:val="left"/>
      <w:pPr>
        <w:ind w:left="311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693D2970"/>
    <w:multiLevelType w:val="hybridMultilevel"/>
    <w:tmpl w:val="32BA658C"/>
    <w:lvl w:ilvl="0" w:tplc="29D4FA98">
      <w:start w:val="1"/>
      <w:numFmt w:val="taiwaneseCountingThousand"/>
      <w:lvlText w:val="(%1)"/>
      <w:lvlJc w:val="left"/>
      <w:pPr>
        <w:ind w:left="1188" w:hanging="480"/>
      </w:pPr>
      <w:rPr>
        <w:rFonts w:eastAsia="標楷體" w:hint="eastAsia"/>
        <w:b w:val="0"/>
        <w:i w:val="0"/>
      </w:rPr>
    </w:lvl>
    <w:lvl w:ilvl="1" w:tplc="29D4FA98">
      <w:start w:val="1"/>
      <w:numFmt w:val="taiwaneseCountingThousand"/>
      <w:lvlText w:val="(%2)"/>
      <w:lvlJc w:val="left"/>
      <w:pPr>
        <w:ind w:left="1668" w:hanging="480"/>
      </w:pPr>
      <w:rPr>
        <w:rFonts w:eastAsia="標楷體" w:hint="eastAsia"/>
        <w:b w:val="0"/>
        <w:i w:val="0"/>
      </w:rPr>
    </w:lvl>
    <w:lvl w:ilvl="2" w:tplc="061E038A">
      <w:start w:val="1"/>
      <w:numFmt w:val="taiwaneseCountingThousand"/>
      <w:lvlText w:val="（%3）"/>
      <w:lvlJc w:val="left"/>
      <w:pPr>
        <w:ind w:left="2748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71C97FB8"/>
    <w:multiLevelType w:val="hybridMultilevel"/>
    <w:tmpl w:val="03F40156"/>
    <w:lvl w:ilvl="0" w:tplc="3AE82F90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91"/>
    <w:rsid w:val="00000BF3"/>
    <w:rsid w:val="0000730A"/>
    <w:rsid w:val="00012EFC"/>
    <w:rsid w:val="00071A96"/>
    <w:rsid w:val="00071C11"/>
    <w:rsid w:val="00080F6C"/>
    <w:rsid w:val="00090691"/>
    <w:rsid w:val="00090EB5"/>
    <w:rsid w:val="00092E68"/>
    <w:rsid w:val="00095231"/>
    <w:rsid w:val="000A1462"/>
    <w:rsid w:val="000A450B"/>
    <w:rsid w:val="000A4BDA"/>
    <w:rsid w:val="000A6A79"/>
    <w:rsid w:val="000B37A6"/>
    <w:rsid w:val="000C1A8B"/>
    <w:rsid w:val="000C2497"/>
    <w:rsid w:val="000E4ABB"/>
    <w:rsid w:val="000E5AE7"/>
    <w:rsid w:val="000F3738"/>
    <w:rsid w:val="000F4D9F"/>
    <w:rsid w:val="00102290"/>
    <w:rsid w:val="00114626"/>
    <w:rsid w:val="001278D1"/>
    <w:rsid w:val="0014104F"/>
    <w:rsid w:val="00145F9E"/>
    <w:rsid w:val="0015148A"/>
    <w:rsid w:val="00151738"/>
    <w:rsid w:val="0016333E"/>
    <w:rsid w:val="00163E8F"/>
    <w:rsid w:val="0016449F"/>
    <w:rsid w:val="00172410"/>
    <w:rsid w:val="001744F7"/>
    <w:rsid w:val="001845C0"/>
    <w:rsid w:val="001861EB"/>
    <w:rsid w:val="001975A7"/>
    <w:rsid w:val="001A0C19"/>
    <w:rsid w:val="001A28E7"/>
    <w:rsid w:val="001A6072"/>
    <w:rsid w:val="001A7A67"/>
    <w:rsid w:val="001B1565"/>
    <w:rsid w:val="001C1D2F"/>
    <w:rsid w:val="001C4A40"/>
    <w:rsid w:val="001C5BA4"/>
    <w:rsid w:val="001D47B4"/>
    <w:rsid w:val="001F15EC"/>
    <w:rsid w:val="00211DC7"/>
    <w:rsid w:val="00224BDD"/>
    <w:rsid w:val="002251D0"/>
    <w:rsid w:val="00237163"/>
    <w:rsid w:val="002404E9"/>
    <w:rsid w:val="00241816"/>
    <w:rsid w:val="0024355E"/>
    <w:rsid w:val="00246202"/>
    <w:rsid w:val="002476F1"/>
    <w:rsid w:val="002627C4"/>
    <w:rsid w:val="0026597D"/>
    <w:rsid w:val="00266977"/>
    <w:rsid w:val="00266F3F"/>
    <w:rsid w:val="00292C3D"/>
    <w:rsid w:val="00296D1D"/>
    <w:rsid w:val="00297356"/>
    <w:rsid w:val="002A05DE"/>
    <w:rsid w:val="002B15EC"/>
    <w:rsid w:val="002C0A01"/>
    <w:rsid w:val="002C14FD"/>
    <w:rsid w:val="002C5887"/>
    <w:rsid w:val="002D0069"/>
    <w:rsid w:val="002D57D1"/>
    <w:rsid w:val="002D7AE7"/>
    <w:rsid w:val="002E3940"/>
    <w:rsid w:val="002F7528"/>
    <w:rsid w:val="0030605F"/>
    <w:rsid w:val="00310C13"/>
    <w:rsid w:val="00317CC7"/>
    <w:rsid w:val="00320069"/>
    <w:rsid w:val="0032582E"/>
    <w:rsid w:val="00333E62"/>
    <w:rsid w:val="003507C0"/>
    <w:rsid w:val="0035218B"/>
    <w:rsid w:val="00357B99"/>
    <w:rsid w:val="00360E0D"/>
    <w:rsid w:val="003716C6"/>
    <w:rsid w:val="0037344E"/>
    <w:rsid w:val="00373A43"/>
    <w:rsid w:val="00386630"/>
    <w:rsid w:val="0039517B"/>
    <w:rsid w:val="0039554E"/>
    <w:rsid w:val="00396A3D"/>
    <w:rsid w:val="003A68C8"/>
    <w:rsid w:val="003A6CDE"/>
    <w:rsid w:val="003C1898"/>
    <w:rsid w:val="003C31AF"/>
    <w:rsid w:val="003D2DF1"/>
    <w:rsid w:val="003D47DB"/>
    <w:rsid w:val="003D6B9C"/>
    <w:rsid w:val="003D774E"/>
    <w:rsid w:val="003F0E31"/>
    <w:rsid w:val="003F1135"/>
    <w:rsid w:val="003F1C0C"/>
    <w:rsid w:val="004002A3"/>
    <w:rsid w:val="00400915"/>
    <w:rsid w:val="004009BA"/>
    <w:rsid w:val="00404ED8"/>
    <w:rsid w:val="00413F09"/>
    <w:rsid w:val="00416104"/>
    <w:rsid w:val="00424845"/>
    <w:rsid w:val="00424E5C"/>
    <w:rsid w:val="00425A21"/>
    <w:rsid w:val="00425F68"/>
    <w:rsid w:val="00436A38"/>
    <w:rsid w:val="00443287"/>
    <w:rsid w:val="00445C56"/>
    <w:rsid w:val="00446B2C"/>
    <w:rsid w:val="004505B3"/>
    <w:rsid w:val="004507A0"/>
    <w:rsid w:val="00455830"/>
    <w:rsid w:val="0046228C"/>
    <w:rsid w:val="004654EB"/>
    <w:rsid w:val="00471706"/>
    <w:rsid w:val="00471EBE"/>
    <w:rsid w:val="004751EF"/>
    <w:rsid w:val="004752FF"/>
    <w:rsid w:val="00477D8C"/>
    <w:rsid w:val="00482863"/>
    <w:rsid w:val="004844B7"/>
    <w:rsid w:val="00496E53"/>
    <w:rsid w:val="004A377C"/>
    <w:rsid w:val="004A3C2F"/>
    <w:rsid w:val="004A61B9"/>
    <w:rsid w:val="004B1517"/>
    <w:rsid w:val="004B3624"/>
    <w:rsid w:val="004B48E8"/>
    <w:rsid w:val="004C35DA"/>
    <w:rsid w:val="004C3E2A"/>
    <w:rsid w:val="004C6211"/>
    <w:rsid w:val="004D0414"/>
    <w:rsid w:val="004D1B2B"/>
    <w:rsid w:val="004D41FF"/>
    <w:rsid w:val="004E5255"/>
    <w:rsid w:val="004E5B1D"/>
    <w:rsid w:val="004E5C58"/>
    <w:rsid w:val="004E7F44"/>
    <w:rsid w:val="004F3B44"/>
    <w:rsid w:val="005002B4"/>
    <w:rsid w:val="00500EB2"/>
    <w:rsid w:val="0050484C"/>
    <w:rsid w:val="005119F7"/>
    <w:rsid w:val="00514B75"/>
    <w:rsid w:val="005376E3"/>
    <w:rsid w:val="0054001E"/>
    <w:rsid w:val="005437AA"/>
    <w:rsid w:val="00544A2B"/>
    <w:rsid w:val="005477A1"/>
    <w:rsid w:val="00551F9F"/>
    <w:rsid w:val="00554021"/>
    <w:rsid w:val="005656AD"/>
    <w:rsid w:val="005750FB"/>
    <w:rsid w:val="005763A4"/>
    <w:rsid w:val="005765D3"/>
    <w:rsid w:val="005767B7"/>
    <w:rsid w:val="00590E7B"/>
    <w:rsid w:val="005A1995"/>
    <w:rsid w:val="005A46CB"/>
    <w:rsid w:val="005A59F7"/>
    <w:rsid w:val="005B5309"/>
    <w:rsid w:val="005D3466"/>
    <w:rsid w:val="005D390F"/>
    <w:rsid w:val="005D61EB"/>
    <w:rsid w:val="00602B4C"/>
    <w:rsid w:val="00613B34"/>
    <w:rsid w:val="006152D5"/>
    <w:rsid w:val="00622EDE"/>
    <w:rsid w:val="00632340"/>
    <w:rsid w:val="00633CD7"/>
    <w:rsid w:val="00637E18"/>
    <w:rsid w:val="006406F5"/>
    <w:rsid w:val="00641B0C"/>
    <w:rsid w:val="006509E0"/>
    <w:rsid w:val="00651D51"/>
    <w:rsid w:val="00652E3C"/>
    <w:rsid w:val="00663E3D"/>
    <w:rsid w:val="00674988"/>
    <w:rsid w:val="006876BA"/>
    <w:rsid w:val="006A76F9"/>
    <w:rsid w:val="006B0A56"/>
    <w:rsid w:val="006B35CC"/>
    <w:rsid w:val="006C4EDD"/>
    <w:rsid w:val="006D29DE"/>
    <w:rsid w:val="006D3A70"/>
    <w:rsid w:val="006E0026"/>
    <w:rsid w:val="006E0B8D"/>
    <w:rsid w:val="006E7646"/>
    <w:rsid w:val="006F1DD3"/>
    <w:rsid w:val="006F1E99"/>
    <w:rsid w:val="006F7D94"/>
    <w:rsid w:val="00700133"/>
    <w:rsid w:val="00704D9F"/>
    <w:rsid w:val="00712861"/>
    <w:rsid w:val="00723C65"/>
    <w:rsid w:val="007246BB"/>
    <w:rsid w:val="007311BC"/>
    <w:rsid w:val="00735196"/>
    <w:rsid w:val="0074638B"/>
    <w:rsid w:val="00746ABE"/>
    <w:rsid w:val="00746C95"/>
    <w:rsid w:val="0075093A"/>
    <w:rsid w:val="007516C2"/>
    <w:rsid w:val="00753EAB"/>
    <w:rsid w:val="007640DB"/>
    <w:rsid w:val="007645D7"/>
    <w:rsid w:val="007831C3"/>
    <w:rsid w:val="00786209"/>
    <w:rsid w:val="00790D38"/>
    <w:rsid w:val="0079660A"/>
    <w:rsid w:val="007A7CA3"/>
    <w:rsid w:val="007B527A"/>
    <w:rsid w:val="007B6F34"/>
    <w:rsid w:val="007C027F"/>
    <w:rsid w:val="007C35AC"/>
    <w:rsid w:val="007C410F"/>
    <w:rsid w:val="007C5D12"/>
    <w:rsid w:val="007E7364"/>
    <w:rsid w:val="007F5675"/>
    <w:rsid w:val="007F6811"/>
    <w:rsid w:val="007F7729"/>
    <w:rsid w:val="007F7B71"/>
    <w:rsid w:val="00804406"/>
    <w:rsid w:val="008055B9"/>
    <w:rsid w:val="00807601"/>
    <w:rsid w:val="00814C3E"/>
    <w:rsid w:val="008209B1"/>
    <w:rsid w:val="00825FE3"/>
    <w:rsid w:val="008329B9"/>
    <w:rsid w:val="00835246"/>
    <w:rsid w:val="0084572A"/>
    <w:rsid w:val="008477C5"/>
    <w:rsid w:val="00852A0B"/>
    <w:rsid w:val="00857420"/>
    <w:rsid w:val="0086138F"/>
    <w:rsid w:val="008715E5"/>
    <w:rsid w:val="008754CF"/>
    <w:rsid w:val="00877343"/>
    <w:rsid w:val="00884077"/>
    <w:rsid w:val="0088781F"/>
    <w:rsid w:val="008955E1"/>
    <w:rsid w:val="0089709E"/>
    <w:rsid w:val="008974A9"/>
    <w:rsid w:val="008A125B"/>
    <w:rsid w:val="008A2792"/>
    <w:rsid w:val="008D0E03"/>
    <w:rsid w:val="008D1C04"/>
    <w:rsid w:val="008D5882"/>
    <w:rsid w:val="008D5CE0"/>
    <w:rsid w:val="008D6D0A"/>
    <w:rsid w:val="008E0F28"/>
    <w:rsid w:val="008E571F"/>
    <w:rsid w:val="008F6DC2"/>
    <w:rsid w:val="0090246B"/>
    <w:rsid w:val="00920F22"/>
    <w:rsid w:val="00921125"/>
    <w:rsid w:val="00923633"/>
    <w:rsid w:val="00931BEF"/>
    <w:rsid w:val="009410E1"/>
    <w:rsid w:val="00941275"/>
    <w:rsid w:val="00941B1D"/>
    <w:rsid w:val="0094356C"/>
    <w:rsid w:val="0096269A"/>
    <w:rsid w:val="0096554C"/>
    <w:rsid w:val="009754C9"/>
    <w:rsid w:val="00981F33"/>
    <w:rsid w:val="009945AF"/>
    <w:rsid w:val="00997E4A"/>
    <w:rsid w:val="009A0D80"/>
    <w:rsid w:val="009A64C7"/>
    <w:rsid w:val="009B0972"/>
    <w:rsid w:val="009B2173"/>
    <w:rsid w:val="009B70E2"/>
    <w:rsid w:val="009C21F0"/>
    <w:rsid w:val="009C4400"/>
    <w:rsid w:val="009E0423"/>
    <w:rsid w:val="009E5A43"/>
    <w:rsid w:val="009F51A0"/>
    <w:rsid w:val="00A10F7F"/>
    <w:rsid w:val="00A111FD"/>
    <w:rsid w:val="00A128AA"/>
    <w:rsid w:val="00A14353"/>
    <w:rsid w:val="00A17630"/>
    <w:rsid w:val="00A3726C"/>
    <w:rsid w:val="00A40CA4"/>
    <w:rsid w:val="00A46E27"/>
    <w:rsid w:val="00A47156"/>
    <w:rsid w:val="00A57D69"/>
    <w:rsid w:val="00A73DCA"/>
    <w:rsid w:val="00A84446"/>
    <w:rsid w:val="00A8505D"/>
    <w:rsid w:val="00A852B0"/>
    <w:rsid w:val="00A87AE4"/>
    <w:rsid w:val="00A90B98"/>
    <w:rsid w:val="00AA0070"/>
    <w:rsid w:val="00AB02DD"/>
    <w:rsid w:val="00AB04E9"/>
    <w:rsid w:val="00AB3465"/>
    <w:rsid w:val="00AB785B"/>
    <w:rsid w:val="00AC424C"/>
    <w:rsid w:val="00AF6B9B"/>
    <w:rsid w:val="00B07E8A"/>
    <w:rsid w:val="00B13B53"/>
    <w:rsid w:val="00B16B5D"/>
    <w:rsid w:val="00B24691"/>
    <w:rsid w:val="00B30BC9"/>
    <w:rsid w:val="00B3178D"/>
    <w:rsid w:val="00B317A9"/>
    <w:rsid w:val="00B33378"/>
    <w:rsid w:val="00B470AC"/>
    <w:rsid w:val="00B51EBA"/>
    <w:rsid w:val="00B60EDE"/>
    <w:rsid w:val="00B66A31"/>
    <w:rsid w:val="00B675C0"/>
    <w:rsid w:val="00B71F32"/>
    <w:rsid w:val="00B724B3"/>
    <w:rsid w:val="00B72C3E"/>
    <w:rsid w:val="00B82BD1"/>
    <w:rsid w:val="00B83984"/>
    <w:rsid w:val="00B84F19"/>
    <w:rsid w:val="00B860AC"/>
    <w:rsid w:val="00B903FB"/>
    <w:rsid w:val="00B90EC1"/>
    <w:rsid w:val="00B96AC2"/>
    <w:rsid w:val="00BA163C"/>
    <w:rsid w:val="00BA6AE8"/>
    <w:rsid w:val="00BA7C1B"/>
    <w:rsid w:val="00BB1ABE"/>
    <w:rsid w:val="00BB2761"/>
    <w:rsid w:val="00BC7873"/>
    <w:rsid w:val="00BD0F69"/>
    <w:rsid w:val="00BD3205"/>
    <w:rsid w:val="00BE04AC"/>
    <w:rsid w:val="00BE120E"/>
    <w:rsid w:val="00BE4A1E"/>
    <w:rsid w:val="00BE60AE"/>
    <w:rsid w:val="00BF29DC"/>
    <w:rsid w:val="00C04432"/>
    <w:rsid w:val="00C0532E"/>
    <w:rsid w:val="00C064DC"/>
    <w:rsid w:val="00C1210D"/>
    <w:rsid w:val="00C22186"/>
    <w:rsid w:val="00C25B39"/>
    <w:rsid w:val="00C33D45"/>
    <w:rsid w:val="00C42A36"/>
    <w:rsid w:val="00C50647"/>
    <w:rsid w:val="00C50CF1"/>
    <w:rsid w:val="00C51619"/>
    <w:rsid w:val="00C62208"/>
    <w:rsid w:val="00C65D20"/>
    <w:rsid w:val="00C6727A"/>
    <w:rsid w:val="00C75C64"/>
    <w:rsid w:val="00C76E3F"/>
    <w:rsid w:val="00C771CE"/>
    <w:rsid w:val="00C81564"/>
    <w:rsid w:val="00C8258D"/>
    <w:rsid w:val="00C83FE7"/>
    <w:rsid w:val="00C860BB"/>
    <w:rsid w:val="00C94886"/>
    <w:rsid w:val="00CA4BDC"/>
    <w:rsid w:val="00CA7DF1"/>
    <w:rsid w:val="00CC0C0C"/>
    <w:rsid w:val="00CC2CF3"/>
    <w:rsid w:val="00CC4A22"/>
    <w:rsid w:val="00CC6371"/>
    <w:rsid w:val="00CD2791"/>
    <w:rsid w:val="00CD6ACB"/>
    <w:rsid w:val="00CD718E"/>
    <w:rsid w:val="00CE1A96"/>
    <w:rsid w:val="00CE38F6"/>
    <w:rsid w:val="00CE54B6"/>
    <w:rsid w:val="00CF03B7"/>
    <w:rsid w:val="00CF25E6"/>
    <w:rsid w:val="00CF67D7"/>
    <w:rsid w:val="00D0359E"/>
    <w:rsid w:val="00D03D50"/>
    <w:rsid w:val="00D22B83"/>
    <w:rsid w:val="00D249E5"/>
    <w:rsid w:val="00D264ED"/>
    <w:rsid w:val="00D26D50"/>
    <w:rsid w:val="00D40DD3"/>
    <w:rsid w:val="00D42679"/>
    <w:rsid w:val="00D42FE3"/>
    <w:rsid w:val="00D43673"/>
    <w:rsid w:val="00D452D4"/>
    <w:rsid w:val="00D513DB"/>
    <w:rsid w:val="00D52802"/>
    <w:rsid w:val="00D5517B"/>
    <w:rsid w:val="00D57D11"/>
    <w:rsid w:val="00D6590B"/>
    <w:rsid w:val="00D821BF"/>
    <w:rsid w:val="00D86C32"/>
    <w:rsid w:val="00D928E3"/>
    <w:rsid w:val="00D93BAC"/>
    <w:rsid w:val="00DA0F22"/>
    <w:rsid w:val="00DA235B"/>
    <w:rsid w:val="00DA4D69"/>
    <w:rsid w:val="00DB44A9"/>
    <w:rsid w:val="00DB536D"/>
    <w:rsid w:val="00DB5D46"/>
    <w:rsid w:val="00DB6077"/>
    <w:rsid w:val="00DD31D0"/>
    <w:rsid w:val="00DD69DF"/>
    <w:rsid w:val="00DE0BEB"/>
    <w:rsid w:val="00DE432E"/>
    <w:rsid w:val="00E02C54"/>
    <w:rsid w:val="00E041AD"/>
    <w:rsid w:val="00E0563F"/>
    <w:rsid w:val="00E07A9D"/>
    <w:rsid w:val="00E101CF"/>
    <w:rsid w:val="00E11A90"/>
    <w:rsid w:val="00E24ADC"/>
    <w:rsid w:val="00E26AD1"/>
    <w:rsid w:val="00E332FE"/>
    <w:rsid w:val="00E43516"/>
    <w:rsid w:val="00E44203"/>
    <w:rsid w:val="00E6163D"/>
    <w:rsid w:val="00E64EAD"/>
    <w:rsid w:val="00E71121"/>
    <w:rsid w:val="00E77336"/>
    <w:rsid w:val="00E81EAF"/>
    <w:rsid w:val="00E8286C"/>
    <w:rsid w:val="00E8390C"/>
    <w:rsid w:val="00EB31A1"/>
    <w:rsid w:val="00EB5502"/>
    <w:rsid w:val="00EC04E6"/>
    <w:rsid w:val="00EC1475"/>
    <w:rsid w:val="00EC1721"/>
    <w:rsid w:val="00EC7097"/>
    <w:rsid w:val="00ED4A28"/>
    <w:rsid w:val="00ED5597"/>
    <w:rsid w:val="00ED6D7B"/>
    <w:rsid w:val="00EE5154"/>
    <w:rsid w:val="00EE5D06"/>
    <w:rsid w:val="00EF04CE"/>
    <w:rsid w:val="00F036D1"/>
    <w:rsid w:val="00F118FC"/>
    <w:rsid w:val="00F215D2"/>
    <w:rsid w:val="00F368DC"/>
    <w:rsid w:val="00F43A08"/>
    <w:rsid w:val="00F45599"/>
    <w:rsid w:val="00F60EF9"/>
    <w:rsid w:val="00F66F8A"/>
    <w:rsid w:val="00F673FC"/>
    <w:rsid w:val="00F678C6"/>
    <w:rsid w:val="00F80B5A"/>
    <w:rsid w:val="00F84A2D"/>
    <w:rsid w:val="00F90B04"/>
    <w:rsid w:val="00F9254F"/>
    <w:rsid w:val="00FA6ADA"/>
    <w:rsid w:val="00FA7854"/>
    <w:rsid w:val="00FB0E67"/>
    <w:rsid w:val="00FB604F"/>
    <w:rsid w:val="00FC226B"/>
    <w:rsid w:val="00FC322C"/>
    <w:rsid w:val="00FC67AC"/>
    <w:rsid w:val="00FD322B"/>
    <w:rsid w:val="00FD5406"/>
    <w:rsid w:val="00FE18B4"/>
    <w:rsid w:val="00FE2DF0"/>
    <w:rsid w:val="00FF2B3A"/>
    <w:rsid w:val="00FF2F2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6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41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uiPriority w:val="20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semiHidden/>
    <w:rsid w:val="002251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2">
    <w:name w:val="Char Char 字元 字元 字元 字元 字元 字元 字元"/>
    <w:basedOn w:val="a"/>
    <w:semiHidden/>
    <w:rsid w:val="00266F3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3">
    <w:name w:val="Char Char 字元 字元 字元 字元 字元 字元 字元"/>
    <w:basedOn w:val="a"/>
    <w:semiHidden/>
    <w:rsid w:val="003507C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D41F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f">
    <w:name w:val="f"/>
    <w:basedOn w:val="a0"/>
    <w:rsid w:val="00B30BC9"/>
  </w:style>
  <w:style w:type="paragraph" w:styleId="af">
    <w:name w:val="List Paragraph"/>
    <w:basedOn w:val="a"/>
    <w:uiPriority w:val="72"/>
    <w:rsid w:val="00CF67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41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uiPriority w:val="20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semiHidden/>
    <w:rsid w:val="002251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2">
    <w:name w:val="Char Char 字元 字元 字元 字元 字元 字元 字元"/>
    <w:basedOn w:val="a"/>
    <w:semiHidden/>
    <w:rsid w:val="00266F3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3">
    <w:name w:val="Char Char 字元 字元 字元 字元 字元 字元 字元"/>
    <w:basedOn w:val="a"/>
    <w:semiHidden/>
    <w:rsid w:val="003507C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D41F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f">
    <w:name w:val="f"/>
    <w:basedOn w:val="a0"/>
    <w:rsid w:val="00B30BC9"/>
  </w:style>
  <w:style w:type="paragraph" w:styleId="af">
    <w:name w:val="List Paragraph"/>
    <w:basedOn w:val="a"/>
    <w:uiPriority w:val="72"/>
    <w:rsid w:val="00CF67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2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0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5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4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55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4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07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2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76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28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67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33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37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985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7910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5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3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2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5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04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7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95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4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86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11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4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346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0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373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5359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885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850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5908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94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903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0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8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7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9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40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86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34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8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9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181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62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3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726067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093264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7310947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9766762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5155736">
                                                                                                              <w:marLeft w:val="993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2A65-C3ED-4D91-B837-1392B57C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0</DocSecurity>
  <Lines>16</Lines>
  <Paragraphs>4</Paragraphs>
  <ScaleCrop>false</ScaleCrop>
  <Company>CEPD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經建會主委劉憶如今天代表政府接受美國商會遞交「2011台灣白皮書」</dc:title>
  <dc:creator>CEPD</dc:creator>
  <cp:lastModifiedBy>ACER</cp:lastModifiedBy>
  <cp:revision>2</cp:revision>
  <cp:lastPrinted>2017-08-08T09:28:00Z</cp:lastPrinted>
  <dcterms:created xsi:type="dcterms:W3CDTF">2017-08-10T01:56:00Z</dcterms:created>
  <dcterms:modified xsi:type="dcterms:W3CDTF">2017-08-10T01:56:00Z</dcterms:modified>
</cp:coreProperties>
</file>