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D0" w:rsidRPr="00226552" w:rsidRDefault="009800D0" w:rsidP="009800D0">
      <w:pPr>
        <w:snapToGrid w:val="0"/>
        <w:spacing w:line="0" w:lineRule="atLeast"/>
        <w:rPr>
          <w:rFonts w:ascii="Times New Roman" w:eastAsia="標楷體" w:hAnsi="Times New Roman"/>
          <w:b/>
          <w:sz w:val="36"/>
          <w:szCs w:val="36"/>
        </w:rPr>
      </w:pPr>
      <w:r w:rsidRPr="00226552">
        <w:rPr>
          <w:rFonts w:ascii="Times New Roman" w:eastAsia="標楷體" w:hAnsi="Times New Roman"/>
          <w:noProof/>
        </w:rPr>
        <w:drawing>
          <wp:inline distT="0" distB="0" distL="0" distR="0">
            <wp:extent cx="1365250" cy="27305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D0" w:rsidRPr="00226552" w:rsidRDefault="009800D0" w:rsidP="009800D0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26552">
        <w:rPr>
          <w:rFonts w:ascii="Times New Roman" w:eastAsia="標楷體" w:hAnsi="Times New Roman"/>
          <w:b/>
          <w:sz w:val="36"/>
          <w:szCs w:val="36"/>
        </w:rPr>
        <w:t>國家發展委員會新聞稿</w:t>
      </w:r>
    </w:p>
    <w:p w:rsidR="009800D0" w:rsidRPr="00650D09" w:rsidRDefault="009800D0" w:rsidP="00361FD0">
      <w:pPr>
        <w:spacing w:line="280" w:lineRule="exact"/>
        <w:ind w:firstLineChars="2244" w:firstLine="5386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650D09">
        <w:rPr>
          <w:rFonts w:ascii="Times New Roman" w:eastAsia="標楷體" w:hAnsi="Times New Roman"/>
          <w:color w:val="000000" w:themeColor="text1"/>
          <w:szCs w:val="24"/>
        </w:rPr>
        <w:t>發布日期：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10</w:t>
      </w:r>
      <w:r w:rsidR="00483F3C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年</w:t>
      </w:r>
      <w:r w:rsidR="007D598A">
        <w:rPr>
          <w:rFonts w:ascii="Times New Roman" w:eastAsia="標楷體" w:hAnsi="Times New Roman"/>
          <w:color w:val="000000" w:themeColor="text1"/>
          <w:szCs w:val="24"/>
        </w:rPr>
        <w:t>10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月</w:t>
      </w:r>
      <w:r w:rsidR="00763979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483F3C"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日</w:t>
      </w:r>
    </w:p>
    <w:p w:rsidR="009800D0" w:rsidRPr="00650D09" w:rsidRDefault="009800D0" w:rsidP="00361FD0">
      <w:pPr>
        <w:spacing w:line="280" w:lineRule="exact"/>
        <w:ind w:firstLineChars="2244" w:firstLine="5386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650D09">
        <w:rPr>
          <w:rFonts w:ascii="Times New Roman" w:eastAsia="標楷體" w:hAnsi="Times New Roman"/>
          <w:color w:val="000000" w:themeColor="text1"/>
          <w:szCs w:val="24"/>
        </w:rPr>
        <w:t>聯絡人：</w:t>
      </w:r>
      <w:r w:rsidR="00483F3C">
        <w:rPr>
          <w:rFonts w:ascii="Times New Roman" w:eastAsia="標楷體" w:hAnsi="Times New Roman" w:hint="eastAsia"/>
          <w:color w:val="000000" w:themeColor="text1"/>
          <w:szCs w:val="24"/>
        </w:rPr>
        <w:t>林志憲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、</w:t>
      </w:r>
      <w:r w:rsidR="00763979">
        <w:rPr>
          <w:rFonts w:ascii="Times New Roman" w:eastAsia="標楷體" w:hAnsi="Times New Roman" w:hint="eastAsia"/>
          <w:color w:val="000000" w:themeColor="text1"/>
          <w:szCs w:val="24"/>
        </w:rPr>
        <w:t>吳家林</w:t>
      </w:r>
    </w:p>
    <w:p w:rsidR="009800D0" w:rsidRPr="00650D09" w:rsidRDefault="009800D0" w:rsidP="00361FD0">
      <w:pPr>
        <w:spacing w:line="280" w:lineRule="exact"/>
        <w:ind w:firstLineChars="2244" w:firstLine="5386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650D09">
        <w:rPr>
          <w:rFonts w:ascii="Times New Roman" w:eastAsia="標楷體" w:hAnsi="Times New Roman"/>
          <w:color w:val="000000" w:themeColor="text1"/>
          <w:szCs w:val="24"/>
        </w:rPr>
        <w:t>聯絡電話：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2316-5</w:t>
      </w:r>
      <w:r w:rsidR="00E94F4C">
        <w:rPr>
          <w:rFonts w:ascii="Times New Roman" w:eastAsia="標楷體" w:hAnsi="Times New Roman" w:hint="eastAsia"/>
          <w:color w:val="000000" w:themeColor="text1"/>
          <w:szCs w:val="24"/>
        </w:rPr>
        <w:t>9</w:t>
      </w:r>
      <w:r w:rsidR="00483F3C">
        <w:rPr>
          <w:rFonts w:ascii="Times New Roman" w:eastAsia="標楷體" w:hAnsi="Times New Roman" w:hint="eastAsia"/>
          <w:color w:val="000000" w:themeColor="text1"/>
          <w:szCs w:val="24"/>
        </w:rPr>
        <w:t>29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、</w:t>
      </w:r>
      <w:r w:rsidR="00E94F4C">
        <w:rPr>
          <w:rFonts w:ascii="Times New Roman" w:eastAsia="標楷體" w:hAnsi="Times New Roman" w:hint="eastAsia"/>
          <w:color w:val="000000" w:themeColor="text1"/>
          <w:szCs w:val="24"/>
        </w:rPr>
        <w:t>2316-5966</w:t>
      </w:r>
    </w:p>
    <w:p w:rsidR="007D598A" w:rsidRPr="00351561" w:rsidRDefault="00763979" w:rsidP="00FE090D">
      <w:pPr>
        <w:snapToGrid w:val="0"/>
        <w:spacing w:before="100" w:beforeAutospacing="1" w:afterLines="50" w:after="180" w:line="24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51561">
        <w:rPr>
          <w:rFonts w:ascii="Times New Roman" w:eastAsia="標楷體" w:hAnsi="Times New Roman" w:hint="eastAsia"/>
          <w:b/>
          <w:sz w:val="32"/>
          <w:szCs w:val="32"/>
        </w:rPr>
        <w:t>全球經商環境評比</w:t>
      </w:r>
      <w:r w:rsidR="00DA4923" w:rsidRPr="00351561">
        <w:rPr>
          <w:rFonts w:ascii="Times New Roman" w:eastAsia="標楷體" w:hAnsi="Times New Roman" w:hint="eastAsia"/>
          <w:b/>
          <w:sz w:val="32"/>
          <w:szCs w:val="32"/>
        </w:rPr>
        <w:t>，臺灣</w:t>
      </w:r>
      <w:r w:rsidR="00561359">
        <w:rPr>
          <w:rFonts w:ascii="Times New Roman" w:eastAsia="標楷體" w:hAnsi="Times New Roman" w:hint="eastAsia"/>
          <w:b/>
          <w:sz w:val="32"/>
          <w:szCs w:val="32"/>
        </w:rPr>
        <w:t>排名第</w:t>
      </w:r>
      <w:r w:rsidR="00561359">
        <w:rPr>
          <w:rFonts w:ascii="Times New Roman" w:eastAsia="標楷體" w:hAnsi="Times New Roman" w:hint="eastAsia"/>
          <w:b/>
          <w:sz w:val="32"/>
          <w:szCs w:val="32"/>
        </w:rPr>
        <w:t>11</w:t>
      </w:r>
    </w:p>
    <w:p w:rsidR="00AD68A9" w:rsidRDefault="00603786" w:rsidP="00FE090D">
      <w:pPr>
        <w:snapToGrid w:val="0"/>
        <w:spacing w:beforeLines="50" w:before="180" w:afterLines="50" w:after="180" w:line="500" w:lineRule="exact"/>
        <w:ind w:firstLineChars="221" w:firstLine="663"/>
        <w:jc w:val="both"/>
        <w:rPr>
          <w:rFonts w:ascii="Times New Roman" w:eastAsia="標楷體" w:hAnsi="標楷體"/>
          <w:color w:val="000000"/>
          <w:sz w:val="30"/>
          <w:szCs w:val="30"/>
        </w:rPr>
      </w:pPr>
      <w:r w:rsidRPr="00D630D2">
        <w:rPr>
          <w:rFonts w:ascii="Times New Roman" w:eastAsia="標楷體" w:hAnsi="標楷體"/>
          <w:color w:val="000000"/>
          <w:sz w:val="30"/>
          <w:szCs w:val="30"/>
        </w:rPr>
        <w:t>世界銀行於</w:t>
      </w:r>
      <w:r w:rsidR="00DA4923" w:rsidRPr="00D630D2">
        <w:rPr>
          <w:rFonts w:ascii="Times New Roman" w:eastAsia="標楷體" w:hAnsi="標楷體"/>
          <w:color w:val="000000"/>
          <w:sz w:val="30"/>
          <w:szCs w:val="30"/>
        </w:rPr>
        <w:t>今</w:t>
      </w:r>
      <w:r w:rsidR="00DA4923" w:rsidRPr="00D630D2">
        <w:rPr>
          <w:rFonts w:ascii="Times New Roman" w:eastAsia="標楷體" w:hAnsi="Times New Roman"/>
          <w:color w:val="000000"/>
          <w:sz w:val="30"/>
          <w:szCs w:val="30"/>
        </w:rPr>
        <w:t>(</w:t>
      </w:r>
      <w:r w:rsidR="00AF37EE" w:rsidRPr="00D630D2">
        <w:rPr>
          <w:rFonts w:ascii="Times New Roman" w:eastAsia="標楷體" w:hAnsi="Times New Roman"/>
          <w:color w:val="000000"/>
          <w:sz w:val="30"/>
          <w:szCs w:val="30"/>
        </w:rPr>
        <w:t>201</w:t>
      </w:r>
      <w:r w:rsidR="00325F78">
        <w:rPr>
          <w:rFonts w:ascii="Times New Roman" w:eastAsia="標楷體" w:hAnsi="Times New Roman" w:hint="eastAsia"/>
          <w:color w:val="000000"/>
          <w:sz w:val="30"/>
          <w:szCs w:val="30"/>
        </w:rPr>
        <w:t>6</w:t>
      </w:r>
      <w:r w:rsidR="00DA4923" w:rsidRPr="00D630D2">
        <w:rPr>
          <w:rFonts w:ascii="Times New Roman" w:eastAsia="標楷體" w:hAnsi="Times New Roman"/>
          <w:color w:val="000000"/>
          <w:sz w:val="30"/>
          <w:szCs w:val="30"/>
        </w:rPr>
        <w:t>)</w:t>
      </w:r>
      <w:r w:rsidR="00DA4923" w:rsidRPr="00D630D2">
        <w:rPr>
          <w:rFonts w:ascii="Times New Roman" w:eastAsia="標楷體" w:hAnsi="標楷體"/>
          <w:color w:val="000000"/>
          <w:sz w:val="30"/>
          <w:szCs w:val="30"/>
        </w:rPr>
        <w:t>年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10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月</w:t>
      </w:r>
      <w:r w:rsidR="006358AB" w:rsidRPr="00D630D2">
        <w:rPr>
          <w:rFonts w:ascii="Times New Roman" w:eastAsia="標楷體" w:hAnsi="Times New Roman"/>
          <w:color w:val="000000"/>
          <w:sz w:val="30"/>
          <w:szCs w:val="30"/>
        </w:rPr>
        <w:t>2</w:t>
      </w:r>
      <w:r w:rsidR="00325F78">
        <w:rPr>
          <w:rFonts w:ascii="Times New Roman" w:eastAsia="標楷體" w:hAnsi="Times New Roman" w:hint="eastAsia"/>
          <w:color w:val="000000"/>
          <w:sz w:val="30"/>
          <w:szCs w:val="30"/>
        </w:rPr>
        <w:t>6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日發布《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201</w:t>
      </w:r>
      <w:r w:rsidR="00325F78">
        <w:rPr>
          <w:rFonts w:ascii="Times New Roman" w:eastAsia="標楷體" w:hAnsi="Times New Roman" w:hint="eastAsia"/>
          <w:color w:val="000000"/>
          <w:sz w:val="30"/>
          <w:szCs w:val="30"/>
        </w:rPr>
        <w:t>7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經商環境報告》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(Doing Business 201</w:t>
      </w:r>
      <w:r w:rsidR="00325F78">
        <w:rPr>
          <w:rFonts w:ascii="Times New Roman" w:eastAsia="標楷體" w:hAnsi="Times New Roman" w:hint="eastAsia"/>
          <w:color w:val="000000"/>
          <w:sz w:val="30"/>
          <w:szCs w:val="30"/>
        </w:rPr>
        <w:t>7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)</w:t>
      </w:r>
      <w:r w:rsidR="00D8293A" w:rsidRPr="00D630D2">
        <w:rPr>
          <w:rFonts w:ascii="Times New Roman" w:eastAsia="標楷體" w:hAnsi="標楷體"/>
          <w:color w:val="000000"/>
          <w:sz w:val="30"/>
          <w:szCs w:val="30"/>
        </w:rPr>
        <w:t>，於</w:t>
      </w:r>
      <w:r w:rsidR="00561359">
        <w:rPr>
          <w:rFonts w:ascii="Times New Roman" w:eastAsia="標楷體" w:hAnsi="標楷體" w:hint="eastAsia"/>
          <w:color w:val="000000"/>
          <w:sz w:val="30"/>
          <w:szCs w:val="30"/>
        </w:rPr>
        <w:t>190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個經濟體中</w:t>
      </w:r>
      <w:r w:rsidR="00D8293A" w:rsidRPr="00D630D2">
        <w:rPr>
          <w:rFonts w:ascii="Times New Roman" w:eastAsia="標楷體" w:hAnsi="標楷體"/>
          <w:color w:val="000000"/>
          <w:sz w:val="30"/>
          <w:szCs w:val="30"/>
        </w:rPr>
        <w:t>，</w:t>
      </w:r>
      <w:r w:rsidR="003C4135" w:rsidRPr="00D630D2">
        <w:rPr>
          <w:rFonts w:ascii="Times New Roman" w:eastAsia="標楷體" w:hAnsi="標楷體"/>
          <w:color w:val="000000"/>
          <w:sz w:val="30"/>
          <w:szCs w:val="30"/>
        </w:rPr>
        <w:t>我國</w:t>
      </w:r>
      <w:r w:rsidR="00D8293A" w:rsidRPr="00D630D2">
        <w:rPr>
          <w:rFonts w:ascii="Times New Roman" w:eastAsia="標楷體" w:hAnsi="標楷體"/>
          <w:color w:val="000000"/>
          <w:sz w:val="30"/>
          <w:szCs w:val="30"/>
        </w:rPr>
        <w:t>經商便利度</w:t>
      </w:r>
      <w:r w:rsidR="00AD68A9" w:rsidRPr="00D630D2">
        <w:rPr>
          <w:rFonts w:ascii="Times New Roman" w:eastAsia="標楷體" w:hAnsi="Times New Roman"/>
          <w:color w:val="000000"/>
          <w:sz w:val="30"/>
          <w:szCs w:val="30"/>
        </w:rPr>
        <w:t xml:space="preserve">(Ease of Doing Business, </w:t>
      </w:r>
      <w:proofErr w:type="spellStart"/>
      <w:r w:rsidR="00AD68A9" w:rsidRPr="00D630D2">
        <w:rPr>
          <w:rFonts w:ascii="Times New Roman" w:eastAsia="標楷體" w:hAnsi="Times New Roman"/>
          <w:color w:val="000000"/>
          <w:sz w:val="30"/>
          <w:szCs w:val="30"/>
        </w:rPr>
        <w:t>EoDB</w:t>
      </w:r>
      <w:proofErr w:type="spellEnd"/>
      <w:r w:rsidR="00AD68A9" w:rsidRPr="00D630D2">
        <w:rPr>
          <w:rFonts w:ascii="Times New Roman" w:eastAsia="標楷體" w:hAnsi="Times New Roman"/>
          <w:color w:val="000000"/>
          <w:sz w:val="30"/>
          <w:szCs w:val="30"/>
        </w:rPr>
        <w:t>)</w:t>
      </w:r>
      <w:r w:rsidR="00AD68A9" w:rsidRPr="00D630D2">
        <w:rPr>
          <w:rFonts w:ascii="Times New Roman" w:eastAsia="標楷體" w:hAnsi="標楷體"/>
          <w:color w:val="000000"/>
          <w:sz w:val="30"/>
          <w:szCs w:val="30"/>
        </w:rPr>
        <w:t>全球</w:t>
      </w:r>
      <w:r w:rsidR="00D8293A" w:rsidRPr="00D630D2">
        <w:rPr>
          <w:rFonts w:ascii="Times New Roman" w:eastAsia="標楷體" w:hAnsi="標楷體"/>
          <w:color w:val="000000"/>
          <w:sz w:val="30"/>
          <w:szCs w:val="30"/>
        </w:rPr>
        <w:t>排名第</w:t>
      </w:r>
      <w:r w:rsidR="00AB1B6A" w:rsidRPr="00D630D2">
        <w:rPr>
          <w:rFonts w:ascii="Times New Roman" w:eastAsia="標楷體" w:hAnsi="Times New Roman"/>
          <w:color w:val="000000"/>
          <w:sz w:val="30"/>
          <w:szCs w:val="30"/>
        </w:rPr>
        <w:t>11</w:t>
      </w:r>
      <w:r w:rsidR="00261FEE" w:rsidRPr="00D630D2">
        <w:rPr>
          <w:rFonts w:ascii="Times New Roman" w:eastAsia="標楷體" w:hAnsi="標楷體"/>
          <w:color w:val="000000"/>
          <w:sz w:val="30"/>
          <w:szCs w:val="30"/>
        </w:rPr>
        <w:t>名</w:t>
      </w:r>
      <w:r w:rsidR="004E4D16" w:rsidRPr="00D630D2">
        <w:rPr>
          <w:rFonts w:ascii="Times New Roman" w:eastAsia="標楷體" w:hAnsi="標楷體"/>
          <w:color w:val="000000"/>
          <w:sz w:val="30"/>
          <w:szCs w:val="30"/>
        </w:rPr>
        <w:t>，</w:t>
      </w:r>
      <w:r w:rsidR="00561359">
        <w:rPr>
          <w:rFonts w:ascii="Times New Roman" w:eastAsia="標楷體" w:hAnsi="標楷體" w:hint="eastAsia"/>
          <w:color w:val="000000"/>
          <w:sz w:val="30"/>
          <w:szCs w:val="30"/>
        </w:rPr>
        <w:t>與去年排名相同</w:t>
      </w:r>
      <w:r w:rsidR="00E74FE4" w:rsidRPr="00D630D2">
        <w:rPr>
          <w:rFonts w:ascii="Times New Roman" w:eastAsia="標楷體" w:hAnsi="標楷體"/>
          <w:color w:val="000000"/>
          <w:sz w:val="30"/>
          <w:szCs w:val="30"/>
        </w:rPr>
        <w:t>。</w:t>
      </w:r>
    </w:p>
    <w:p w:rsidR="00967CA5" w:rsidRPr="00967CA5" w:rsidRDefault="00A91258" w:rsidP="004B4FF8">
      <w:pPr>
        <w:snapToGrid w:val="0"/>
        <w:spacing w:line="500" w:lineRule="exact"/>
        <w:ind w:firstLineChars="221" w:firstLine="663"/>
        <w:jc w:val="both"/>
        <w:rPr>
          <w:rFonts w:ascii="Times New Roman" w:eastAsia="標楷體" w:hAnsi="標楷體"/>
          <w:color w:val="000000"/>
          <w:sz w:val="30"/>
          <w:szCs w:val="30"/>
        </w:rPr>
      </w:pPr>
      <w:r>
        <w:rPr>
          <w:rFonts w:ascii="Times New Roman" w:eastAsia="標楷體" w:hAnsi="Times New Roman"/>
          <w:noProof/>
          <w:color w:val="000000"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4780C6B3" wp14:editId="3253AC1A">
            <wp:simplePos x="0" y="0"/>
            <wp:positionH relativeFrom="margin">
              <wp:posOffset>329565</wp:posOffset>
            </wp:positionH>
            <wp:positionV relativeFrom="margin">
              <wp:posOffset>2804160</wp:posOffset>
            </wp:positionV>
            <wp:extent cx="5207635" cy="2602865"/>
            <wp:effectExtent l="0" t="0" r="0" b="698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趨勢圖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CA5" w:rsidRPr="00967CA5">
        <w:rPr>
          <w:rFonts w:ascii="Times New Roman" w:eastAsia="標楷體" w:hAnsi="標楷體" w:hint="eastAsia"/>
          <w:color w:val="000000"/>
          <w:sz w:val="30"/>
          <w:szCs w:val="30"/>
        </w:rPr>
        <w:t>圖</w:t>
      </w:r>
      <w:r w:rsidR="00967CA5" w:rsidRPr="00967CA5">
        <w:rPr>
          <w:rFonts w:ascii="Times New Roman" w:eastAsia="標楷體" w:hAnsi="標楷體" w:hint="eastAsia"/>
          <w:color w:val="000000"/>
          <w:sz w:val="30"/>
          <w:szCs w:val="30"/>
        </w:rPr>
        <w:t>1</w:t>
      </w:r>
      <w:r w:rsidR="00967CA5" w:rsidRPr="00967CA5">
        <w:rPr>
          <w:rFonts w:ascii="Times New Roman" w:eastAsia="標楷體" w:hAnsi="標楷體" w:hint="eastAsia"/>
          <w:color w:val="000000"/>
          <w:sz w:val="30"/>
          <w:szCs w:val="30"/>
        </w:rPr>
        <w:t>、臺灣歷年於世界銀行《經商環境報告》排名變動</w:t>
      </w:r>
    </w:p>
    <w:p w:rsidR="00967CA5" w:rsidRPr="004B4FF8" w:rsidRDefault="00967CA5" w:rsidP="004B4FF8">
      <w:pPr>
        <w:snapToGrid w:val="0"/>
        <w:spacing w:afterLines="50" w:after="180" w:line="500" w:lineRule="exact"/>
        <w:ind w:leftChars="295" w:left="708"/>
        <w:jc w:val="both"/>
        <w:rPr>
          <w:rFonts w:ascii="Times New Roman" w:eastAsia="標楷體" w:hAnsi="標楷體"/>
          <w:color w:val="000000"/>
          <w:szCs w:val="24"/>
        </w:rPr>
      </w:pPr>
      <w:r w:rsidRPr="004B4FF8">
        <w:rPr>
          <w:rFonts w:ascii="Times New Roman" w:eastAsia="標楷體" w:hAnsi="標楷體" w:hint="eastAsia"/>
          <w:color w:val="000000"/>
          <w:szCs w:val="24"/>
        </w:rPr>
        <w:t>附註：世界銀行《經商環境報告》自</w:t>
      </w:r>
      <w:r w:rsidRPr="004B4FF8">
        <w:rPr>
          <w:rFonts w:ascii="Times New Roman" w:eastAsia="標楷體" w:hAnsi="標楷體" w:hint="eastAsia"/>
          <w:color w:val="000000"/>
          <w:szCs w:val="24"/>
        </w:rPr>
        <w:t>2005</w:t>
      </w:r>
      <w:r w:rsidRPr="004B4FF8">
        <w:rPr>
          <w:rFonts w:ascii="Times New Roman" w:eastAsia="標楷體" w:hAnsi="標楷體" w:hint="eastAsia"/>
          <w:color w:val="000000"/>
          <w:szCs w:val="24"/>
        </w:rPr>
        <w:t>年開始進行</w:t>
      </w:r>
      <w:proofErr w:type="spellStart"/>
      <w:r w:rsidRPr="004B4FF8">
        <w:rPr>
          <w:rFonts w:ascii="Times New Roman" w:eastAsia="標楷體" w:hAnsi="標楷體" w:hint="eastAsia"/>
          <w:color w:val="000000"/>
          <w:szCs w:val="24"/>
        </w:rPr>
        <w:t>EoDB</w:t>
      </w:r>
      <w:proofErr w:type="spellEnd"/>
      <w:r w:rsidRPr="004B4FF8">
        <w:rPr>
          <w:rFonts w:ascii="Times New Roman" w:eastAsia="標楷體" w:hAnsi="標楷體" w:hint="eastAsia"/>
          <w:color w:val="000000"/>
          <w:szCs w:val="24"/>
        </w:rPr>
        <w:t>全球排名。</w:t>
      </w:r>
    </w:p>
    <w:p w:rsidR="00AB1B6A" w:rsidRPr="00D630D2" w:rsidRDefault="00AD68A9" w:rsidP="00FE090D">
      <w:pPr>
        <w:snapToGrid w:val="0"/>
        <w:spacing w:beforeLines="50" w:before="180" w:afterLines="50" w:after="180" w:line="500" w:lineRule="exact"/>
        <w:ind w:firstLineChars="221" w:firstLine="663"/>
        <w:jc w:val="both"/>
        <w:rPr>
          <w:rFonts w:ascii="Times New Roman" w:eastAsia="標楷體" w:hAnsi="Times New Roman"/>
          <w:color w:val="000000"/>
          <w:sz w:val="30"/>
          <w:szCs w:val="30"/>
        </w:rPr>
      </w:pPr>
      <w:r w:rsidRPr="00D630D2">
        <w:rPr>
          <w:rFonts w:ascii="Times New Roman" w:eastAsia="標楷體" w:hAnsi="標楷體"/>
          <w:color w:val="000000"/>
          <w:sz w:val="30"/>
          <w:szCs w:val="30"/>
        </w:rPr>
        <w:t>今年</w:t>
      </w:r>
      <w:r w:rsidR="00AB1B6A" w:rsidRPr="00D630D2">
        <w:rPr>
          <w:rFonts w:ascii="Times New Roman" w:eastAsia="標楷體" w:hAnsi="標楷體"/>
          <w:color w:val="000000"/>
          <w:sz w:val="30"/>
          <w:szCs w:val="30"/>
        </w:rPr>
        <w:t>全球排名前</w:t>
      </w:r>
      <w:r w:rsidR="00AB1B6A" w:rsidRPr="00D630D2">
        <w:rPr>
          <w:rFonts w:ascii="Times New Roman" w:eastAsia="標楷體" w:hAnsi="Times New Roman"/>
          <w:color w:val="000000"/>
          <w:sz w:val="30"/>
          <w:szCs w:val="30"/>
        </w:rPr>
        <w:t>10</w:t>
      </w:r>
      <w:r w:rsidR="00AB1B6A" w:rsidRPr="00D630D2">
        <w:rPr>
          <w:rFonts w:ascii="Times New Roman" w:eastAsia="標楷體" w:hAnsi="標楷體"/>
          <w:color w:val="000000"/>
          <w:sz w:val="30"/>
          <w:szCs w:val="30"/>
        </w:rPr>
        <w:t>名經濟體分別為：</w:t>
      </w:r>
      <w:r w:rsidR="005633EA" w:rsidRPr="00D630D2">
        <w:rPr>
          <w:rFonts w:ascii="Times New Roman" w:eastAsia="標楷體" w:hAnsi="標楷體"/>
          <w:color w:val="000000"/>
          <w:sz w:val="30"/>
          <w:szCs w:val="30"/>
        </w:rPr>
        <w:t>紐西蘭</w:t>
      </w:r>
      <w:r w:rsidR="00AB1B6A" w:rsidRPr="00D630D2">
        <w:rPr>
          <w:rFonts w:ascii="Times New Roman" w:eastAsia="標楷體" w:hAnsi="Times New Roman"/>
          <w:color w:val="000000"/>
          <w:sz w:val="30"/>
          <w:szCs w:val="30"/>
        </w:rPr>
        <w:t>(1)</w:t>
      </w:r>
      <w:r w:rsidR="00AB1B6A" w:rsidRPr="00D630D2">
        <w:rPr>
          <w:rFonts w:ascii="Times New Roman" w:eastAsia="標楷體" w:hAnsi="標楷體"/>
          <w:color w:val="000000"/>
          <w:sz w:val="30"/>
          <w:szCs w:val="30"/>
        </w:rPr>
        <w:t>、</w:t>
      </w:r>
      <w:r w:rsidR="005633EA" w:rsidRPr="00D630D2">
        <w:rPr>
          <w:rFonts w:ascii="Times New Roman" w:eastAsia="標楷體" w:hAnsi="標楷體"/>
          <w:color w:val="000000"/>
          <w:sz w:val="30"/>
          <w:szCs w:val="30"/>
        </w:rPr>
        <w:t>新加坡</w:t>
      </w:r>
      <w:r w:rsidR="00AB1B6A" w:rsidRPr="00D630D2">
        <w:rPr>
          <w:rFonts w:ascii="Times New Roman" w:eastAsia="標楷體" w:hAnsi="Times New Roman"/>
          <w:color w:val="000000"/>
          <w:sz w:val="30"/>
          <w:szCs w:val="30"/>
        </w:rPr>
        <w:t>(2)</w:t>
      </w:r>
      <w:r w:rsidR="00AB1B6A" w:rsidRPr="00D630D2">
        <w:rPr>
          <w:rFonts w:ascii="Times New Roman" w:eastAsia="標楷體" w:hAnsi="標楷體"/>
          <w:color w:val="000000"/>
          <w:sz w:val="30"/>
          <w:szCs w:val="30"/>
        </w:rPr>
        <w:t>、丹麥</w:t>
      </w:r>
      <w:r w:rsidR="00AB1B6A" w:rsidRPr="00D630D2">
        <w:rPr>
          <w:rFonts w:ascii="Times New Roman" w:eastAsia="標楷體" w:hAnsi="Times New Roman"/>
          <w:color w:val="000000"/>
          <w:sz w:val="30"/>
          <w:szCs w:val="30"/>
        </w:rPr>
        <w:t>(3)</w:t>
      </w:r>
      <w:r w:rsidR="00AB1B6A" w:rsidRPr="00D630D2">
        <w:rPr>
          <w:rFonts w:ascii="Times New Roman" w:eastAsia="標楷體" w:hAnsi="標楷體"/>
          <w:color w:val="000000"/>
          <w:sz w:val="30"/>
          <w:szCs w:val="30"/>
        </w:rPr>
        <w:t>、</w:t>
      </w:r>
      <w:r w:rsidR="005633EA" w:rsidRPr="00D630D2">
        <w:rPr>
          <w:rFonts w:ascii="Times New Roman" w:eastAsia="標楷體" w:hAnsi="標楷體"/>
          <w:color w:val="000000"/>
          <w:sz w:val="30"/>
          <w:szCs w:val="30"/>
        </w:rPr>
        <w:t>香港</w:t>
      </w:r>
      <w:r w:rsidR="005633EA" w:rsidRPr="00D630D2">
        <w:rPr>
          <w:rFonts w:ascii="Times New Roman" w:eastAsia="標楷體" w:hAnsi="Times New Roman"/>
          <w:color w:val="000000"/>
          <w:sz w:val="30"/>
          <w:szCs w:val="30"/>
        </w:rPr>
        <w:t xml:space="preserve"> </w:t>
      </w:r>
      <w:r w:rsidR="00AB1B6A" w:rsidRPr="00D630D2">
        <w:rPr>
          <w:rFonts w:ascii="Times New Roman" w:eastAsia="標楷體" w:hAnsi="Times New Roman"/>
          <w:color w:val="000000"/>
          <w:sz w:val="30"/>
          <w:szCs w:val="30"/>
        </w:rPr>
        <w:t>(4)</w:t>
      </w:r>
      <w:r w:rsidR="00AB1B6A" w:rsidRPr="00D630D2">
        <w:rPr>
          <w:rFonts w:ascii="Times New Roman" w:eastAsia="標楷體" w:hAnsi="標楷體"/>
          <w:color w:val="000000"/>
          <w:sz w:val="30"/>
          <w:szCs w:val="30"/>
        </w:rPr>
        <w:t>、</w:t>
      </w:r>
      <w:r w:rsidR="005633EA" w:rsidRPr="00D630D2">
        <w:rPr>
          <w:rFonts w:ascii="Times New Roman" w:eastAsia="標楷體" w:hAnsi="標楷體"/>
          <w:color w:val="000000"/>
          <w:sz w:val="30"/>
          <w:szCs w:val="30"/>
        </w:rPr>
        <w:t>韓國</w:t>
      </w:r>
      <w:r w:rsidR="00AB1B6A" w:rsidRPr="00D630D2">
        <w:rPr>
          <w:rFonts w:ascii="Times New Roman" w:eastAsia="標楷體" w:hAnsi="Times New Roman"/>
          <w:color w:val="000000"/>
          <w:sz w:val="30"/>
          <w:szCs w:val="30"/>
        </w:rPr>
        <w:t>(5)</w:t>
      </w:r>
      <w:r w:rsidR="00AB1B6A" w:rsidRPr="00D630D2">
        <w:rPr>
          <w:rFonts w:ascii="Times New Roman" w:eastAsia="標楷體" w:hAnsi="標楷體"/>
          <w:color w:val="000000"/>
          <w:sz w:val="30"/>
          <w:szCs w:val="30"/>
        </w:rPr>
        <w:t>、</w:t>
      </w:r>
      <w:r w:rsidR="005633EA" w:rsidRPr="00D630D2">
        <w:rPr>
          <w:rFonts w:ascii="Times New Roman" w:eastAsia="標楷體" w:hAnsi="標楷體"/>
          <w:color w:val="000000"/>
          <w:sz w:val="30"/>
          <w:szCs w:val="30"/>
        </w:rPr>
        <w:t>挪威</w:t>
      </w:r>
      <w:r w:rsidR="005633EA" w:rsidRPr="00D630D2">
        <w:rPr>
          <w:rFonts w:ascii="Times New Roman" w:eastAsia="標楷體" w:hAnsi="Times New Roman"/>
          <w:color w:val="000000"/>
          <w:sz w:val="30"/>
          <w:szCs w:val="30"/>
        </w:rPr>
        <w:t xml:space="preserve"> </w:t>
      </w:r>
      <w:r w:rsidR="00AB1B6A" w:rsidRPr="00D630D2">
        <w:rPr>
          <w:rFonts w:ascii="Times New Roman" w:eastAsia="標楷體" w:hAnsi="Times New Roman"/>
          <w:color w:val="000000"/>
          <w:sz w:val="30"/>
          <w:szCs w:val="30"/>
        </w:rPr>
        <w:t>(6)</w:t>
      </w:r>
      <w:r w:rsidR="00AB1B6A" w:rsidRPr="00D630D2">
        <w:rPr>
          <w:rFonts w:ascii="Times New Roman" w:eastAsia="標楷體" w:hAnsi="標楷體"/>
          <w:color w:val="000000"/>
          <w:sz w:val="30"/>
          <w:szCs w:val="30"/>
        </w:rPr>
        <w:t>、</w:t>
      </w:r>
      <w:r w:rsidR="005633EA" w:rsidRPr="00D630D2">
        <w:rPr>
          <w:rFonts w:ascii="Times New Roman" w:eastAsia="標楷體" w:hAnsi="標楷體"/>
          <w:color w:val="000000"/>
          <w:sz w:val="30"/>
          <w:szCs w:val="30"/>
        </w:rPr>
        <w:t>英國</w:t>
      </w:r>
      <w:r w:rsidR="005633EA" w:rsidRPr="00D630D2">
        <w:rPr>
          <w:rFonts w:ascii="Times New Roman" w:eastAsia="標楷體" w:hAnsi="Times New Roman"/>
          <w:color w:val="000000"/>
          <w:sz w:val="30"/>
          <w:szCs w:val="30"/>
        </w:rPr>
        <w:t xml:space="preserve"> </w:t>
      </w:r>
      <w:r w:rsidR="00AB1B6A" w:rsidRPr="00D630D2">
        <w:rPr>
          <w:rFonts w:ascii="Times New Roman" w:eastAsia="標楷體" w:hAnsi="Times New Roman"/>
          <w:color w:val="000000"/>
          <w:sz w:val="30"/>
          <w:szCs w:val="30"/>
        </w:rPr>
        <w:t>(7)</w:t>
      </w:r>
      <w:r w:rsidR="00E74FE4" w:rsidRPr="00D630D2">
        <w:rPr>
          <w:rFonts w:ascii="Times New Roman" w:eastAsia="標楷體" w:hAnsi="標楷體"/>
          <w:color w:val="000000"/>
          <w:sz w:val="30"/>
          <w:szCs w:val="30"/>
        </w:rPr>
        <w:t>、</w:t>
      </w:r>
      <w:r w:rsidR="005633EA" w:rsidRPr="00D630D2">
        <w:rPr>
          <w:rFonts w:ascii="Times New Roman" w:eastAsia="標楷體" w:hAnsi="標楷體"/>
          <w:color w:val="000000"/>
          <w:sz w:val="30"/>
          <w:szCs w:val="30"/>
        </w:rPr>
        <w:t>美國</w:t>
      </w:r>
      <w:r w:rsidR="005633EA" w:rsidRPr="00D630D2">
        <w:rPr>
          <w:rFonts w:ascii="Times New Roman" w:eastAsia="標楷體" w:hAnsi="Times New Roman"/>
          <w:color w:val="000000"/>
          <w:sz w:val="30"/>
          <w:szCs w:val="30"/>
        </w:rPr>
        <w:t xml:space="preserve"> 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(8)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、</w:t>
      </w:r>
      <w:r w:rsidR="005633EA" w:rsidRPr="00D630D2">
        <w:rPr>
          <w:rFonts w:ascii="Times New Roman" w:eastAsia="標楷體" w:hAnsi="標楷體"/>
          <w:color w:val="000000"/>
          <w:sz w:val="30"/>
          <w:szCs w:val="30"/>
        </w:rPr>
        <w:t>瑞典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(9)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、</w:t>
      </w:r>
      <w:r w:rsidR="005633EA">
        <w:rPr>
          <w:rFonts w:ascii="Times New Roman" w:eastAsia="標楷體" w:hAnsi="標楷體" w:hint="eastAsia"/>
          <w:color w:val="000000"/>
          <w:sz w:val="30"/>
          <w:szCs w:val="30"/>
        </w:rPr>
        <w:t>馬其頓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(10)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。我國排名第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11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名，優於澳洲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(</w:t>
      </w:r>
      <w:r w:rsidR="005633EA">
        <w:rPr>
          <w:rFonts w:ascii="Times New Roman" w:eastAsia="標楷體" w:hAnsi="Times New Roman" w:hint="eastAsia"/>
          <w:color w:val="000000"/>
          <w:sz w:val="30"/>
          <w:szCs w:val="30"/>
        </w:rPr>
        <w:t>15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)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、</w:t>
      </w:r>
      <w:r w:rsidR="005633EA" w:rsidRPr="00D630D2">
        <w:rPr>
          <w:rFonts w:ascii="Times New Roman" w:eastAsia="標楷體" w:hAnsi="標楷體"/>
          <w:color w:val="000000"/>
          <w:sz w:val="30"/>
          <w:szCs w:val="30"/>
        </w:rPr>
        <w:t>德國</w:t>
      </w:r>
      <w:r w:rsidR="005633EA" w:rsidRPr="00D630D2">
        <w:rPr>
          <w:rFonts w:ascii="Times New Roman" w:eastAsia="標楷體" w:hAnsi="Times New Roman"/>
          <w:color w:val="000000"/>
          <w:sz w:val="30"/>
          <w:szCs w:val="30"/>
        </w:rPr>
        <w:t>(1</w:t>
      </w:r>
      <w:r w:rsidR="005633EA">
        <w:rPr>
          <w:rFonts w:ascii="Times New Roman" w:eastAsia="標楷體" w:hAnsi="Times New Roman" w:hint="eastAsia"/>
          <w:color w:val="000000"/>
          <w:sz w:val="30"/>
          <w:szCs w:val="30"/>
        </w:rPr>
        <w:t>7</w:t>
      </w:r>
      <w:r w:rsidR="005633EA" w:rsidRPr="00D630D2">
        <w:rPr>
          <w:rFonts w:ascii="Times New Roman" w:eastAsia="標楷體" w:hAnsi="Times New Roman"/>
          <w:color w:val="000000"/>
          <w:sz w:val="30"/>
          <w:szCs w:val="30"/>
        </w:rPr>
        <w:t>)</w:t>
      </w:r>
      <w:r w:rsidR="005633EA" w:rsidRPr="00D630D2">
        <w:rPr>
          <w:rFonts w:ascii="Times New Roman" w:eastAsia="標楷體" w:hAnsi="標楷體"/>
          <w:color w:val="000000"/>
          <w:sz w:val="30"/>
          <w:szCs w:val="30"/>
        </w:rPr>
        <w:t>、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加拿大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(</w:t>
      </w:r>
      <w:r w:rsidR="005633EA">
        <w:rPr>
          <w:rFonts w:ascii="Times New Roman" w:eastAsia="標楷體" w:hAnsi="Times New Roman" w:hint="eastAsia"/>
          <w:color w:val="000000"/>
          <w:sz w:val="30"/>
          <w:szCs w:val="30"/>
        </w:rPr>
        <w:t>22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)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、馬來西亞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(</w:t>
      </w:r>
      <w:r w:rsidR="005633EA">
        <w:rPr>
          <w:rFonts w:ascii="Times New Roman" w:eastAsia="標楷體" w:hAnsi="Times New Roman" w:hint="eastAsia"/>
          <w:color w:val="000000"/>
          <w:sz w:val="30"/>
          <w:szCs w:val="30"/>
        </w:rPr>
        <w:t>23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)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、法國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(</w:t>
      </w:r>
      <w:r w:rsidR="005633EA">
        <w:rPr>
          <w:rFonts w:ascii="Times New Roman" w:eastAsia="標楷體" w:hAnsi="Times New Roman" w:hint="eastAsia"/>
          <w:color w:val="000000"/>
          <w:sz w:val="30"/>
          <w:szCs w:val="30"/>
        </w:rPr>
        <w:t>29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)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、日本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(34)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及中國大陸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(</w:t>
      </w:r>
      <w:r w:rsidR="005633EA">
        <w:rPr>
          <w:rFonts w:ascii="Times New Roman" w:eastAsia="標楷體" w:hAnsi="Times New Roman" w:hint="eastAsia"/>
          <w:color w:val="000000"/>
          <w:sz w:val="30"/>
          <w:szCs w:val="30"/>
        </w:rPr>
        <w:t>78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)</w:t>
      </w:r>
      <w:r w:rsidR="005F0FD5">
        <w:rPr>
          <w:rFonts w:ascii="Times New Roman" w:eastAsia="標楷體" w:hAnsi="Times New Roman" w:hint="eastAsia"/>
          <w:color w:val="000000"/>
          <w:sz w:val="30"/>
          <w:szCs w:val="30"/>
        </w:rPr>
        <w:t>，</w:t>
      </w:r>
      <w:r w:rsidR="00D60FD3">
        <w:rPr>
          <w:rFonts w:ascii="Times New Roman" w:eastAsia="標楷體" w:hAnsi="標楷體" w:hint="eastAsia"/>
          <w:color w:val="000000"/>
          <w:sz w:val="30"/>
          <w:szCs w:val="30"/>
        </w:rPr>
        <w:t>其中，紐西蘭</w:t>
      </w:r>
      <w:r w:rsidR="00967CA5">
        <w:rPr>
          <w:rFonts w:ascii="Times New Roman" w:eastAsia="標楷體" w:hAnsi="標楷體" w:hint="eastAsia"/>
          <w:color w:val="000000"/>
          <w:sz w:val="30"/>
          <w:szCs w:val="30"/>
        </w:rPr>
        <w:t>擠下新加坡晉升第</w:t>
      </w:r>
      <w:r w:rsidR="00967CA5">
        <w:rPr>
          <w:rFonts w:ascii="Times New Roman" w:eastAsia="標楷體" w:hAnsi="標楷體" w:hint="eastAsia"/>
          <w:color w:val="000000"/>
          <w:sz w:val="30"/>
          <w:szCs w:val="30"/>
        </w:rPr>
        <w:t>1</w:t>
      </w:r>
      <w:r w:rsidR="00967CA5">
        <w:rPr>
          <w:rFonts w:ascii="Times New Roman" w:eastAsia="標楷體" w:hAnsi="標楷體" w:hint="eastAsia"/>
          <w:color w:val="000000"/>
          <w:sz w:val="30"/>
          <w:szCs w:val="30"/>
        </w:rPr>
        <w:t>名。</w:t>
      </w:r>
    </w:p>
    <w:p w:rsidR="00973356" w:rsidRPr="00973356" w:rsidRDefault="00973356" w:rsidP="00973356">
      <w:pPr>
        <w:snapToGrid w:val="0"/>
        <w:spacing w:beforeLines="50" w:before="180" w:afterLines="50" w:after="180" w:line="500" w:lineRule="exact"/>
        <w:ind w:firstLineChars="189" w:firstLine="567"/>
        <w:jc w:val="both"/>
        <w:rPr>
          <w:rFonts w:ascii="Times New Roman" w:eastAsia="標楷體" w:hAnsi="標楷體"/>
          <w:color w:val="000000"/>
          <w:sz w:val="30"/>
          <w:szCs w:val="30"/>
        </w:rPr>
      </w:pP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國發會表示，由近年</w:t>
      </w:r>
      <w:proofErr w:type="gramStart"/>
      <w:r w:rsidR="001E4DA0">
        <w:rPr>
          <w:rFonts w:ascii="Times New Roman" w:eastAsia="標楷體" w:hAnsi="標楷體" w:hint="eastAsia"/>
          <w:color w:val="000000"/>
          <w:sz w:val="30"/>
          <w:szCs w:val="30"/>
        </w:rPr>
        <w:t>世</w:t>
      </w:r>
      <w:proofErr w:type="gramEnd"/>
      <w:r w:rsidR="001E4DA0">
        <w:rPr>
          <w:rFonts w:ascii="Times New Roman" w:eastAsia="標楷體" w:hAnsi="標楷體" w:hint="eastAsia"/>
          <w:color w:val="000000"/>
          <w:sz w:val="30"/>
          <w:szCs w:val="30"/>
        </w:rPr>
        <w:t>銀評比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的觀察，全球區域以東歐國家推動經商環境評比改革</w:t>
      </w:r>
      <w:r w:rsidR="004B4FF8">
        <w:rPr>
          <w:rFonts w:ascii="Times New Roman" w:eastAsia="標楷體" w:hAnsi="標楷體" w:hint="eastAsia"/>
          <w:color w:val="000000"/>
          <w:sz w:val="30"/>
          <w:szCs w:val="30"/>
        </w:rPr>
        <w:t>表現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最為積極。其中，馬其頓由前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(2014)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年第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30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名推進至今年第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10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名，愛沙尼亞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(12)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及拉脫維亞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(14)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緊追臺灣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(11)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之後，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lastRenderedPageBreak/>
        <w:t>而喬治亞今年進步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8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名推進至第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16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名。此顯示，東歐國家積極改革經商法制與國際接軌之強烈企圖心，值得我</w:t>
      </w:r>
      <w:r w:rsidR="005B7DD7">
        <w:rPr>
          <w:rFonts w:ascii="Times New Roman" w:eastAsia="標楷體" w:hAnsi="標楷體" w:hint="eastAsia"/>
          <w:color w:val="000000"/>
          <w:sz w:val="30"/>
          <w:szCs w:val="30"/>
        </w:rPr>
        <w:t>國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注意</w:t>
      </w:r>
      <w:r w:rsidR="00D4468A">
        <w:rPr>
          <w:rFonts w:ascii="Times New Roman" w:eastAsia="標楷體" w:hAnsi="標楷體" w:hint="eastAsia"/>
          <w:color w:val="000000"/>
          <w:sz w:val="30"/>
          <w:szCs w:val="30"/>
        </w:rPr>
        <w:t>與</w:t>
      </w:r>
      <w:r w:rsidRPr="00973356">
        <w:rPr>
          <w:rFonts w:ascii="Times New Roman" w:eastAsia="標楷體" w:hAnsi="標楷體" w:hint="eastAsia"/>
          <w:color w:val="000000"/>
          <w:sz w:val="30"/>
          <w:szCs w:val="30"/>
        </w:rPr>
        <w:t>學習。</w:t>
      </w:r>
    </w:p>
    <w:p w:rsidR="006560A8" w:rsidRPr="00D630D2" w:rsidRDefault="00D50537" w:rsidP="00FE090D">
      <w:pPr>
        <w:snapToGrid w:val="0"/>
        <w:spacing w:beforeLines="50" w:before="180" w:afterLines="50" w:after="180" w:line="500" w:lineRule="exact"/>
        <w:jc w:val="both"/>
        <w:rPr>
          <w:rFonts w:ascii="Times New Roman" w:eastAsia="標楷體" w:hAnsi="Times New Roman"/>
          <w:b/>
          <w:color w:val="000000"/>
          <w:sz w:val="30"/>
          <w:szCs w:val="30"/>
        </w:rPr>
      </w:pPr>
      <w:r w:rsidRPr="00D630D2">
        <w:rPr>
          <w:rFonts w:ascii="Times New Roman" w:eastAsia="標楷體" w:hAnsi="標楷體"/>
          <w:b/>
          <w:color w:val="000000"/>
          <w:sz w:val="30"/>
          <w:szCs w:val="30"/>
        </w:rPr>
        <w:t>一</w:t>
      </w:r>
      <w:r w:rsidR="006560A8" w:rsidRPr="00D630D2">
        <w:rPr>
          <w:rFonts w:ascii="Times New Roman" w:eastAsia="標楷體" w:hAnsi="標楷體"/>
          <w:b/>
          <w:color w:val="000000"/>
          <w:sz w:val="30"/>
          <w:szCs w:val="30"/>
        </w:rPr>
        <w:t>、我國</w:t>
      </w:r>
      <w:r w:rsidR="00EE55D3" w:rsidRPr="00D630D2">
        <w:rPr>
          <w:rFonts w:ascii="Times New Roman" w:eastAsia="標楷體" w:hAnsi="標楷體"/>
          <w:b/>
          <w:color w:val="000000"/>
          <w:sz w:val="30"/>
          <w:szCs w:val="30"/>
        </w:rPr>
        <w:t>今年</w:t>
      </w:r>
      <w:r w:rsidR="006560A8" w:rsidRPr="00D630D2">
        <w:rPr>
          <w:rFonts w:ascii="Times New Roman" w:eastAsia="標楷體" w:hAnsi="標楷體"/>
          <w:b/>
          <w:color w:val="000000"/>
          <w:sz w:val="30"/>
          <w:szCs w:val="30"/>
        </w:rPr>
        <w:t>經商環境評比簡析</w:t>
      </w:r>
    </w:p>
    <w:p w:rsidR="00EE0DB3" w:rsidRPr="00D630D2" w:rsidRDefault="00FC17C7" w:rsidP="00FE090D">
      <w:pPr>
        <w:snapToGrid w:val="0"/>
        <w:spacing w:beforeLines="50" w:before="180" w:afterLines="50" w:after="180" w:line="500" w:lineRule="exact"/>
        <w:ind w:firstLineChars="177" w:firstLine="531"/>
        <w:jc w:val="both"/>
        <w:rPr>
          <w:rFonts w:ascii="Times New Roman" w:eastAsia="標楷體" w:hAnsi="Times New Roman"/>
          <w:color w:val="000000"/>
          <w:sz w:val="30"/>
          <w:szCs w:val="30"/>
        </w:rPr>
      </w:pPr>
      <w:r w:rsidRPr="00D630D2">
        <w:rPr>
          <w:rFonts w:ascii="Times New Roman" w:eastAsia="標楷體" w:hAnsi="標楷體"/>
          <w:color w:val="000000"/>
          <w:sz w:val="30"/>
          <w:szCs w:val="30"/>
        </w:rPr>
        <w:t>今年世界銀行公布《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20</w:t>
      </w:r>
      <w:r w:rsidR="00CA19D2">
        <w:rPr>
          <w:rFonts w:ascii="Times New Roman" w:eastAsia="標楷體" w:hAnsi="Times New Roman" w:hint="eastAsia"/>
          <w:color w:val="000000"/>
          <w:sz w:val="30"/>
          <w:szCs w:val="30"/>
        </w:rPr>
        <w:t>17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經商環境報告》，我國</w:t>
      </w:r>
      <w:r w:rsidRPr="00D630D2">
        <w:rPr>
          <w:rFonts w:ascii="Times New Roman" w:eastAsia="標楷體" w:hAnsi="Times New Roman"/>
          <w:color w:val="000000"/>
          <w:sz w:val="30"/>
          <w:szCs w:val="30"/>
        </w:rPr>
        <w:t>10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項評比指標排名，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依序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為：</w:t>
      </w:r>
      <w:r w:rsidR="00B702E1">
        <w:rPr>
          <w:rFonts w:ascii="Times New Roman" w:eastAsia="標楷體" w:hAnsi="標楷體" w:hint="eastAsia"/>
          <w:color w:val="000000"/>
          <w:sz w:val="30"/>
          <w:szCs w:val="30"/>
        </w:rPr>
        <w:t>「</w:t>
      </w:r>
      <w:r w:rsidR="00B702E1" w:rsidRPr="00D630D2">
        <w:rPr>
          <w:rFonts w:ascii="Times New Roman" w:eastAsia="標楷體" w:hAnsi="標楷體"/>
          <w:color w:val="000000"/>
          <w:sz w:val="30"/>
          <w:szCs w:val="30"/>
        </w:rPr>
        <w:t>電力取得</w:t>
      </w:r>
      <w:r w:rsidR="00B702E1">
        <w:rPr>
          <w:rFonts w:ascii="Times New Roman" w:eastAsia="標楷體" w:hAnsi="標楷體" w:hint="eastAsia"/>
          <w:color w:val="000000"/>
          <w:sz w:val="30"/>
          <w:szCs w:val="30"/>
        </w:rPr>
        <w:t>」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(</w:t>
      </w:r>
      <w:r w:rsidR="00B702E1">
        <w:rPr>
          <w:rFonts w:ascii="Times New Roman" w:eastAsia="標楷體" w:hAnsi="標楷體" w:hint="eastAsia"/>
          <w:color w:val="000000"/>
          <w:sz w:val="30"/>
          <w:szCs w:val="30"/>
        </w:rPr>
        <w:t>2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)</w:t>
      </w:r>
      <w:r w:rsidR="001F78A1" w:rsidRPr="00D630D2">
        <w:rPr>
          <w:rFonts w:ascii="Times New Roman" w:eastAsia="標楷體" w:hAnsi="標楷體"/>
          <w:color w:val="000000"/>
          <w:sz w:val="30"/>
          <w:szCs w:val="30"/>
        </w:rPr>
        <w:t>、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「</w:t>
      </w:r>
      <w:r w:rsidR="001F78A1" w:rsidRPr="00D630D2">
        <w:rPr>
          <w:rFonts w:ascii="Times New Roman" w:eastAsia="標楷體" w:hAnsi="標楷體"/>
          <w:color w:val="000000"/>
          <w:sz w:val="30"/>
          <w:szCs w:val="30"/>
        </w:rPr>
        <w:t>申請建築許可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」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(3)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、「</w:t>
      </w:r>
      <w:r w:rsidR="001F78A1" w:rsidRPr="00D630D2">
        <w:rPr>
          <w:rFonts w:ascii="Times New Roman" w:eastAsia="標楷體" w:hAnsi="標楷體"/>
          <w:color w:val="000000"/>
          <w:sz w:val="30"/>
          <w:szCs w:val="30"/>
        </w:rPr>
        <w:t>執行契約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」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(</w:t>
      </w:r>
      <w:r w:rsidR="001F78A1">
        <w:rPr>
          <w:rFonts w:ascii="Times New Roman" w:eastAsia="標楷體" w:hAnsi="Times New Roman" w:hint="eastAsia"/>
          <w:color w:val="000000"/>
          <w:sz w:val="30"/>
          <w:szCs w:val="30"/>
        </w:rPr>
        <w:t>14)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「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財產登記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」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(</w:t>
      </w:r>
      <w:r w:rsidR="00967CA5">
        <w:rPr>
          <w:rFonts w:ascii="Times New Roman" w:eastAsia="標楷體" w:hAnsi="Times New Roman" w:hint="eastAsia"/>
          <w:color w:val="000000"/>
          <w:sz w:val="30"/>
          <w:szCs w:val="30"/>
        </w:rPr>
        <w:t>17</w:t>
      </w:r>
      <w:r w:rsidR="001F78A1">
        <w:rPr>
          <w:rFonts w:ascii="Times New Roman" w:eastAsia="標楷體" w:hAnsi="Times New Roman" w:hint="eastAsia"/>
          <w:color w:val="000000"/>
          <w:sz w:val="30"/>
          <w:szCs w:val="30"/>
        </w:rPr>
        <w:t>)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、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「</w:t>
      </w:r>
      <w:r w:rsidR="001F78A1" w:rsidRPr="00D630D2">
        <w:rPr>
          <w:rFonts w:ascii="Times New Roman" w:eastAsia="標楷體" w:hAnsi="標楷體"/>
          <w:color w:val="000000"/>
          <w:sz w:val="30"/>
          <w:szCs w:val="30"/>
        </w:rPr>
        <w:t>開辦企業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」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(19)</w:t>
      </w:r>
      <w:r w:rsidR="001F78A1" w:rsidRPr="00D630D2">
        <w:rPr>
          <w:rFonts w:ascii="Times New Roman" w:eastAsia="標楷體" w:hAnsi="標楷體"/>
          <w:color w:val="000000"/>
          <w:sz w:val="30"/>
          <w:szCs w:val="30"/>
        </w:rPr>
        <w:t>、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「</w:t>
      </w:r>
      <w:r w:rsidR="001F78A1" w:rsidRPr="00D630D2">
        <w:rPr>
          <w:rFonts w:ascii="Times New Roman" w:eastAsia="標楷體" w:hAnsi="標楷體"/>
          <w:color w:val="000000"/>
          <w:sz w:val="30"/>
          <w:szCs w:val="30"/>
        </w:rPr>
        <w:t>保護少數股東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」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(</w:t>
      </w:r>
      <w:r w:rsidR="001F78A1">
        <w:rPr>
          <w:rFonts w:ascii="Times New Roman" w:eastAsia="標楷體" w:hAnsi="Times New Roman" w:hint="eastAsia"/>
          <w:color w:val="000000"/>
          <w:sz w:val="30"/>
          <w:szCs w:val="30"/>
        </w:rPr>
        <w:t>22)</w:t>
      </w:r>
      <w:r w:rsidR="001F78A1" w:rsidRPr="00D630D2">
        <w:rPr>
          <w:rFonts w:ascii="Times New Roman" w:eastAsia="標楷體" w:hAnsi="標楷體"/>
          <w:color w:val="000000"/>
          <w:sz w:val="30"/>
          <w:szCs w:val="30"/>
        </w:rPr>
        <w:t>、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「</w:t>
      </w:r>
      <w:r w:rsidR="001F78A1" w:rsidRPr="00D630D2">
        <w:rPr>
          <w:rFonts w:ascii="Times New Roman" w:eastAsia="標楷體" w:hAnsi="標楷體"/>
          <w:color w:val="000000"/>
          <w:sz w:val="30"/>
          <w:szCs w:val="30"/>
        </w:rPr>
        <w:t>破產處理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」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(</w:t>
      </w:r>
      <w:r w:rsidR="001F78A1">
        <w:rPr>
          <w:rFonts w:ascii="Times New Roman" w:eastAsia="標楷體" w:hAnsi="Times New Roman" w:hint="eastAsia"/>
          <w:color w:val="000000"/>
          <w:sz w:val="30"/>
          <w:szCs w:val="30"/>
        </w:rPr>
        <w:t>22)</w:t>
      </w:r>
      <w:r w:rsidR="001F78A1">
        <w:rPr>
          <w:rFonts w:ascii="Times New Roman" w:eastAsia="標楷體" w:hAnsi="Times New Roman" w:hint="eastAsia"/>
          <w:color w:val="000000"/>
          <w:sz w:val="30"/>
          <w:szCs w:val="30"/>
        </w:rPr>
        <w:t>、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「</w:t>
      </w:r>
      <w:r w:rsidR="001F78A1" w:rsidRPr="00D630D2">
        <w:rPr>
          <w:rFonts w:ascii="Times New Roman" w:eastAsia="標楷體" w:hAnsi="標楷體"/>
          <w:color w:val="000000"/>
          <w:sz w:val="30"/>
          <w:szCs w:val="30"/>
        </w:rPr>
        <w:t>繳納稅款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」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(</w:t>
      </w:r>
      <w:r w:rsidR="001F78A1">
        <w:rPr>
          <w:rFonts w:ascii="Times New Roman" w:eastAsia="標楷體" w:hAnsi="Times New Roman" w:hint="eastAsia"/>
          <w:color w:val="000000"/>
          <w:sz w:val="30"/>
          <w:szCs w:val="30"/>
        </w:rPr>
        <w:t>30)</w:t>
      </w:r>
      <w:r w:rsidR="001F78A1">
        <w:rPr>
          <w:rFonts w:ascii="Times New Roman" w:eastAsia="標楷體" w:hAnsi="Times New Roman" w:hint="eastAsia"/>
          <w:color w:val="000000"/>
          <w:sz w:val="30"/>
          <w:szCs w:val="30"/>
        </w:rPr>
        <w:t>、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「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獲得信貸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」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(</w:t>
      </w:r>
      <w:r w:rsidR="00967CA5">
        <w:rPr>
          <w:rFonts w:ascii="Times New Roman" w:eastAsia="標楷體" w:hAnsi="Times New Roman" w:hint="eastAsia"/>
          <w:color w:val="000000"/>
          <w:sz w:val="30"/>
          <w:szCs w:val="30"/>
        </w:rPr>
        <w:t>62</w:t>
      </w:r>
      <w:r w:rsidR="001F78A1">
        <w:rPr>
          <w:rFonts w:ascii="Times New Roman" w:eastAsia="標楷體" w:hAnsi="Times New Roman" w:hint="eastAsia"/>
          <w:color w:val="000000"/>
          <w:sz w:val="30"/>
          <w:szCs w:val="30"/>
        </w:rPr>
        <w:t>)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、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「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跨境貿易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」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(</w:t>
      </w:r>
      <w:r w:rsidR="00967CA5">
        <w:rPr>
          <w:rFonts w:ascii="Times New Roman" w:eastAsia="標楷體" w:hAnsi="Times New Roman" w:hint="eastAsia"/>
          <w:color w:val="000000"/>
          <w:sz w:val="30"/>
          <w:szCs w:val="30"/>
        </w:rPr>
        <w:t>68</w:t>
      </w:r>
      <w:r w:rsidR="001F78A1">
        <w:rPr>
          <w:rFonts w:ascii="Times New Roman" w:eastAsia="標楷體" w:hAnsi="Times New Roman" w:hint="eastAsia"/>
          <w:color w:val="000000"/>
          <w:sz w:val="30"/>
          <w:szCs w:val="30"/>
        </w:rPr>
        <w:t>)</w:t>
      </w:r>
      <w:r w:rsidRPr="00D630D2">
        <w:rPr>
          <w:rFonts w:ascii="Times New Roman" w:eastAsia="標楷體" w:hAnsi="標楷體"/>
          <w:color w:val="000000"/>
          <w:sz w:val="30"/>
          <w:szCs w:val="30"/>
        </w:rPr>
        <w:t>。</w:t>
      </w:r>
      <w:r w:rsidR="002843AD">
        <w:rPr>
          <w:rFonts w:ascii="Times New Roman" w:eastAsia="標楷體" w:hAnsi="標楷體" w:hint="eastAsia"/>
          <w:color w:val="000000"/>
          <w:sz w:val="30"/>
          <w:szCs w:val="30"/>
        </w:rPr>
        <w:t>其中，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「申請建築許可」、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「執行契約」、</w:t>
      </w:r>
      <w:r w:rsidR="001F78A1" w:rsidRPr="001F78A1">
        <w:rPr>
          <w:rFonts w:ascii="Times New Roman" w:eastAsia="標楷體" w:hAnsi="標楷體" w:hint="eastAsia"/>
          <w:color w:val="000000"/>
          <w:sz w:val="30"/>
          <w:szCs w:val="30"/>
        </w:rPr>
        <w:t>「財產登記」、「保護少數股東」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、</w:t>
      </w:r>
      <w:r w:rsidR="001F78A1" w:rsidRPr="001F78A1">
        <w:rPr>
          <w:rFonts w:ascii="Times New Roman" w:eastAsia="標楷體" w:hAnsi="標楷體" w:hint="eastAsia"/>
          <w:color w:val="000000"/>
          <w:sz w:val="30"/>
          <w:szCs w:val="30"/>
        </w:rPr>
        <w:t>「繳納稅款」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等</w:t>
      </w:r>
      <w:r w:rsidR="002843AD">
        <w:rPr>
          <w:rFonts w:ascii="Times New Roman" w:eastAsia="標楷體" w:hAnsi="標楷體" w:hint="eastAsia"/>
          <w:color w:val="000000"/>
          <w:sz w:val="30"/>
          <w:szCs w:val="30"/>
        </w:rPr>
        <w:t>5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項指標，</w:t>
      </w:r>
      <w:r w:rsidR="002843AD">
        <w:rPr>
          <w:rFonts w:ascii="Times New Roman" w:eastAsia="標楷體" w:hAnsi="標楷體" w:hint="eastAsia"/>
          <w:color w:val="000000"/>
          <w:sz w:val="30"/>
          <w:szCs w:val="30"/>
        </w:rPr>
        <w:t>再</w:t>
      </w:r>
      <w:r w:rsidR="001F78A1">
        <w:rPr>
          <w:rFonts w:ascii="Times New Roman" w:eastAsia="標楷體" w:hAnsi="標楷體" w:hint="eastAsia"/>
          <w:color w:val="000000"/>
          <w:sz w:val="30"/>
          <w:szCs w:val="30"/>
        </w:rPr>
        <w:t>創我國歷年最佳全球排名。</w:t>
      </w:r>
    </w:p>
    <w:p w:rsidR="00D50537" w:rsidRPr="00D630D2" w:rsidRDefault="00A13ADB" w:rsidP="00FE090D">
      <w:pPr>
        <w:snapToGrid w:val="0"/>
        <w:spacing w:beforeLines="50" w:before="180" w:afterLines="50" w:after="180" w:line="500" w:lineRule="exact"/>
        <w:ind w:firstLineChars="177" w:firstLine="531"/>
        <w:jc w:val="both"/>
        <w:rPr>
          <w:rFonts w:ascii="Times New Roman" w:eastAsia="標楷體" w:hAnsi="Times New Roman"/>
          <w:color w:val="000000"/>
          <w:sz w:val="30"/>
          <w:szCs w:val="30"/>
        </w:rPr>
      </w:pPr>
      <w:r>
        <w:rPr>
          <w:rFonts w:ascii="Times New Roman" w:eastAsia="標楷體" w:hAnsi="標楷體" w:hint="eastAsia"/>
          <w:color w:val="000000"/>
          <w:sz w:val="30"/>
          <w:szCs w:val="30"/>
        </w:rPr>
        <w:t>國發會分析，</w:t>
      </w:r>
      <w:r w:rsidR="00EE0DB3" w:rsidRPr="00D630D2">
        <w:rPr>
          <w:rFonts w:ascii="Times New Roman" w:eastAsia="標楷體" w:hAnsi="標楷體"/>
          <w:color w:val="000000"/>
          <w:sz w:val="30"/>
          <w:szCs w:val="30"/>
        </w:rPr>
        <w:t>今年</w:t>
      </w:r>
      <w:r w:rsidR="00967CA5">
        <w:rPr>
          <w:rFonts w:ascii="Times New Roman" w:eastAsia="標楷體" w:hAnsi="標楷體" w:hint="eastAsia"/>
          <w:color w:val="000000"/>
          <w:sz w:val="30"/>
          <w:szCs w:val="30"/>
        </w:rPr>
        <w:t>經商環境</w:t>
      </w:r>
      <w:r w:rsidR="00EE0DB3" w:rsidRPr="00D630D2">
        <w:rPr>
          <w:rFonts w:ascii="Times New Roman" w:eastAsia="標楷體" w:hAnsi="標楷體"/>
          <w:color w:val="000000"/>
          <w:sz w:val="30"/>
          <w:szCs w:val="30"/>
        </w:rPr>
        <w:t>評比，</w:t>
      </w:r>
      <w:r w:rsidR="00967CA5">
        <w:rPr>
          <w:rFonts w:ascii="Times New Roman" w:eastAsia="標楷體" w:hAnsi="標楷體" w:hint="eastAsia"/>
          <w:color w:val="000000"/>
          <w:sz w:val="30"/>
          <w:szCs w:val="30"/>
        </w:rPr>
        <w:t>「繳納稅款」擴增「</w:t>
      </w:r>
      <w:r w:rsidR="00EF6F2C">
        <w:rPr>
          <w:rFonts w:ascii="Times New Roman" w:eastAsia="標楷體" w:hAnsi="標楷體" w:hint="eastAsia"/>
          <w:color w:val="000000"/>
          <w:sz w:val="30"/>
          <w:szCs w:val="30"/>
        </w:rPr>
        <w:t>申報</w:t>
      </w:r>
      <w:bookmarkStart w:id="0" w:name="_GoBack"/>
      <w:bookmarkEnd w:id="0"/>
      <w:r w:rsidR="00967CA5">
        <w:rPr>
          <w:rFonts w:ascii="Times New Roman" w:eastAsia="標楷體" w:hAnsi="標楷體" w:hint="eastAsia"/>
          <w:color w:val="000000"/>
          <w:sz w:val="30"/>
          <w:szCs w:val="30"/>
        </w:rPr>
        <w:t>後程序指數」</w:t>
      </w:r>
      <w:r w:rsidR="00967CA5">
        <w:rPr>
          <w:rFonts w:ascii="Times New Roman" w:eastAsia="標楷體" w:hAnsi="標楷體" w:hint="eastAsia"/>
          <w:color w:val="000000"/>
          <w:sz w:val="30"/>
          <w:szCs w:val="30"/>
        </w:rPr>
        <w:t>(</w:t>
      </w:r>
      <w:proofErr w:type="spellStart"/>
      <w:r w:rsidR="00E21516">
        <w:rPr>
          <w:rFonts w:ascii="Times New Roman" w:eastAsia="標楷體" w:hAnsi="標楷體"/>
          <w:color w:val="000000"/>
          <w:sz w:val="30"/>
          <w:szCs w:val="30"/>
        </w:rPr>
        <w:t>p</w:t>
      </w:r>
      <w:r w:rsidR="00967CA5">
        <w:rPr>
          <w:rFonts w:ascii="Times New Roman" w:eastAsia="標楷體" w:hAnsi="標楷體"/>
          <w:color w:val="000000"/>
          <w:sz w:val="30"/>
          <w:szCs w:val="30"/>
        </w:rPr>
        <w:t>ostfiling</w:t>
      </w:r>
      <w:proofErr w:type="spellEnd"/>
      <w:r w:rsidR="00967CA5">
        <w:rPr>
          <w:rFonts w:ascii="Times New Roman" w:eastAsia="標楷體" w:hAnsi="標楷體"/>
          <w:color w:val="000000"/>
          <w:sz w:val="30"/>
          <w:szCs w:val="30"/>
        </w:rPr>
        <w:t xml:space="preserve"> </w:t>
      </w:r>
      <w:r w:rsidR="004F086E">
        <w:rPr>
          <w:rFonts w:ascii="Times New Roman" w:eastAsia="標楷體" w:hAnsi="標楷體"/>
          <w:color w:val="000000"/>
          <w:sz w:val="30"/>
          <w:szCs w:val="30"/>
        </w:rPr>
        <w:t>index</w:t>
      </w:r>
      <w:r w:rsidR="00967CA5">
        <w:rPr>
          <w:rFonts w:ascii="Times New Roman" w:eastAsia="標楷體" w:hAnsi="標楷體" w:hint="eastAsia"/>
          <w:color w:val="000000"/>
          <w:sz w:val="30"/>
          <w:szCs w:val="30"/>
        </w:rPr>
        <w:t>)</w:t>
      </w:r>
      <w:r w:rsidR="00967CA5">
        <w:rPr>
          <w:rFonts w:ascii="Times New Roman" w:eastAsia="標楷體" w:hAnsi="標楷體" w:hint="eastAsia"/>
          <w:color w:val="000000"/>
          <w:sz w:val="30"/>
          <w:szCs w:val="30"/>
        </w:rPr>
        <w:t>調查</w:t>
      </w:r>
      <w:r w:rsidR="004F086E">
        <w:rPr>
          <w:rFonts w:ascii="Times New Roman" w:eastAsia="標楷體" w:hAnsi="標楷體" w:hint="eastAsia"/>
          <w:color w:val="000000"/>
          <w:sz w:val="30"/>
          <w:szCs w:val="30"/>
        </w:rPr>
        <w:t>，及首次增加「開辦企業」、「財產登記」及「執行契約」</w:t>
      </w:r>
      <w:r w:rsidR="004F086E">
        <w:rPr>
          <w:rFonts w:ascii="Times New Roman" w:eastAsia="標楷體" w:hAnsi="標楷體" w:hint="eastAsia"/>
          <w:color w:val="000000"/>
          <w:sz w:val="30"/>
          <w:szCs w:val="30"/>
        </w:rPr>
        <w:t>3</w:t>
      </w:r>
      <w:r w:rsidR="004F086E">
        <w:rPr>
          <w:rFonts w:ascii="Times New Roman" w:eastAsia="標楷體" w:hAnsi="標楷體" w:hint="eastAsia"/>
          <w:color w:val="000000"/>
          <w:sz w:val="30"/>
          <w:szCs w:val="30"/>
        </w:rPr>
        <w:t>項指標之性別差異調查。</w:t>
      </w:r>
      <w:r w:rsidR="004F086E" w:rsidRPr="004F086E">
        <w:rPr>
          <w:rFonts w:ascii="Times New Roman" w:eastAsia="標楷體" w:hAnsi="標楷體" w:hint="eastAsia"/>
          <w:color w:val="000000"/>
          <w:sz w:val="30"/>
          <w:szCs w:val="30"/>
        </w:rPr>
        <w:t>「</w:t>
      </w:r>
      <w:r w:rsidR="00E91897">
        <w:rPr>
          <w:rFonts w:ascii="Times New Roman" w:eastAsia="標楷體" w:hAnsi="標楷體" w:hint="eastAsia"/>
          <w:color w:val="000000"/>
          <w:sz w:val="30"/>
          <w:szCs w:val="30"/>
        </w:rPr>
        <w:t>申報</w:t>
      </w:r>
      <w:r w:rsidR="004F086E" w:rsidRPr="004F086E">
        <w:rPr>
          <w:rFonts w:ascii="Times New Roman" w:eastAsia="標楷體" w:hAnsi="標楷體" w:hint="eastAsia"/>
          <w:color w:val="000000"/>
          <w:sz w:val="30"/>
          <w:szCs w:val="30"/>
        </w:rPr>
        <w:t>後程序指數」</w:t>
      </w:r>
      <w:r w:rsidR="004F086E">
        <w:rPr>
          <w:rFonts w:ascii="Times New Roman" w:eastAsia="標楷體" w:hAnsi="標楷體" w:hint="eastAsia"/>
          <w:color w:val="000000"/>
          <w:sz w:val="30"/>
          <w:szCs w:val="30"/>
        </w:rPr>
        <w:t>係調查</w:t>
      </w:r>
      <w:r w:rsidR="004F086E" w:rsidRPr="004F086E">
        <w:rPr>
          <w:rFonts w:ascii="Times New Roman" w:eastAsia="標楷體" w:hAnsi="標楷體" w:hint="eastAsia"/>
          <w:color w:val="000000"/>
          <w:sz w:val="30"/>
          <w:szCs w:val="30"/>
        </w:rPr>
        <w:t>公司遵守</w:t>
      </w:r>
      <w:r w:rsidR="004F086E">
        <w:rPr>
          <w:rFonts w:ascii="Times New Roman" w:eastAsia="標楷體" w:hAnsi="標楷體" w:hint="eastAsia"/>
          <w:color w:val="000000"/>
          <w:sz w:val="30"/>
          <w:szCs w:val="30"/>
        </w:rPr>
        <w:t>報稅</w:t>
      </w:r>
      <w:r w:rsidR="004F086E" w:rsidRPr="004F086E">
        <w:rPr>
          <w:rFonts w:ascii="Times New Roman" w:eastAsia="標楷體" w:hAnsi="標楷體" w:hint="eastAsia"/>
          <w:color w:val="000000"/>
          <w:sz w:val="30"/>
          <w:szCs w:val="30"/>
        </w:rPr>
        <w:t>義務後的流程</w:t>
      </w:r>
      <w:r w:rsidR="004F086E">
        <w:rPr>
          <w:rFonts w:ascii="Times New Roman" w:eastAsia="標楷體" w:hAnsi="標楷體" w:hint="eastAsia"/>
          <w:color w:val="000000"/>
          <w:sz w:val="30"/>
          <w:szCs w:val="30"/>
        </w:rPr>
        <w:t>，</w:t>
      </w:r>
      <w:r w:rsidR="004F086E" w:rsidRPr="004F086E">
        <w:rPr>
          <w:rFonts w:ascii="Times New Roman" w:eastAsia="標楷體" w:hAnsi="標楷體" w:hint="eastAsia"/>
          <w:color w:val="000000"/>
          <w:sz w:val="30"/>
          <w:szCs w:val="30"/>
        </w:rPr>
        <w:t>包括退稅，稅務審計</w:t>
      </w:r>
      <w:r w:rsidR="00C76211">
        <w:rPr>
          <w:rFonts w:ascii="Times New Roman" w:eastAsia="標楷體" w:hAnsi="標楷體" w:hint="eastAsia"/>
          <w:color w:val="000000"/>
          <w:sz w:val="30"/>
          <w:szCs w:val="30"/>
        </w:rPr>
        <w:t>及行政救濟</w:t>
      </w:r>
      <w:r w:rsidR="004F086E">
        <w:rPr>
          <w:rFonts w:ascii="Times New Roman" w:eastAsia="標楷體" w:hAnsi="標楷體" w:hint="eastAsia"/>
          <w:color w:val="000000"/>
          <w:sz w:val="30"/>
          <w:szCs w:val="30"/>
        </w:rPr>
        <w:t>。而性別差異調查，係評比該國對於上揭</w:t>
      </w:r>
      <w:r w:rsidR="004F086E">
        <w:rPr>
          <w:rFonts w:ascii="Times New Roman" w:eastAsia="標楷體" w:hAnsi="標楷體" w:hint="eastAsia"/>
          <w:color w:val="000000"/>
          <w:sz w:val="30"/>
          <w:szCs w:val="30"/>
        </w:rPr>
        <w:t>3</w:t>
      </w:r>
      <w:r w:rsidR="004F086E">
        <w:rPr>
          <w:rFonts w:ascii="Times New Roman" w:eastAsia="標楷體" w:hAnsi="標楷體" w:hint="eastAsia"/>
          <w:color w:val="000000"/>
          <w:sz w:val="30"/>
          <w:szCs w:val="30"/>
        </w:rPr>
        <w:t>項指標之行政程序或法院審判，是否有因不同性別而為不同的處理或限制。</w:t>
      </w:r>
      <w:r w:rsidR="00CD1946">
        <w:rPr>
          <w:rFonts w:ascii="Times New Roman" w:eastAsia="標楷體" w:hAnsi="標楷體" w:hint="eastAsia"/>
          <w:color w:val="000000"/>
          <w:sz w:val="30"/>
          <w:szCs w:val="30"/>
        </w:rPr>
        <w:t>世界銀行認為，有些國家對於女性有歧視性待遇，致有不利女性創業、取得動產</w:t>
      </w:r>
      <w:r w:rsidR="00CD1946">
        <w:rPr>
          <w:rFonts w:ascii="Times New Roman" w:eastAsia="標楷體" w:hAnsi="標楷體" w:hint="eastAsia"/>
          <w:color w:val="000000"/>
          <w:sz w:val="30"/>
          <w:szCs w:val="30"/>
        </w:rPr>
        <w:t>(</w:t>
      </w:r>
      <w:r w:rsidR="00CD1946">
        <w:rPr>
          <w:rFonts w:ascii="Times New Roman" w:eastAsia="標楷體" w:hAnsi="標楷體" w:hint="eastAsia"/>
          <w:color w:val="000000"/>
          <w:sz w:val="30"/>
          <w:szCs w:val="30"/>
        </w:rPr>
        <w:t>融資</w:t>
      </w:r>
      <w:r w:rsidR="00CD1946">
        <w:rPr>
          <w:rFonts w:ascii="Times New Roman" w:eastAsia="標楷體" w:hAnsi="標楷體" w:hint="eastAsia"/>
          <w:color w:val="000000"/>
          <w:sz w:val="30"/>
          <w:szCs w:val="30"/>
        </w:rPr>
        <w:t>)</w:t>
      </w:r>
      <w:r w:rsidR="00CD1946">
        <w:rPr>
          <w:rFonts w:ascii="Times New Roman" w:eastAsia="標楷體" w:hAnsi="標楷體" w:hint="eastAsia"/>
          <w:color w:val="000000"/>
          <w:sz w:val="30"/>
          <w:szCs w:val="30"/>
        </w:rPr>
        <w:t>或法院不公平審判的問題。</w:t>
      </w:r>
    </w:p>
    <w:p w:rsidR="00C81C26" w:rsidRDefault="004F086E" w:rsidP="00FE090D">
      <w:pPr>
        <w:snapToGrid w:val="0"/>
        <w:spacing w:beforeLines="50" w:before="180" w:afterLines="50" w:after="180" w:line="500" w:lineRule="exact"/>
        <w:ind w:firstLineChars="177" w:firstLine="531"/>
        <w:jc w:val="both"/>
        <w:rPr>
          <w:rFonts w:ascii="Times New Roman" w:eastAsia="標楷體" w:hAnsi="標楷體"/>
          <w:color w:val="000000"/>
          <w:sz w:val="30"/>
          <w:szCs w:val="30"/>
        </w:rPr>
      </w:pPr>
      <w:r>
        <w:rPr>
          <w:rFonts w:ascii="Times New Roman" w:eastAsia="標楷體" w:hAnsi="標楷體" w:hint="eastAsia"/>
          <w:color w:val="000000"/>
          <w:sz w:val="30"/>
          <w:szCs w:val="30"/>
        </w:rPr>
        <w:t>相較去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(2015)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年世界銀行發布評比，</w:t>
      </w:r>
      <w:r w:rsidR="002843AD">
        <w:rPr>
          <w:rFonts w:ascii="Times New Roman" w:eastAsia="標楷體" w:hAnsi="標楷體" w:hint="eastAsia"/>
          <w:color w:val="000000"/>
          <w:sz w:val="30"/>
          <w:szCs w:val="30"/>
        </w:rPr>
        <w:t>除</w:t>
      </w:r>
      <w:r w:rsidR="002843AD" w:rsidRPr="002843AD">
        <w:rPr>
          <w:rFonts w:ascii="Times New Roman" w:eastAsia="標楷體" w:hAnsi="標楷體" w:hint="eastAsia"/>
          <w:color w:val="000000"/>
          <w:sz w:val="30"/>
          <w:szCs w:val="30"/>
        </w:rPr>
        <w:t>「電力取得」繼續維持全球第</w:t>
      </w:r>
      <w:r w:rsidR="002843AD" w:rsidRPr="002843AD">
        <w:rPr>
          <w:rFonts w:ascii="Times New Roman" w:eastAsia="標楷體" w:hAnsi="標楷體" w:hint="eastAsia"/>
          <w:color w:val="000000"/>
          <w:sz w:val="30"/>
          <w:szCs w:val="30"/>
        </w:rPr>
        <w:t>2</w:t>
      </w:r>
      <w:r w:rsidR="002843AD" w:rsidRPr="002843AD">
        <w:rPr>
          <w:rFonts w:ascii="Times New Roman" w:eastAsia="標楷體" w:hAnsi="標楷體" w:hint="eastAsia"/>
          <w:color w:val="000000"/>
          <w:sz w:val="30"/>
          <w:szCs w:val="30"/>
        </w:rPr>
        <w:t>名佳績外</w:t>
      </w:r>
      <w:r w:rsidR="002843AD">
        <w:rPr>
          <w:rFonts w:ascii="Times New Roman" w:eastAsia="標楷體" w:hAnsi="標楷體" w:hint="eastAsia"/>
          <w:color w:val="000000"/>
          <w:sz w:val="30"/>
          <w:szCs w:val="30"/>
        </w:rPr>
        <w:t>，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我國共有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6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項指標</w:t>
      </w:r>
      <w:r w:rsidR="002843AD">
        <w:rPr>
          <w:rFonts w:ascii="Times New Roman" w:eastAsia="標楷體" w:hAnsi="標楷體" w:hint="eastAsia"/>
          <w:color w:val="000000"/>
          <w:sz w:val="30"/>
          <w:szCs w:val="30"/>
        </w:rPr>
        <w:t>排名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進步</w:t>
      </w:r>
      <w:r w:rsidR="002843AD">
        <w:rPr>
          <w:rFonts w:ascii="Times New Roman" w:eastAsia="標楷體" w:hAnsi="標楷體" w:hint="eastAsia"/>
          <w:color w:val="000000"/>
          <w:sz w:val="30"/>
          <w:szCs w:val="30"/>
        </w:rPr>
        <w:t>，包括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：「繳納稅款」因</w:t>
      </w:r>
      <w:r w:rsidR="002843AD">
        <w:rPr>
          <w:rFonts w:ascii="Times New Roman" w:eastAsia="標楷體" w:hAnsi="標楷體" w:hint="eastAsia"/>
          <w:color w:val="000000"/>
          <w:sz w:val="30"/>
          <w:szCs w:val="30"/>
        </w:rPr>
        <w:t>新增</w:t>
      </w:r>
      <w:r w:rsidR="001A002C" w:rsidRPr="001A002C">
        <w:rPr>
          <w:rFonts w:ascii="Times New Roman" w:eastAsia="標楷體" w:hAnsi="標楷體" w:hint="eastAsia"/>
          <w:color w:val="000000"/>
          <w:sz w:val="30"/>
          <w:szCs w:val="30"/>
        </w:rPr>
        <w:t>「</w:t>
      </w:r>
      <w:r w:rsidR="00E91897">
        <w:rPr>
          <w:rFonts w:ascii="Times New Roman" w:eastAsia="標楷體" w:hAnsi="標楷體" w:hint="eastAsia"/>
          <w:color w:val="000000"/>
          <w:sz w:val="30"/>
          <w:szCs w:val="30"/>
        </w:rPr>
        <w:t>申報</w:t>
      </w:r>
      <w:r w:rsidR="001A002C" w:rsidRPr="001A002C">
        <w:rPr>
          <w:rFonts w:ascii="Times New Roman" w:eastAsia="標楷體" w:hAnsi="標楷體" w:hint="eastAsia"/>
          <w:color w:val="000000"/>
          <w:sz w:val="30"/>
          <w:szCs w:val="30"/>
        </w:rPr>
        <w:t>後程序指數</w:t>
      </w:r>
      <w:r w:rsidR="002843AD">
        <w:rPr>
          <w:rFonts w:ascii="Times New Roman" w:eastAsia="標楷體" w:hAnsi="標楷體" w:hint="eastAsia"/>
          <w:color w:val="000000"/>
          <w:sz w:val="30"/>
          <w:szCs w:val="30"/>
        </w:rPr>
        <w:t>(100</w:t>
      </w:r>
      <w:r w:rsidR="002843AD">
        <w:rPr>
          <w:rFonts w:ascii="Times New Roman" w:eastAsia="標楷體" w:hAnsi="標楷體" w:hint="eastAsia"/>
          <w:color w:val="000000"/>
          <w:sz w:val="30"/>
          <w:szCs w:val="30"/>
        </w:rPr>
        <w:t>分</w:t>
      </w:r>
      <w:r w:rsidR="002843AD">
        <w:rPr>
          <w:rFonts w:ascii="Times New Roman" w:eastAsia="標楷體" w:hAnsi="標楷體" w:hint="eastAsia"/>
          <w:color w:val="000000"/>
          <w:sz w:val="30"/>
          <w:szCs w:val="30"/>
        </w:rPr>
        <w:t>)</w:t>
      </w:r>
      <w:r w:rsidR="001A002C" w:rsidRPr="001A002C">
        <w:rPr>
          <w:rFonts w:ascii="Times New Roman" w:eastAsia="標楷體" w:hAnsi="標楷體" w:hint="eastAsia"/>
          <w:color w:val="000000"/>
          <w:sz w:val="30"/>
          <w:szCs w:val="30"/>
        </w:rPr>
        <w:t>」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得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90.82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高分進步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9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名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(39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sym w:font="Wingdings 3" w:char="F0D3"/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30)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最多；「申請建築許可」由第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6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名再推進至第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3</w:t>
      </w:r>
      <w:r w:rsidR="001A002C">
        <w:rPr>
          <w:rFonts w:ascii="Times New Roman" w:eastAsia="標楷體" w:hAnsi="標楷體" w:hint="eastAsia"/>
          <w:color w:val="000000"/>
          <w:sz w:val="30"/>
          <w:szCs w:val="30"/>
        </w:rPr>
        <w:t>名</w:t>
      </w:r>
      <w:r w:rsidR="002843AD">
        <w:rPr>
          <w:rFonts w:ascii="Times New Roman" w:eastAsia="標楷體" w:hAnsi="標楷體" w:hint="eastAsia"/>
          <w:color w:val="000000"/>
          <w:sz w:val="30"/>
          <w:szCs w:val="30"/>
        </w:rPr>
        <w:t>；「保護少數股東」因「股東治理指數」澄清受採認</w:t>
      </w:r>
      <w:r w:rsidR="00315EE4">
        <w:rPr>
          <w:rFonts w:ascii="Times New Roman" w:eastAsia="標楷體" w:hAnsi="標楷體" w:hint="eastAsia"/>
          <w:color w:val="000000"/>
          <w:sz w:val="30"/>
          <w:szCs w:val="30"/>
        </w:rPr>
        <w:t>進步</w:t>
      </w:r>
      <w:r w:rsidR="00315EE4">
        <w:rPr>
          <w:rFonts w:ascii="Times New Roman" w:eastAsia="標楷體" w:hAnsi="標楷體" w:hint="eastAsia"/>
          <w:color w:val="000000"/>
          <w:sz w:val="30"/>
          <w:szCs w:val="30"/>
        </w:rPr>
        <w:t>3</w:t>
      </w:r>
      <w:r w:rsidR="00315EE4">
        <w:rPr>
          <w:rFonts w:ascii="Times New Roman" w:eastAsia="標楷體" w:hAnsi="標楷體" w:hint="eastAsia"/>
          <w:color w:val="000000"/>
          <w:sz w:val="30"/>
          <w:szCs w:val="30"/>
        </w:rPr>
        <w:t>名</w:t>
      </w:r>
      <w:r w:rsidR="00315EE4">
        <w:rPr>
          <w:rFonts w:ascii="Times New Roman" w:eastAsia="標楷體" w:hAnsi="標楷體" w:hint="eastAsia"/>
          <w:color w:val="000000"/>
          <w:sz w:val="30"/>
          <w:szCs w:val="30"/>
        </w:rPr>
        <w:t>(25</w:t>
      </w:r>
      <w:r w:rsidR="00315EE4">
        <w:rPr>
          <w:rFonts w:ascii="Times New Roman" w:eastAsia="標楷體" w:hAnsi="標楷體" w:hint="eastAsia"/>
          <w:color w:val="000000"/>
          <w:sz w:val="30"/>
          <w:szCs w:val="30"/>
        </w:rPr>
        <w:sym w:font="Wingdings 3" w:char="F0D3"/>
      </w:r>
      <w:r w:rsidR="00315EE4">
        <w:rPr>
          <w:rFonts w:ascii="Times New Roman" w:eastAsia="標楷體" w:hAnsi="標楷體" w:hint="eastAsia"/>
          <w:color w:val="000000"/>
          <w:sz w:val="30"/>
          <w:szCs w:val="30"/>
        </w:rPr>
        <w:t>22)</w:t>
      </w:r>
      <w:r w:rsidR="00315EE4">
        <w:rPr>
          <w:rFonts w:ascii="Times New Roman" w:eastAsia="標楷體" w:hAnsi="標楷體" w:hint="eastAsia"/>
          <w:color w:val="000000"/>
          <w:sz w:val="30"/>
          <w:szCs w:val="30"/>
        </w:rPr>
        <w:t>；另「開辦企業」、「財產登記」及「執行契約」於我國並無性別差異之處遇，分</w:t>
      </w:r>
      <w:r w:rsidR="00A91258">
        <w:rPr>
          <w:rFonts w:ascii="Times New Roman" w:eastAsia="標楷體" w:hAnsi="標楷體" w:hint="eastAsia"/>
          <w:color w:val="000000"/>
          <w:sz w:val="30"/>
          <w:szCs w:val="30"/>
        </w:rPr>
        <w:t>別</w:t>
      </w:r>
      <w:r w:rsidR="00315EE4">
        <w:rPr>
          <w:rFonts w:ascii="Times New Roman" w:eastAsia="標楷體" w:hAnsi="標楷體" w:hint="eastAsia"/>
          <w:color w:val="000000"/>
          <w:sz w:val="30"/>
          <w:szCs w:val="30"/>
        </w:rPr>
        <w:t>進步</w:t>
      </w:r>
      <w:r w:rsidR="00315EE4">
        <w:rPr>
          <w:rFonts w:ascii="Times New Roman" w:eastAsia="標楷體" w:hAnsi="標楷體" w:hint="eastAsia"/>
          <w:color w:val="000000"/>
          <w:sz w:val="30"/>
          <w:szCs w:val="30"/>
        </w:rPr>
        <w:t>3</w:t>
      </w:r>
      <w:r w:rsidR="00315EE4">
        <w:rPr>
          <w:rFonts w:ascii="Times New Roman" w:eastAsia="標楷體" w:hAnsi="標楷體" w:hint="eastAsia"/>
          <w:color w:val="000000"/>
          <w:sz w:val="30"/>
          <w:szCs w:val="30"/>
        </w:rPr>
        <w:t>至</w:t>
      </w:r>
      <w:r w:rsidR="00315EE4">
        <w:rPr>
          <w:rFonts w:ascii="Times New Roman" w:eastAsia="標楷體" w:hAnsi="標楷體" w:hint="eastAsia"/>
          <w:color w:val="000000"/>
          <w:sz w:val="30"/>
          <w:szCs w:val="30"/>
        </w:rPr>
        <w:t>1</w:t>
      </w:r>
      <w:r w:rsidR="00315EE4">
        <w:rPr>
          <w:rFonts w:ascii="Times New Roman" w:eastAsia="標楷體" w:hAnsi="標楷體" w:hint="eastAsia"/>
          <w:color w:val="000000"/>
          <w:sz w:val="30"/>
          <w:szCs w:val="30"/>
        </w:rPr>
        <w:t>名。</w:t>
      </w:r>
    </w:p>
    <w:p w:rsidR="00A933D9" w:rsidRPr="00D630D2" w:rsidRDefault="00315EE4" w:rsidP="00FE090D">
      <w:pPr>
        <w:snapToGrid w:val="0"/>
        <w:spacing w:beforeLines="50" w:before="180" w:afterLines="50" w:after="180" w:line="500" w:lineRule="exact"/>
        <w:ind w:firstLineChars="177" w:firstLine="531"/>
        <w:jc w:val="both"/>
        <w:rPr>
          <w:rFonts w:ascii="Times New Roman" w:eastAsia="標楷體" w:hAnsi="Times New Roman"/>
          <w:color w:val="000000"/>
          <w:sz w:val="30"/>
          <w:szCs w:val="30"/>
        </w:rPr>
      </w:pPr>
      <w:r>
        <w:rPr>
          <w:rFonts w:ascii="Times New Roman" w:eastAsia="標楷體" w:hAnsi="標楷體" w:hint="eastAsia"/>
          <w:color w:val="000000"/>
          <w:sz w:val="30"/>
          <w:szCs w:val="30"/>
        </w:rPr>
        <w:t>另我國有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3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指標排名小幅退步，分別為「破產處理」退步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1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名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(21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sym w:font="Wingdings 3" w:char="F069"/>
      </w:r>
      <w:r>
        <w:rPr>
          <w:rFonts w:ascii="Times New Roman" w:eastAsia="標楷體" w:hAnsi="標楷體" w:hint="eastAsia"/>
          <w:color w:val="000000"/>
          <w:sz w:val="30"/>
          <w:szCs w:val="30"/>
        </w:rPr>
        <w:t>22)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、「獲得信貸」退步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3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名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(59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sym w:font="Wingdings 3" w:char="F069"/>
      </w:r>
      <w:r>
        <w:rPr>
          <w:rFonts w:ascii="Times New Roman" w:eastAsia="標楷體" w:hAnsi="標楷體" w:hint="eastAsia"/>
          <w:color w:val="000000"/>
          <w:sz w:val="30"/>
          <w:szCs w:val="30"/>
        </w:rPr>
        <w:t>62)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及「跨境貿易」退步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3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名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(65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sym w:font="Wingdings 3" w:char="F069"/>
      </w:r>
      <w:r>
        <w:rPr>
          <w:rFonts w:ascii="Times New Roman" w:eastAsia="標楷體" w:hAnsi="標楷體" w:hint="eastAsia"/>
          <w:color w:val="000000"/>
          <w:sz w:val="30"/>
          <w:szCs w:val="30"/>
        </w:rPr>
        <w:t>68)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。其中，「獲得信貸」</w:t>
      </w:r>
      <w:r w:rsidR="00B93DF3">
        <w:rPr>
          <w:rFonts w:ascii="Times New Roman" w:eastAsia="標楷體" w:hAnsi="標楷體" w:hint="eastAsia"/>
          <w:color w:val="000000"/>
          <w:sz w:val="30"/>
          <w:szCs w:val="30"/>
        </w:rPr>
        <w:t>指標之</w:t>
      </w:r>
      <w:r>
        <w:rPr>
          <w:rFonts w:ascii="Times New Roman" w:eastAsia="標楷體" w:hAnsi="標楷體" w:hint="eastAsia"/>
          <w:color w:val="000000"/>
          <w:sz w:val="30"/>
          <w:szCs w:val="30"/>
        </w:rPr>
        <w:t>「信用資訊指數」</w:t>
      </w:r>
      <w:r w:rsidR="00B93DF3">
        <w:rPr>
          <w:rFonts w:ascii="Times New Roman" w:eastAsia="標楷體" w:hAnsi="標楷體" w:hint="eastAsia"/>
          <w:color w:val="000000"/>
          <w:sz w:val="30"/>
          <w:szCs w:val="30"/>
        </w:rPr>
        <w:t>得滿分</w:t>
      </w:r>
      <w:r w:rsidR="00B93DF3">
        <w:rPr>
          <w:rFonts w:ascii="Times New Roman" w:eastAsia="標楷體" w:hAnsi="標楷體" w:hint="eastAsia"/>
          <w:color w:val="000000"/>
          <w:sz w:val="30"/>
          <w:szCs w:val="30"/>
        </w:rPr>
        <w:t>8</w:t>
      </w:r>
      <w:r w:rsidR="00B93DF3">
        <w:rPr>
          <w:rFonts w:ascii="Times New Roman" w:eastAsia="標楷體" w:hAnsi="標楷體" w:hint="eastAsia"/>
          <w:color w:val="000000"/>
          <w:sz w:val="30"/>
          <w:szCs w:val="30"/>
        </w:rPr>
        <w:t>分，</w:t>
      </w:r>
      <w:r w:rsidR="006676B0">
        <w:rPr>
          <w:rFonts w:ascii="Times New Roman" w:eastAsia="標楷體" w:hAnsi="標楷體" w:hint="eastAsia"/>
          <w:color w:val="000000"/>
          <w:sz w:val="30"/>
          <w:szCs w:val="30"/>
        </w:rPr>
        <w:t>而</w:t>
      </w:r>
      <w:r w:rsidR="00B93DF3">
        <w:rPr>
          <w:rFonts w:ascii="Times New Roman" w:eastAsia="標楷體" w:hAnsi="標楷體" w:hint="eastAsia"/>
          <w:color w:val="000000"/>
          <w:sz w:val="30"/>
          <w:szCs w:val="30"/>
        </w:rPr>
        <w:t>「法定權利指</w:t>
      </w:r>
      <w:r w:rsidR="00B93DF3">
        <w:rPr>
          <w:rFonts w:ascii="Times New Roman" w:eastAsia="標楷體" w:hAnsi="標楷體" w:hint="eastAsia"/>
          <w:color w:val="000000"/>
          <w:sz w:val="30"/>
          <w:szCs w:val="30"/>
        </w:rPr>
        <w:lastRenderedPageBreak/>
        <w:t>數</w:t>
      </w:r>
      <w:r w:rsidR="00B93DF3">
        <w:rPr>
          <w:rFonts w:ascii="Times New Roman" w:eastAsia="標楷體" w:hAnsi="標楷體" w:hint="eastAsia"/>
          <w:color w:val="000000"/>
          <w:sz w:val="30"/>
          <w:szCs w:val="30"/>
        </w:rPr>
        <w:t>(12</w:t>
      </w:r>
      <w:r w:rsidR="00B93DF3">
        <w:rPr>
          <w:rFonts w:ascii="Times New Roman" w:eastAsia="標楷體" w:hAnsi="標楷體" w:hint="eastAsia"/>
          <w:color w:val="000000"/>
          <w:sz w:val="30"/>
          <w:szCs w:val="30"/>
        </w:rPr>
        <w:t>分</w:t>
      </w:r>
      <w:r w:rsidR="00B93DF3">
        <w:rPr>
          <w:rFonts w:ascii="Times New Roman" w:eastAsia="標楷體" w:hAnsi="標楷體" w:hint="eastAsia"/>
          <w:color w:val="000000"/>
          <w:sz w:val="30"/>
          <w:szCs w:val="30"/>
        </w:rPr>
        <w:t>)</w:t>
      </w:r>
      <w:r w:rsidR="00B93DF3">
        <w:rPr>
          <w:rFonts w:ascii="Times New Roman" w:eastAsia="標楷體" w:hAnsi="標楷體" w:hint="eastAsia"/>
          <w:color w:val="000000"/>
          <w:sz w:val="30"/>
          <w:szCs w:val="30"/>
        </w:rPr>
        <w:t>」僅得</w:t>
      </w:r>
      <w:r w:rsidR="00B93DF3">
        <w:rPr>
          <w:rFonts w:ascii="Times New Roman" w:eastAsia="標楷體" w:hAnsi="標楷體" w:hint="eastAsia"/>
          <w:color w:val="000000"/>
          <w:sz w:val="30"/>
          <w:szCs w:val="30"/>
        </w:rPr>
        <w:t>4</w:t>
      </w:r>
      <w:r w:rsidR="00B93DF3">
        <w:rPr>
          <w:rFonts w:ascii="Times New Roman" w:eastAsia="標楷體" w:hAnsi="標楷體" w:hint="eastAsia"/>
          <w:color w:val="000000"/>
          <w:sz w:val="30"/>
          <w:szCs w:val="30"/>
        </w:rPr>
        <w:t>分。</w:t>
      </w:r>
    </w:p>
    <w:p w:rsidR="006560A8" w:rsidRPr="00D630D2" w:rsidRDefault="00D50537" w:rsidP="00FE090D">
      <w:pPr>
        <w:snapToGrid w:val="0"/>
        <w:spacing w:beforeLines="50" w:before="180" w:afterLines="50" w:after="180" w:line="500" w:lineRule="exact"/>
        <w:jc w:val="both"/>
        <w:rPr>
          <w:rFonts w:ascii="Times New Roman" w:eastAsia="標楷體" w:hAnsi="Times New Roman"/>
          <w:b/>
          <w:color w:val="000000"/>
          <w:sz w:val="30"/>
          <w:szCs w:val="30"/>
        </w:rPr>
      </w:pPr>
      <w:r w:rsidRPr="00D630D2">
        <w:rPr>
          <w:rFonts w:ascii="Times New Roman" w:eastAsia="標楷體" w:hAnsi="標楷體"/>
          <w:b/>
          <w:color w:val="000000"/>
          <w:sz w:val="30"/>
          <w:szCs w:val="30"/>
        </w:rPr>
        <w:t>二</w:t>
      </w:r>
      <w:r w:rsidR="006560A8" w:rsidRPr="00D630D2">
        <w:rPr>
          <w:rFonts w:ascii="Times New Roman" w:eastAsia="標楷體" w:hAnsi="標楷體"/>
          <w:b/>
          <w:color w:val="000000"/>
          <w:sz w:val="30"/>
          <w:szCs w:val="30"/>
        </w:rPr>
        <w:t>、</w:t>
      </w:r>
      <w:r w:rsidR="006676B0">
        <w:rPr>
          <w:rFonts w:ascii="Times New Roman" w:eastAsia="標楷體" w:hAnsi="標楷體" w:hint="eastAsia"/>
          <w:b/>
          <w:color w:val="000000"/>
          <w:sz w:val="30"/>
          <w:szCs w:val="30"/>
        </w:rPr>
        <w:t>推動</w:t>
      </w:r>
      <w:r w:rsidR="00A13ADB">
        <w:rPr>
          <w:rFonts w:ascii="Times New Roman" w:eastAsia="標楷體" w:hAnsi="標楷體" w:hint="eastAsia"/>
          <w:b/>
          <w:color w:val="000000"/>
          <w:sz w:val="30"/>
          <w:szCs w:val="30"/>
        </w:rPr>
        <w:t>改革</w:t>
      </w:r>
      <w:r w:rsidR="006676B0">
        <w:rPr>
          <w:rFonts w:ascii="Times New Roman" w:eastAsia="標楷體" w:hAnsi="標楷體" w:hint="eastAsia"/>
          <w:b/>
          <w:color w:val="000000"/>
          <w:sz w:val="30"/>
          <w:szCs w:val="30"/>
        </w:rPr>
        <w:t>規劃</w:t>
      </w:r>
    </w:p>
    <w:p w:rsidR="00706654" w:rsidRDefault="00973356" w:rsidP="00FE090D">
      <w:pPr>
        <w:snapToGrid w:val="0"/>
        <w:spacing w:beforeLines="50" w:before="180" w:afterLines="50" w:after="180" w:line="500" w:lineRule="exact"/>
        <w:ind w:left="1" w:firstLineChars="283" w:firstLine="849"/>
        <w:jc w:val="both"/>
        <w:rPr>
          <w:rFonts w:ascii="Times New Roman" w:eastAsia="標楷體" w:hAnsi="標楷體"/>
          <w:color w:val="000000"/>
          <w:sz w:val="30"/>
          <w:szCs w:val="30"/>
        </w:rPr>
      </w:pPr>
      <w:r>
        <w:rPr>
          <w:rFonts w:ascii="Times New Roman" w:eastAsia="標楷體" w:hAnsi="標楷體" w:hint="eastAsia"/>
          <w:color w:val="000000"/>
          <w:sz w:val="30"/>
          <w:szCs w:val="30"/>
        </w:rPr>
        <w:t>國發會表示，</w:t>
      </w:r>
      <w:r w:rsidR="005F6A07">
        <w:rPr>
          <w:rFonts w:ascii="Times New Roman" w:eastAsia="標楷體" w:hAnsi="標楷體" w:hint="eastAsia"/>
          <w:color w:val="000000"/>
          <w:sz w:val="30"/>
          <w:szCs w:val="30"/>
        </w:rPr>
        <w:t>我國目前排名全球第</w:t>
      </w:r>
      <w:r w:rsidR="005F6A07">
        <w:rPr>
          <w:rFonts w:ascii="Times New Roman" w:eastAsia="標楷體" w:hAnsi="標楷體" w:hint="eastAsia"/>
          <w:color w:val="000000"/>
          <w:sz w:val="30"/>
          <w:szCs w:val="30"/>
        </w:rPr>
        <w:t>11</w:t>
      </w:r>
      <w:r w:rsidR="005F6A07">
        <w:rPr>
          <w:rFonts w:ascii="Times New Roman" w:eastAsia="標楷體" w:hAnsi="標楷體" w:hint="eastAsia"/>
          <w:color w:val="000000"/>
          <w:sz w:val="30"/>
          <w:szCs w:val="30"/>
        </w:rPr>
        <w:t>名成績雖佳，但對於改善</w:t>
      </w:r>
      <w:r w:rsidR="00706654">
        <w:rPr>
          <w:rFonts w:ascii="Times New Roman" w:eastAsia="標楷體" w:hAnsi="標楷體" w:hint="eastAsia"/>
          <w:color w:val="000000"/>
          <w:sz w:val="30"/>
          <w:szCs w:val="30"/>
        </w:rPr>
        <w:t>整體</w:t>
      </w:r>
      <w:r w:rsidR="005F6A07">
        <w:rPr>
          <w:rFonts w:ascii="Times New Roman" w:eastAsia="標楷體" w:hAnsi="標楷體" w:hint="eastAsia"/>
          <w:color w:val="000000"/>
          <w:sz w:val="30"/>
          <w:szCs w:val="30"/>
        </w:rPr>
        <w:t>經商環境仍有努力的空間。</w:t>
      </w:r>
      <w:r w:rsidR="00706654">
        <w:rPr>
          <w:rFonts w:ascii="Times New Roman" w:eastAsia="標楷體" w:hAnsi="標楷體" w:hint="eastAsia"/>
          <w:color w:val="000000"/>
          <w:sz w:val="30"/>
          <w:szCs w:val="30"/>
        </w:rPr>
        <w:t>國發會</w:t>
      </w:r>
      <w:r w:rsidR="005F0FD5">
        <w:rPr>
          <w:rFonts w:ascii="Times New Roman" w:eastAsia="標楷體" w:hAnsi="標楷體" w:hint="eastAsia"/>
          <w:color w:val="000000"/>
          <w:sz w:val="30"/>
          <w:szCs w:val="30"/>
        </w:rPr>
        <w:t>將進一步</w:t>
      </w:r>
      <w:r w:rsidR="00D026FC">
        <w:rPr>
          <w:rFonts w:ascii="Times New Roman" w:eastAsia="標楷體" w:hAnsi="標楷體" w:hint="eastAsia"/>
          <w:color w:val="000000"/>
          <w:sz w:val="30"/>
          <w:szCs w:val="30"/>
        </w:rPr>
        <w:t>會同</w:t>
      </w:r>
      <w:r w:rsidR="005F0FD5">
        <w:rPr>
          <w:rFonts w:ascii="Times New Roman" w:eastAsia="標楷體" w:hAnsi="標楷體" w:hint="eastAsia"/>
          <w:color w:val="000000"/>
          <w:sz w:val="30"/>
          <w:szCs w:val="30"/>
        </w:rPr>
        <w:t>相關機關</w:t>
      </w:r>
      <w:r w:rsidR="00D026FC">
        <w:rPr>
          <w:rFonts w:ascii="Times New Roman" w:eastAsia="標楷體" w:hAnsi="標楷體" w:hint="eastAsia"/>
          <w:color w:val="000000"/>
          <w:sz w:val="30"/>
          <w:szCs w:val="30"/>
        </w:rPr>
        <w:t>推動</w:t>
      </w:r>
      <w:r w:rsidR="00202017">
        <w:rPr>
          <w:rFonts w:ascii="Times New Roman" w:eastAsia="標楷體" w:hAnsi="標楷體" w:hint="eastAsia"/>
          <w:color w:val="000000"/>
          <w:sz w:val="30"/>
          <w:szCs w:val="30"/>
        </w:rPr>
        <w:t>後續改</w:t>
      </w:r>
      <w:r w:rsidR="005F0FD5">
        <w:rPr>
          <w:rFonts w:ascii="Times New Roman" w:eastAsia="標楷體" w:hAnsi="標楷體" w:hint="eastAsia"/>
          <w:color w:val="000000"/>
          <w:sz w:val="30"/>
          <w:szCs w:val="30"/>
        </w:rPr>
        <w:t>革</w:t>
      </w:r>
      <w:r w:rsidR="00202017">
        <w:rPr>
          <w:rFonts w:ascii="Times New Roman" w:eastAsia="標楷體" w:hAnsi="標楷體" w:hint="eastAsia"/>
          <w:color w:val="000000"/>
          <w:sz w:val="30"/>
          <w:szCs w:val="30"/>
        </w:rPr>
        <w:t>事項</w:t>
      </w:r>
      <w:r w:rsidR="005F0FD5">
        <w:rPr>
          <w:rFonts w:ascii="Times New Roman" w:eastAsia="標楷體" w:hAnsi="標楷體" w:hint="eastAsia"/>
          <w:color w:val="000000"/>
          <w:sz w:val="30"/>
          <w:szCs w:val="30"/>
        </w:rPr>
        <w:t>，</w:t>
      </w:r>
      <w:r w:rsidR="005F6A07">
        <w:rPr>
          <w:rFonts w:ascii="Times New Roman" w:eastAsia="標楷體" w:hAnsi="標楷體" w:hint="eastAsia"/>
          <w:color w:val="000000"/>
          <w:sz w:val="30"/>
          <w:szCs w:val="30"/>
        </w:rPr>
        <w:t>包括</w:t>
      </w:r>
      <w:r w:rsidR="00706654">
        <w:rPr>
          <w:rFonts w:ascii="Times New Roman" w:eastAsia="標楷體" w:hAnsi="標楷體" w:hint="eastAsia"/>
          <w:color w:val="000000"/>
          <w:sz w:val="30"/>
          <w:szCs w:val="30"/>
        </w:rPr>
        <w:t>：</w:t>
      </w:r>
    </w:p>
    <w:p w:rsidR="00202017" w:rsidRPr="00A26A81" w:rsidRDefault="00202017" w:rsidP="00A26A81">
      <w:pPr>
        <w:snapToGrid w:val="0"/>
        <w:spacing w:beforeLines="50" w:before="180" w:afterLines="50" w:after="180" w:line="500" w:lineRule="exact"/>
        <w:ind w:left="851" w:hanging="851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（一）</w:t>
      </w:r>
      <w:r w:rsidRPr="00A26A81">
        <w:rPr>
          <w:rFonts w:ascii="標楷體" w:eastAsia="標楷體" w:hAnsi="標楷體" w:hint="eastAsia"/>
          <w:color w:val="000000"/>
          <w:sz w:val="30"/>
          <w:szCs w:val="30"/>
        </w:rPr>
        <w:t>支持司法院「債務清理法草案」：整</w:t>
      </w:r>
      <w:proofErr w:type="gramStart"/>
      <w:r w:rsidRPr="00A26A81">
        <w:rPr>
          <w:rFonts w:ascii="標楷體" w:eastAsia="標楷體" w:hAnsi="標楷體" w:hint="eastAsia"/>
          <w:color w:val="000000"/>
          <w:sz w:val="30"/>
          <w:szCs w:val="30"/>
        </w:rPr>
        <w:t>併</w:t>
      </w:r>
      <w:proofErr w:type="gramEnd"/>
      <w:r w:rsidRPr="00A26A81">
        <w:rPr>
          <w:rFonts w:ascii="標楷體" w:eastAsia="標楷體" w:hAnsi="標楷體" w:hint="eastAsia"/>
          <w:color w:val="000000"/>
          <w:sz w:val="30"/>
          <w:szCs w:val="30"/>
        </w:rPr>
        <w:t>重整及破產法於單一法典，提升法院處理企業債務之效率，建構與國際接軌之現代化債務清理法制。</w:t>
      </w:r>
    </w:p>
    <w:p w:rsidR="005F6A07" w:rsidRPr="00A26A81" w:rsidRDefault="00202017" w:rsidP="00A26A81">
      <w:pPr>
        <w:snapToGrid w:val="0"/>
        <w:spacing w:beforeLines="50" w:before="180" w:afterLines="50" w:after="180" w:line="500" w:lineRule="exact"/>
        <w:ind w:left="851" w:hanging="851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（二）</w:t>
      </w:r>
      <w:r w:rsidR="005F6A07" w:rsidRPr="00A26A81">
        <w:rPr>
          <w:rFonts w:ascii="標楷體" w:eastAsia="標楷體" w:hAnsi="標楷體" w:hint="eastAsia"/>
          <w:color w:val="000000"/>
          <w:sz w:val="30"/>
          <w:szCs w:val="30"/>
        </w:rPr>
        <w:t>「公司法」全盤修正</w:t>
      </w:r>
      <w:r w:rsidR="00706654" w:rsidRPr="00A26A81">
        <w:rPr>
          <w:rFonts w:ascii="標楷體" w:eastAsia="標楷體" w:hAnsi="標楷體" w:hint="eastAsia"/>
          <w:color w:val="000000"/>
          <w:sz w:val="30"/>
          <w:szCs w:val="30"/>
        </w:rPr>
        <w:t>：建議</w:t>
      </w:r>
      <w:r w:rsidR="005F0FD5" w:rsidRPr="00A26A81">
        <w:rPr>
          <w:rFonts w:ascii="標楷體" w:eastAsia="標楷體" w:hAnsi="標楷體" w:hint="eastAsia"/>
          <w:color w:val="000000"/>
          <w:sz w:val="30"/>
          <w:szCs w:val="30"/>
        </w:rPr>
        <w:t>逐步推動</w:t>
      </w:r>
      <w:r w:rsidR="00706654" w:rsidRPr="00A26A81">
        <w:rPr>
          <w:rFonts w:ascii="標楷體" w:eastAsia="標楷體" w:hAnsi="標楷體" w:hint="eastAsia"/>
          <w:color w:val="000000"/>
          <w:sz w:val="30"/>
          <w:szCs w:val="30"/>
        </w:rPr>
        <w:t>公司設立全面</w:t>
      </w:r>
      <w:proofErr w:type="gramStart"/>
      <w:r w:rsidR="00706654" w:rsidRPr="00A26A81">
        <w:rPr>
          <w:rFonts w:ascii="標楷體" w:eastAsia="標楷體" w:hAnsi="標楷體" w:hint="eastAsia"/>
          <w:color w:val="000000"/>
          <w:sz w:val="30"/>
          <w:szCs w:val="30"/>
        </w:rPr>
        <w:t>採線上</w:t>
      </w:r>
      <w:proofErr w:type="gramEnd"/>
      <w:r w:rsidR="00706654" w:rsidRPr="00A26A81">
        <w:rPr>
          <w:rFonts w:ascii="標楷體" w:eastAsia="標楷體" w:hAnsi="標楷體" w:hint="eastAsia"/>
          <w:color w:val="000000"/>
          <w:sz w:val="30"/>
          <w:szCs w:val="30"/>
        </w:rPr>
        <w:t>(</w:t>
      </w:r>
      <w:r w:rsidR="00706654" w:rsidRPr="00A26A81">
        <w:rPr>
          <w:rFonts w:ascii="標楷體" w:eastAsia="標楷體" w:hAnsi="標楷體"/>
          <w:color w:val="000000"/>
          <w:sz w:val="30"/>
          <w:szCs w:val="30"/>
        </w:rPr>
        <w:t>Online</w:t>
      </w:r>
      <w:r w:rsidR="00706654" w:rsidRPr="00A26A81">
        <w:rPr>
          <w:rFonts w:ascii="標楷體" w:eastAsia="標楷體" w:hAnsi="標楷體" w:hint="eastAsia"/>
          <w:color w:val="000000"/>
          <w:sz w:val="30"/>
          <w:szCs w:val="30"/>
        </w:rPr>
        <w:t>)登記方式，以提升行政數位化，並引進少數股東不公平救濟制度，以強化公司治理。</w:t>
      </w:r>
    </w:p>
    <w:p w:rsidR="00792F31" w:rsidRPr="00A26A81" w:rsidRDefault="00792F31" w:rsidP="00A26A81">
      <w:pPr>
        <w:snapToGrid w:val="0"/>
        <w:spacing w:beforeLines="50" w:before="180" w:afterLines="50" w:after="180" w:line="500" w:lineRule="exact"/>
        <w:ind w:left="851" w:hanging="709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8D62BD">
        <w:rPr>
          <w:rFonts w:ascii="標楷體" w:eastAsia="標楷體" w:hAnsi="標楷體" w:hint="eastAsia"/>
          <w:color w:val="000000"/>
          <w:sz w:val="30"/>
          <w:szCs w:val="30"/>
        </w:rPr>
        <w:t>(三)</w:t>
      </w:r>
      <w:r w:rsidR="008D62BD" w:rsidRPr="008D62BD">
        <w:rPr>
          <w:rFonts w:ascii="標楷體" w:eastAsia="標楷體" w:hAnsi="標楷體" w:hint="eastAsia"/>
          <w:color w:val="000000"/>
          <w:sz w:val="30"/>
          <w:szCs w:val="30"/>
        </w:rPr>
        <w:t xml:space="preserve"> </w:t>
      </w:r>
      <w:r w:rsidRPr="008D62BD">
        <w:rPr>
          <w:rFonts w:ascii="標楷體" w:eastAsia="標楷體" w:hAnsi="標楷體" w:hint="eastAsia"/>
          <w:color w:val="000000"/>
          <w:sz w:val="30"/>
          <w:szCs w:val="30"/>
        </w:rPr>
        <w:t>調整「獲得信貸」法制：將就動產擔保法制及擔保交易</w:t>
      </w:r>
      <w:proofErr w:type="gramStart"/>
      <w:r w:rsidRPr="008D62BD">
        <w:rPr>
          <w:rFonts w:ascii="標楷體" w:eastAsia="標楷體" w:hAnsi="標楷體" w:hint="eastAsia"/>
          <w:color w:val="000000"/>
          <w:sz w:val="30"/>
          <w:szCs w:val="30"/>
        </w:rPr>
        <w:t>全面線上</w:t>
      </w:r>
      <w:r w:rsidRPr="00A26A81">
        <w:rPr>
          <w:rFonts w:ascii="標楷體" w:eastAsia="標楷體" w:hAnsi="標楷體" w:hint="eastAsia"/>
          <w:color w:val="000000"/>
          <w:sz w:val="30"/>
          <w:szCs w:val="30"/>
        </w:rPr>
        <w:t>登記</w:t>
      </w:r>
      <w:proofErr w:type="gramEnd"/>
      <w:r w:rsidRPr="00A26A81">
        <w:rPr>
          <w:rFonts w:ascii="標楷體" w:eastAsia="標楷體" w:hAnsi="標楷體" w:hint="eastAsia"/>
          <w:color w:val="000000"/>
          <w:sz w:val="30"/>
          <w:szCs w:val="30"/>
        </w:rPr>
        <w:t>等</w:t>
      </w:r>
      <w:proofErr w:type="gramStart"/>
      <w:r w:rsidRPr="00A26A81">
        <w:rPr>
          <w:rFonts w:ascii="標楷體" w:eastAsia="標楷體" w:hAnsi="標楷體" w:hint="eastAsia"/>
          <w:color w:val="000000"/>
          <w:sz w:val="30"/>
          <w:szCs w:val="30"/>
        </w:rPr>
        <w:t>研</w:t>
      </w:r>
      <w:proofErr w:type="gramEnd"/>
      <w:r w:rsidRPr="00A26A81">
        <w:rPr>
          <w:rFonts w:ascii="標楷體" w:eastAsia="標楷體" w:hAnsi="標楷體" w:hint="eastAsia"/>
          <w:color w:val="000000"/>
          <w:sz w:val="30"/>
          <w:szCs w:val="30"/>
        </w:rPr>
        <w:t>議可行做法。</w:t>
      </w:r>
    </w:p>
    <w:p w:rsidR="00792F31" w:rsidRPr="00A26A81" w:rsidRDefault="00202017" w:rsidP="00125409">
      <w:pPr>
        <w:snapToGrid w:val="0"/>
        <w:spacing w:beforeLines="50" w:before="180" w:afterLines="50" w:after="180" w:line="500" w:lineRule="exact"/>
        <w:ind w:left="851" w:hanging="851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（</w:t>
      </w:r>
      <w:r w:rsidR="00792F31">
        <w:rPr>
          <w:rFonts w:ascii="標楷體" w:eastAsia="標楷體" w:hAnsi="標楷體" w:hint="eastAsia"/>
          <w:color w:val="000000"/>
          <w:sz w:val="30"/>
          <w:szCs w:val="30"/>
        </w:rPr>
        <w:t>四</w:t>
      </w:r>
      <w:r>
        <w:rPr>
          <w:rFonts w:ascii="標楷體" w:eastAsia="標楷體" w:hAnsi="標楷體" w:hint="eastAsia"/>
          <w:color w:val="000000"/>
          <w:sz w:val="30"/>
          <w:szCs w:val="30"/>
        </w:rPr>
        <w:t>）</w:t>
      </w:r>
      <w:proofErr w:type="gramStart"/>
      <w:r w:rsidR="00957DAB" w:rsidRPr="00A26A81">
        <w:rPr>
          <w:rFonts w:ascii="標楷體" w:eastAsia="標楷體" w:hAnsi="標楷體" w:hint="eastAsia"/>
          <w:color w:val="000000"/>
          <w:sz w:val="30"/>
          <w:szCs w:val="30"/>
        </w:rPr>
        <w:t>研</w:t>
      </w:r>
      <w:proofErr w:type="gramEnd"/>
      <w:r w:rsidR="00957DAB" w:rsidRPr="00A26A81">
        <w:rPr>
          <w:rFonts w:ascii="標楷體" w:eastAsia="標楷體" w:hAnsi="標楷體" w:hint="eastAsia"/>
          <w:color w:val="000000"/>
          <w:sz w:val="30"/>
          <w:szCs w:val="30"/>
        </w:rPr>
        <w:t>析我國「跨境貿易」問題：針對世界銀行案例，</w:t>
      </w:r>
      <w:proofErr w:type="gramStart"/>
      <w:r w:rsidR="00957DAB" w:rsidRPr="00A26A81">
        <w:rPr>
          <w:rFonts w:ascii="標楷體" w:eastAsia="標楷體" w:hAnsi="標楷體" w:hint="eastAsia"/>
          <w:color w:val="000000"/>
          <w:sz w:val="30"/>
          <w:szCs w:val="30"/>
        </w:rPr>
        <w:t>研</w:t>
      </w:r>
      <w:proofErr w:type="gramEnd"/>
      <w:r w:rsidR="00957DAB" w:rsidRPr="00A26A81">
        <w:rPr>
          <w:rFonts w:ascii="標楷體" w:eastAsia="標楷體" w:hAnsi="標楷體" w:hint="eastAsia"/>
          <w:color w:val="000000"/>
          <w:sz w:val="30"/>
          <w:szCs w:val="30"/>
        </w:rPr>
        <w:t>析我國廣義</w:t>
      </w:r>
      <w:r w:rsidR="00EF059A" w:rsidRPr="00A26A81">
        <w:rPr>
          <w:rFonts w:ascii="標楷體" w:eastAsia="標楷體" w:hAnsi="標楷體" w:hint="eastAsia"/>
          <w:color w:val="000000"/>
          <w:sz w:val="30"/>
          <w:szCs w:val="30"/>
        </w:rPr>
        <w:t>通關範圍</w:t>
      </w:r>
      <w:r w:rsidR="00957DAB" w:rsidRPr="00A26A81">
        <w:rPr>
          <w:rFonts w:ascii="標楷體" w:eastAsia="標楷體" w:hAnsi="標楷體" w:hint="eastAsia"/>
          <w:color w:val="000000"/>
          <w:sz w:val="30"/>
          <w:szCs w:val="30"/>
        </w:rPr>
        <w:t>，並廣邀業界專家提出建言，</w:t>
      </w:r>
      <w:r w:rsidR="00973356" w:rsidRPr="00A26A81">
        <w:rPr>
          <w:rFonts w:ascii="標楷體" w:eastAsia="標楷體" w:hAnsi="標楷體" w:hint="eastAsia"/>
          <w:color w:val="000000"/>
          <w:sz w:val="30"/>
          <w:szCs w:val="30"/>
        </w:rPr>
        <w:t>擬訂提升跨境貿易效率之解決對策。</w:t>
      </w:r>
    </w:p>
    <w:p w:rsidR="00FA46F4" w:rsidRPr="00FA46F4" w:rsidRDefault="00F32AC9" w:rsidP="00125409">
      <w:pPr>
        <w:snapToGrid w:val="0"/>
        <w:spacing w:beforeLines="50" w:before="180" w:afterLines="50" w:after="180" w:line="500" w:lineRule="exact"/>
        <w:ind w:left="851" w:hanging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eastAsia="標楷體" w:hAnsi="Times New Roman"/>
          <w:sz w:val="30"/>
          <w:szCs w:val="30"/>
        </w:rPr>
        <w:br w:type="page"/>
      </w:r>
    </w:p>
    <w:p w:rsidR="00045F70" w:rsidRPr="00045F70" w:rsidRDefault="00045F70" w:rsidP="00045F70">
      <w:pPr>
        <w:snapToGrid w:val="0"/>
        <w:spacing w:line="500" w:lineRule="exact"/>
        <w:ind w:right="-301"/>
        <w:jc w:val="center"/>
        <w:outlineLvl w:val="0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045F70">
        <w:rPr>
          <w:rFonts w:ascii="Times New Roman" w:eastAsia="標楷體" w:hAnsi="Times New Roman"/>
          <w:b/>
          <w:bCs/>
          <w:color w:val="000000"/>
          <w:sz w:val="32"/>
          <w:szCs w:val="32"/>
        </w:rPr>
        <w:lastRenderedPageBreak/>
        <w:t>表</w:t>
      </w:r>
      <w:r w:rsidRPr="00045F70">
        <w:rPr>
          <w:rFonts w:ascii="Times New Roman" w:eastAsia="標楷體" w:hAnsi="Times New Roman"/>
          <w:b/>
          <w:bCs/>
          <w:color w:val="000000"/>
          <w:sz w:val="32"/>
          <w:szCs w:val="32"/>
        </w:rPr>
        <w:t>1</w:t>
      </w:r>
      <w:r w:rsidRPr="00045F70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45F70">
        <w:rPr>
          <w:rFonts w:ascii="Times New Roman" w:eastAsia="標楷體" w:hAnsi="Times New Roman"/>
          <w:b/>
          <w:color w:val="000000"/>
          <w:sz w:val="32"/>
          <w:szCs w:val="32"/>
        </w:rPr>
        <w:t>《</w:t>
      </w:r>
      <w:r w:rsidRPr="00045F70">
        <w:rPr>
          <w:rFonts w:ascii="Times New Roman" w:eastAsia="標楷體" w:hAnsi="Times New Roman"/>
          <w:b/>
          <w:color w:val="000000"/>
          <w:sz w:val="32"/>
          <w:szCs w:val="32"/>
        </w:rPr>
        <w:t>2017</w:t>
      </w:r>
      <w:r w:rsidRPr="00045F70">
        <w:rPr>
          <w:rFonts w:ascii="Times New Roman" w:eastAsia="標楷體" w:hAnsi="Times New Roman"/>
          <w:b/>
          <w:color w:val="000000"/>
          <w:sz w:val="32"/>
          <w:szCs w:val="32"/>
        </w:rPr>
        <w:t>經商環境報告》前</w:t>
      </w:r>
      <w:r w:rsidRPr="00045F70">
        <w:rPr>
          <w:rFonts w:ascii="Times New Roman" w:eastAsia="標楷體" w:hAnsi="Times New Roman"/>
          <w:b/>
          <w:color w:val="000000"/>
          <w:sz w:val="32"/>
          <w:szCs w:val="32"/>
        </w:rPr>
        <w:t>30</w:t>
      </w:r>
      <w:r w:rsidRPr="00045F70">
        <w:rPr>
          <w:rFonts w:ascii="Times New Roman" w:eastAsia="標楷體" w:hAnsi="Times New Roman"/>
          <w:b/>
          <w:color w:val="000000"/>
          <w:sz w:val="32"/>
          <w:szCs w:val="32"/>
        </w:rPr>
        <w:t>名經濟體排名變動</w:t>
      </w:r>
    </w:p>
    <w:tbl>
      <w:tblPr>
        <w:tblW w:w="9178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764"/>
        <w:gridCol w:w="2764"/>
        <w:gridCol w:w="2090"/>
      </w:tblGrid>
      <w:tr w:rsidR="00045F70" w:rsidRPr="00045F70" w:rsidTr="00045F70">
        <w:trPr>
          <w:trHeight w:val="420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36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360" w:lineRule="exact"/>
              <w:ind w:right="-301" w:firstLineChars="265" w:firstLine="743"/>
              <w:outlineLvl w:val="0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2016</w:t>
            </w:r>
            <w:r w:rsidRPr="00045F70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7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5F70" w:rsidRPr="00045F70" w:rsidRDefault="00045F70" w:rsidP="00045F70">
            <w:pPr>
              <w:snapToGrid w:val="0"/>
              <w:spacing w:line="360" w:lineRule="exact"/>
              <w:ind w:firstLineChars="265" w:firstLine="743"/>
              <w:outlineLvl w:val="0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2015</w:t>
            </w:r>
            <w:r w:rsidRPr="00045F70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360" w:lineRule="exact"/>
              <w:ind w:firstLineChars="265" w:firstLine="743"/>
              <w:outlineLvl w:val="0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變動</w:t>
            </w:r>
          </w:p>
        </w:tc>
      </w:tr>
      <w:tr w:rsidR="00045F70" w:rsidRPr="00045F70" w:rsidTr="00045F70">
        <w:trPr>
          <w:trHeight w:val="390"/>
        </w:trPr>
        <w:tc>
          <w:tcPr>
            <w:tcW w:w="156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4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紐西蘭</w:t>
            </w:r>
          </w:p>
        </w:tc>
        <w:tc>
          <w:tcPr>
            <w:tcW w:w="276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55" w:right="-301" w:hangingChars="14" w:hanging="39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新加坡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5F70" w:rsidRPr="00045F70" w:rsidTr="00045F70">
        <w:trPr>
          <w:trHeight w:val="34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新加坡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55" w:right="-301" w:hangingChars="14" w:hanging="39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紐西蘭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5F70" w:rsidRPr="00045F70" w:rsidTr="00045F70">
        <w:trPr>
          <w:trHeight w:val="43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丹麥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55" w:right="-301" w:hangingChars="14" w:hanging="39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丹麥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持平</w:t>
            </w:r>
          </w:p>
        </w:tc>
      </w:tr>
      <w:tr w:rsidR="00045F70" w:rsidRPr="00045F70" w:rsidTr="00045F70">
        <w:trPr>
          <w:trHeight w:val="36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香港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55" w:right="-301" w:hangingChars="14" w:hanging="39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韓國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5F70" w:rsidRPr="00045F70" w:rsidTr="00045F70">
        <w:trPr>
          <w:trHeight w:val="38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韓國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55" w:right="-301" w:hangingChars="14" w:hanging="39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香港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5F70" w:rsidRPr="00045F70" w:rsidTr="00045F70">
        <w:trPr>
          <w:trHeight w:val="41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挪威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55" w:right="-301" w:hangingChars="14" w:hanging="39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英國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45F70" w:rsidRPr="00045F70" w:rsidTr="00045F70">
        <w:trPr>
          <w:trHeight w:val="27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英國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55" w:right="-301" w:hangingChars="14" w:hanging="39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美國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5F70" w:rsidRPr="00045F70" w:rsidTr="00045F70">
        <w:trPr>
          <w:trHeight w:val="29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美國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55" w:right="-301" w:hangingChars="14" w:hanging="39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瑞典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5F70" w:rsidRPr="00045F70" w:rsidTr="00045F70">
        <w:trPr>
          <w:trHeight w:val="157"/>
        </w:trPr>
        <w:tc>
          <w:tcPr>
            <w:tcW w:w="1560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76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瑞典</w:t>
            </w:r>
          </w:p>
        </w:tc>
        <w:tc>
          <w:tcPr>
            <w:tcW w:w="276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55" w:right="-301" w:hangingChars="14" w:hanging="39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挪威</w:t>
            </w:r>
          </w:p>
        </w:tc>
        <w:tc>
          <w:tcPr>
            <w:tcW w:w="2090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5F70" w:rsidRPr="00045F70" w:rsidTr="00045F70">
        <w:trPr>
          <w:trHeight w:val="311"/>
        </w:trPr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6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馬其頓</w:t>
            </w:r>
          </w:p>
        </w:tc>
        <w:tc>
          <w:tcPr>
            <w:tcW w:w="276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55" w:right="-301" w:hangingChars="14" w:hanging="39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芬蘭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45F70" w:rsidRPr="00045F70" w:rsidTr="00045F70">
        <w:trPr>
          <w:trHeight w:val="187"/>
        </w:trPr>
        <w:tc>
          <w:tcPr>
            <w:tcW w:w="156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3"/>
              <w:outlineLvl w:val="0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  <w:t>11</w:t>
            </w:r>
          </w:p>
        </w:tc>
        <w:tc>
          <w:tcPr>
            <w:tcW w:w="2764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  <w:t>臺灣</w:t>
            </w:r>
          </w:p>
        </w:tc>
        <w:tc>
          <w:tcPr>
            <w:tcW w:w="276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55" w:right="-301" w:hangingChars="14" w:hanging="39"/>
              <w:jc w:val="center"/>
              <w:outlineLvl w:val="0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  <w:t>臺灣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  <w:t>持平</w:t>
            </w:r>
          </w:p>
        </w:tc>
      </w:tr>
      <w:tr w:rsidR="00045F70" w:rsidRPr="00045F70" w:rsidTr="00045F70">
        <w:trPr>
          <w:trHeight w:val="20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愛沙尼亞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馬其頓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45F70" w:rsidRPr="00045F70" w:rsidTr="00045F70">
        <w:trPr>
          <w:trHeight w:val="42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芬蘭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澳洲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45F70" w:rsidRPr="00045F70" w:rsidTr="00045F70">
        <w:trPr>
          <w:trHeight w:val="201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拉脫維亞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加拿大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CB34AB" w:rsidP="00CB34AB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CB34AB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＋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45F70" w:rsidRPr="00045F70" w:rsidTr="00045F70">
        <w:trPr>
          <w:trHeight w:val="222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澳洲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德國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45F70" w:rsidRPr="00045F70" w:rsidTr="00045F70">
        <w:trPr>
          <w:trHeight w:val="241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喬治亞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愛沙尼亞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45F70" w:rsidRPr="00045F70" w:rsidTr="00045F70">
        <w:trPr>
          <w:trHeight w:val="247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德國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愛爾蘭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45F70" w:rsidRPr="00045F70" w:rsidTr="00045F70">
        <w:trPr>
          <w:trHeight w:val="267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愛爾蘭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馬來西亞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5F70" w:rsidRPr="00045F70" w:rsidTr="00045F70">
        <w:trPr>
          <w:trHeight w:val="287"/>
        </w:trPr>
        <w:tc>
          <w:tcPr>
            <w:tcW w:w="1560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6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奧地利</w:t>
            </w:r>
          </w:p>
        </w:tc>
        <w:tc>
          <w:tcPr>
            <w:tcW w:w="276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冰島</w:t>
            </w:r>
          </w:p>
        </w:tc>
        <w:tc>
          <w:tcPr>
            <w:tcW w:w="2090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45F70" w:rsidRPr="00045F70" w:rsidTr="00045F70">
        <w:trPr>
          <w:trHeight w:val="293"/>
        </w:trPr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6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冰島</w:t>
            </w:r>
          </w:p>
        </w:tc>
        <w:tc>
          <w:tcPr>
            <w:tcW w:w="276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立陶宛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5F70" w:rsidRPr="00045F70" w:rsidTr="00045F70">
        <w:trPr>
          <w:trHeight w:val="303"/>
        </w:trPr>
        <w:tc>
          <w:tcPr>
            <w:tcW w:w="156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64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立陶宛</w:t>
            </w:r>
          </w:p>
        </w:tc>
        <w:tc>
          <w:tcPr>
            <w:tcW w:w="276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奧地利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5F70" w:rsidRPr="00045F70" w:rsidTr="00045F70">
        <w:trPr>
          <w:trHeight w:val="31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加拿大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拉脫維亞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45F70" w:rsidRPr="00045F70" w:rsidTr="00045F70">
        <w:trPr>
          <w:trHeight w:val="197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馬來西亞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葡萄牙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45F70" w:rsidRPr="00045F70" w:rsidTr="00045F70">
        <w:trPr>
          <w:trHeight w:val="20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波蘭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喬治亞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5F70" w:rsidRPr="00045F70" w:rsidTr="00045F70">
        <w:trPr>
          <w:trHeight w:val="22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葡萄牙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波蘭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45F70" w:rsidRPr="00045F70" w:rsidTr="00045F70">
        <w:trPr>
          <w:trHeight w:val="243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阿拉伯聯合大公國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瑞士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45F70" w:rsidRPr="00045F70" w:rsidTr="00045F70">
        <w:trPr>
          <w:trHeight w:val="24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捷克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法國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045F70" w:rsidRPr="00045F70" w:rsidTr="00045F70">
        <w:trPr>
          <w:trHeight w:val="26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荷蘭</w:t>
            </w:r>
          </w:p>
        </w:tc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荷蘭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持平</w:t>
            </w:r>
          </w:p>
        </w:tc>
      </w:tr>
      <w:tr w:rsidR="00045F70" w:rsidRPr="00045F70" w:rsidTr="00045F70">
        <w:trPr>
          <w:trHeight w:val="148"/>
        </w:trPr>
        <w:tc>
          <w:tcPr>
            <w:tcW w:w="1560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6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法國</w:t>
            </w:r>
          </w:p>
        </w:tc>
        <w:tc>
          <w:tcPr>
            <w:tcW w:w="276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斯</w:t>
            </w:r>
            <w:proofErr w:type="gramStart"/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洛</w:t>
            </w:r>
            <w:proofErr w:type="gramEnd"/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伐克</w:t>
            </w:r>
          </w:p>
        </w:tc>
        <w:tc>
          <w:tcPr>
            <w:tcW w:w="2090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45F70" w:rsidRPr="00045F70" w:rsidTr="00045F70">
        <w:trPr>
          <w:trHeight w:val="159"/>
        </w:trPr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 w:firstLineChars="265" w:firstLine="742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6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斯洛維尼亞</w:t>
            </w:r>
          </w:p>
        </w:tc>
        <w:tc>
          <w:tcPr>
            <w:tcW w:w="276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leftChars="-39" w:left="-94"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斯洛維尼亞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napToGrid w:val="0"/>
              <w:spacing w:line="400" w:lineRule="exact"/>
              <w:ind w:right="-301"/>
              <w:jc w:val="center"/>
              <w:outlineLvl w:val="0"/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持平</w:t>
            </w:r>
          </w:p>
        </w:tc>
      </w:tr>
    </w:tbl>
    <w:p w:rsidR="00045F70" w:rsidRPr="004B4FF8" w:rsidRDefault="00045F70" w:rsidP="00045F70">
      <w:pPr>
        <w:spacing w:line="440" w:lineRule="exact"/>
        <w:rPr>
          <w:rFonts w:ascii="Times New Roman" w:eastAsia="標楷體" w:hAnsi="Times New Roman"/>
          <w:b/>
          <w:bCs/>
          <w:sz w:val="32"/>
          <w:szCs w:val="32"/>
        </w:rPr>
      </w:pPr>
      <w:r w:rsidRPr="004B4FF8">
        <w:rPr>
          <w:rFonts w:ascii="Times New Roman" w:eastAsia="標楷體" w:hAnsi="Times New Roman"/>
        </w:rPr>
        <w:t>資料來源：</w:t>
      </w:r>
      <w:r w:rsidRPr="004B4FF8">
        <w:rPr>
          <w:rFonts w:ascii="Times New Roman" w:eastAsia="標楷體" w:hAnsi="Times New Roman"/>
        </w:rPr>
        <w:t>World Bank, “Doing Business 2017”&amp;“Doing Business 2016”</w:t>
      </w:r>
    </w:p>
    <w:p w:rsidR="00045F70" w:rsidRPr="00045F70" w:rsidRDefault="00045F70" w:rsidP="00045F70">
      <w:pPr>
        <w:spacing w:beforeLines="50" w:before="180" w:line="400" w:lineRule="exac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 w:rsidRPr="00045F70">
        <w:rPr>
          <w:rFonts w:ascii="Times New Roman" w:eastAsia="標楷體" w:hAnsi="Times New Roman"/>
          <w:b/>
          <w:bCs/>
          <w:color w:val="000000"/>
          <w:sz w:val="32"/>
          <w:szCs w:val="32"/>
        </w:rPr>
        <w:lastRenderedPageBreak/>
        <w:t>表</w:t>
      </w:r>
      <w:r w:rsidRPr="00045F70">
        <w:rPr>
          <w:rFonts w:ascii="Times New Roman" w:eastAsia="標楷體" w:hAnsi="Times New Roman"/>
          <w:b/>
          <w:bCs/>
          <w:color w:val="000000"/>
          <w:sz w:val="32"/>
          <w:szCs w:val="32"/>
        </w:rPr>
        <w:t xml:space="preserve">2  </w:t>
      </w:r>
      <w:r w:rsidRPr="00045F70">
        <w:rPr>
          <w:rFonts w:ascii="Times New Roman" w:eastAsia="標楷體" w:hAnsi="Times New Roman"/>
          <w:b/>
          <w:bCs/>
          <w:color w:val="000000"/>
          <w:sz w:val="32"/>
          <w:szCs w:val="32"/>
        </w:rPr>
        <w:t>《</w:t>
      </w:r>
      <w:r w:rsidRPr="00045F70">
        <w:rPr>
          <w:rFonts w:ascii="Times New Roman" w:eastAsia="標楷體" w:hAnsi="Times New Roman"/>
          <w:b/>
          <w:bCs/>
          <w:color w:val="000000"/>
          <w:sz w:val="32"/>
          <w:szCs w:val="32"/>
        </w:rPr>
        <w:t>2017</w:t>
      </w:r>
      <w:r w:rsidRPr="00045F70">
        <w:rPr>
          <w:rFonts w:ascii="Times New Roman" w:eastAsia="標楷體" w:hAnsi="Times New Roman"/>
          <w:b/>
          <w:bCs/>
          <w:color w:val="000000"/>
          <w:sz w:val="32"/>
          <w:szCs w:val="32"/>
        </w:rPr>
        <w:t>經商環境報告》臺灣指標排名變動</w:t>
      </w:r>
    </w:p>
    <w:p w:rsidR="00045F70" w:rsidRPr="00045F70" w:rsidRDefault="00045F70" w:rsidP="00045F70">
      <w:pPr>
        <w:spacing w:line="400" w:lineRule="exact"/>
        <w:jc w:val="right"/>
        <w:rPr>
          <w:rFonts w:ascii="Times New Roman" w:eastAsia="標楷體" w:hAnsi="Times New Roman"/>
          <w:bCs/>
          <w:color w:val="000000"/>
          <w:sz w:val="28"/>
          <w:szCs w:val="28"/>
        </w:rPr>
      </w:pPr>
    </w:p>
    <w:tbl>
      <w:tblPr>
        <w:tblStyle w:val="ac"/>
        <w:tblW w:w="907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9"/>
        <w:gridCol w:w="2562"/>
        <w:gridCol w:w="2221"/>
        <w:gridCol w:w="1795"/>
        <w:gridCol w:w="1796"/>
      </w:tblGrid>
      <w:tr w:rsidR="00045F70" w:rsidRPr="00045F70" w:rsidTr="00045F70">
        <w:trPr>
          <w:trHeight w:val="835"/>
        </w:trPr>
        <w:tc>
          <w:tcPr>
            <w:tcW w:w="32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color w:val="000000"/>
                <w:spacing w:val="-2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00"/>
                <w:spacing w:val="-20"/>
                <w:sz w:val="32"/>
                <w:szCs w:val="32"/>
              </w:rPr>
              <w:t>發布年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2016</w:t>
            </w: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年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2015</w:t>
            </w: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年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變動</w:t>
            </w:r>
          </w:p>
        </w:tc>
      </w:tr>
      <w:tr w:rsidR="00045F70" w:rsidRPr="00045F70" w:rsidTr="00045F70">
        <w:trPr>
          <w:trHeight w:val="910"/>
        </w:trPr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5F70" w:rsidRPr="00045F70" w:rsidRDefault="00045F70" w:rsidP="00045F7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經商容易度</w:t>
            </w: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EoDB</w:t>
            </w:r>
            <w:proofErr w:type="spellEnd"/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)</w:t>
            </w:r>
          </w:p>
          <w:p w:rsidR="00045F70" w:rsidRPr="00045F70" w:rsidRDefault="00045F70" w:rsidP="00045F7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全球排名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持平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開辦企業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  <w:t>19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C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C00000"/>
                <w:sz w:val="32"/>
                <w:szCs w:val="32"/>
              </w:rPr>
              <w:t>＋</w:t>
            </w:r>
            <w:r w:rsidRPr="00045F70">
              <w:rPr>
                <w:rFonts w:ascii="Times New Roman" w:eastAsia="標楷體" w:hAnsi="Times New Roman"/>
                <w:b/>
                <w:color w:val="C00000"/>
                <w:sz w:val="32"/>
                <w:szCs w:val="32"/>
              </w:rPr>
              <w:t xml:space="preserve"> 3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申請建築許可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ind w:rightChars="-13" w:right="-31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  <w:t>3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ind w:rightChars="-13" w:right="-31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＋</w:t>
            </w: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 3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電力取得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  <w:t>2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持平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財產登記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  <w:t>17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  <w:t>＋</w:t>
            </w: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 1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獲得信貸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  <w:t>62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C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C00000"/>
                <w:sz w:val="32"/>
                <w:szCs w:val="32"/>
              </w:rPr>
              <w:t>－</w:t>
            </w:r>
            <w:r w:rsidRPr="00045F70">
              <w:rPr>
                <w:rFonts w:ascii="Times New Roman" w:eastAsia="標楷體" w:hAnsi="Times New Roman"/>
                <w:color w:val="C00000"/>
                <w:sz w:val="32"/>
                <w:szCs w:val="32"/>
              </w:rPr>
              <w:t xml:space="preserve"> 3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保護少數股東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  <w:t>22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＋</w:t>
            </w: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 3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繳納稅款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  <w:t>30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  <w:t>＋</w:t>
            </w: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 9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跨境貿易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  <w:t>68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－</w:t>
            </w: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 xml:space="preserve"> 3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執行契約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  <w:t>14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  <w:t>＋</w:t>
            </w:r>
            <w:r w:rsidRPr="00045F70"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  <w:t xml:space="preserve"> </w:t>
            </w:r>
            <w:r w:rsidRPr="00045F70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2</w:t>
            </w:r>
          </w:p>
        </w:tc>
      </w:tr>
      <w:tr w:rsidR="00045F70" w:rsidRPr="00045F70" w:rsidTr="00045F70">
        <w:trPr>
          <w:trHeight w:val="924"/>
        </w:trPr>
        <w:tc>
          <w:tcPr>
            <w:tcW w:w="69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6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破產處理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32"/>
                <w:szCs w:val="32"/>
              </w:rPr>
              <w:t>22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－</w:t>
            </w:r>
            <w:r w:rsidRPr="00045F70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 xml:space="preserve"> 1</w:t>
            </w:r>
          </w:p>
        </w:tc>
      </w:tr>
    </w:tbl>
    <w:p w:rsidR="00045F70" w:rsidRDefault="00045F70" w:rsidP="00045F70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  <w:sectPr w:rsidR="00045F70" w:rsidSect="00045F70">
          <w:footerReference w:type="default" r:id="rId11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045F70">
        <w:rPr>
          <w:rFonts w:ascii="Times New Roman" w:eastAsia="標楷體" w:hAnsi="Times New Roman"/>
          <w:color w:val="000000"/>
          <w:sz w:val="28"/>
          <w:szCs w:val="28"/>
        </w:rPr>
        <w:t>資料來源：</w:t>
      </w:r>
      <w:r w:rsidRPr="00045F70">
        <w:rPr>
          <w:rFonts w:ascii="Times New Roman" w:eastAsia="標楷體" w:hAnsi="Times New Roman"/>
          <w:color w:val="000000"/>
          <w:sz w:val="28"/>
          <w:szCs w:val="28"/>
        </w:rPr>
        <w:t>World Bank, “Doing Business 2017”&amp;“Doing Business 2016”</w:t>
      </w:r>
    </w:p>
    <w:p w:rsidR="00045F70" w:rsidRPr="00045F70" w:rsidRDefault="00045F70" w:rsidP="00045F70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45F70">
        <w:rPr>
          <w:rFonts w:ascii="Times New Roman" w:eastAsia="標楷體" w:hAnsi="Times New Roman"/>
          <w:b/>
          <w:sz w:val="32"/>
          <w:szCs w:val="32"/>
        </w:rPr>
        <w:lastRenderedPageBreak/>
        <w:t>表</w:t>
      </w:r>
      <w:r w:rsidRPr="00045F70">
        <w:rPr>
          <w:rFonts w:ascii="Times New Roman" w:eastAsia="標楷體" w:hAnsi="Times New Roman"/>
          <w:b/>
          <w:sz w:val="32"/>
          <w:szCs w:val="32"/>
        </w:rPr>
        <w:t xml:space="preserve">3  </w:t>
      </w:r>
      <w:r w:rsidRPr="00045F70">
        <w:rPr>
          <w:rFonts w:ascii="Times New Roman" w:eastAsia="標楷體" w:hAnsi="Times New Roman"/>
          <w:b/>
          <w:sz w:val="32"/>
          <w:szCs w:val="32"/>
        </w:rPr>
        <w:t>近</w:t>
      </w:r>
      <w:r w:rsidRPr="00045F70">
        <w:rPr>
          <w:rFonts w:ascii="Times New Roman" w:eastAsia="標楷體" w:hAnsi="Times New Roman"/>
          <w:b/>
          <w:sz w:val="32"/>
          <w:szCs w:val="32"/>
        </w:rPr>
        <w:t>8</w:t>
      </w:r>
      <w:r w:rsidRPr="00045F70">
        <w:rPr>
          <w:rFonts w:ascii="Times New Roman" w:eastAsia="標楷體" w:hAnsi="Times New Roman"/>
          <w:b/>
          <w:sz w:val="32"/>
          <w:szCs w:val="32"/>
        </w:rPr>
        <w:t>年臺灣經商環境改革排名變動</w:t>
      </w:r>
    </w:p>
    <w:tbl>
      <w:tblPr>
        <w:tblStyle w:val="ac"/>
        <w:tblW w:w="148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915"/>
        <w:gridCol w:w="1228"/>
        <w:gridCol w:w="1228"/>
        <w:gridCol w:w="1229"/>
        <w:gridCol w:w="1228"/>
        <w:gridCol w:w="1229"/>
        <w:gridCol w:w="1228"/>
        <w:gridCol w:w="1229"/>
        <w:gridCol w:w="1228"/>
        <w:gridCol w:w="1229"/>
        <w:gridCol w:w="1418"/>
      </w:tblGrid>
      <w:tr w:rsidR="00045F70" w:rsidRPr="00045F70" w:rsidTr="00045F70">
        <w:trPr>
          <w:trHeight w:val="45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經商環境報告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5F70" w:rsidRPr="00045F70" w:rsidRDefault="00045F70" w:rsidP="00045F70">
            <w:pPr>
              <w:spacing w:line="50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DB2017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5F70" w:rsidRPr="00045F70" w:rsidRDefault="00045F70" w:rsidP="00045F70">
            <w:pPr>
              <w:spacing w:line="500" w:lineRule="exact"/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pacing w:val="-2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DB2016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ind w:leftChars="-45" w:left="-108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DB2015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ind w:leftChars="-45" w:lef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DB2014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ind w:leftChars="-43" w:left="-10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DB2013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ind w:leftChars="-47" w:left="-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DB2012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ind w:leftChars="-45" w:lef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DB2011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ind w:leftChars="-45" w:lef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DB2010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ind w:leftChars="-45" w:lef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DB2009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pacing w:val="-2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pacing w:val="-20"/>
                <w:sz w:val="28"/>
                <w:szCs w:val="28"/>
              </w:rPr>
              <w:t>8</w:t>
            </w:r>
            <w:r w:rsidRPr="00045F70">
              <w:rPr>
                <w:rFonts w:ascii="Times New Roman" w:eastAsia="標楷體" w:hAnsi="Times New Roman"/>
                <w:spacing w:val="-20"/>
                <w:sz w:val="28"/>
                <w:szCs w:val="28"/>
              </w:rPr>
              <w:t>年</w:t>
            </w:r>
          </w:p>
          <w:p w:rsidR="00045F70" w:rsidRPr="00045F70" w:rsidRDefault="00045F70" w:rsidP="00045F70">
            <w:pPr>
              <w:spacing w:line="500" w:lineRule="exact"/>
              <w:ind w:leftChars="-58" w:left="-139"/>
              <w:jc w:val="center"/>
              <w:rPr>
                <w:rFonts w:ascii="Times New Roman" w:eastAsia="標楷體" w:hAnsi="Times New Roman"/>
                <w:spacing w:val="-2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pacing w:val="-20"/>
                <w:sz w:val="28"/>
                <w:szCs w:val="28"/>
              </w:rPr>
              <w:t>改革變動</w:t>
            </w:r>
          </w:p>
        </w:tc>
      </w:tr>
      <w:tr w:rsidR="00045F70" w:rsidRPr="00045F70" w:rsidTr="00045F70">
        <w:trPr>
          <w:trHeight w:val="312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發布年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2016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2013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2012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2011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2010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2009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ind w:leftChars="-5" w:left="-1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2008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45F70" w:rsidRPr="00045F70" w:rsidTr="00045F70">
        <w:trPr>
          <w:trHeight w:val="567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proofErr w:type="spellStart"/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EoDB</w:t>
            </w:r>
            <w:proofErr w:type="spellEnd"/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全球排名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33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46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50</w:t>
            </w:r>
          </w:p>
        </w:tc>
      </w:tr>
      <w:tr w:rsidR="00045F70" w:rsidRPr="00045F70" w:rsidTr="00045F70">
        <w:trPr>
          <w:trHeight w:val="644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ind w:leftChars="-1" w:left="-2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開辦企業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19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24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100</w:t>
            </w:r>
          </w:p>
        </w:tc>
      </w:tr>
      <w:tr w:rsidR="00045F70" w:rsidRPr="00045F70" w:rsidTr="00045F70">
        <w:trPr>
          <w:trHeight w:val="644"/>
        </w:trPr>
        <w:tc>
          <w:tcPr>
            <w:tcW w:w="496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申請建築許可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ind w:rightChars="-13" w:right="-31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ind w:rightChars="-13" w:right="-31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87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95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97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127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124</w:t>
            </w:r>
          </w:p>
        </w:tc>
      </w:tr>
      <w:tr w:rsidR="00045F70" w:rsidRPr="00045F70" w:rsidTr="00045F70">
        <w:trPr>
          <w:trHeight w:val="644"/>
        </w:trPr>
        <w:tc>
          <w:tcPr>
            <w:tcW w:w="496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電力取得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2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1229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</w:tr>
      <w:tr w:rsidR="00045F70" w:rsidRPr="00045F70" w:rsidTr="00045F70">
        <w:trPr>
          <w:trHeight w:val="644"/>
        </w:trPr>
        <w:tc>
          <w:tcPr>
            <w:tcW w:w="496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財產登記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17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31</w:t>
            </w:r>
          </w:p>
        </w:tc>
        <w:tc>
          <w:tcPr>
            <w:tcW w:w="1229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32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33</w:t>
            </w:r>
          </w:p>
        </w:tc>
        <w:tc>
          <w:tcPr>
            <w:tcW w:w="1229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32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30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</w:tr>
      <w:tr w:rsidR="00045F70" w:rsidRPr="00045F70" w:rsidTr="00045F70">
        <w:trPr>
          <w:trHeight w:val="644"/>
        </w:trPr>
        <w:tc>
          <w:tcPr>
            <w:tcW w:w="496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獲得信貸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62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73</w:t>
            </w:r>
          </w:p>
        </w:tc>
        <w:tc>
          <w:tcPr>
            <w:tcW w:w="1229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70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67</w:t>
            </w:r>
          </w:p>
        </w:tc>
        <w:tc>
          <w:tcPr>
            <w:tcW w:w="1229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72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71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 w:hint="eastAsia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</w:tr>
      <w:tr w:rsidR="00045F70" w:rsidRPr="00045F70" w:rsidTr="00045F70">
        <w:trPr>
          <w:trHeight w:val="644"/>
        </w:trPr>
        <w:tc>
          <w:tcPr>
            <w:tcW w:w="496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保護少數股東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22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34</w:t>
            </w:r>
          </w:p>
        </w:tc>
        <w:tc>
          <w:tcPr>
            <w:tcW w:w="1229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32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79</w:t>
            </w:r>
          </w:p>
        </w:tc>
        <w:tc>
          <w:tcPr>
            <w:tcW w:w="1229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74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73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48</w:t>
            </w:r>
          </w:p>
        </w:tc>
      </w:tr>
      <w:tr w:rsidR="00045F70" w:rsidRPr="00045F70" w:rsidTr="00045F70">
        <w:trPr>
          <w:trHeight w:val="644"/>
        </w:trPr>
        <w:tc>
          <w:tcPr>
            <w:tcW w:w="496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繳納稅款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30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58</w:t>
            </w:r>
          </w:p>
        </w:tc>
        <w:tc>
          <w:tcPr>
            <w:tcW w:w="1229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54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71</w:t>
            </w:r>
          </w:p>
        </w:tc>
        <w:tc>
          <w:tcPr>
            <w:tcW w:w="1229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87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92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70</w:t>
            </w:r>
          </w:p>
        </w:tc>
      </w:tr>
      <w:tr w:rsidR="00045F70" w:rsidRPr="00045F70" w:rsidTr="00045F70">
        <w:trPr>
          <w:trHeight w:val="644"/>
        </w:trPr>
        <w:tc>
          <w:tcPr>
            <w:tcW w:w="496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跨境貿易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68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</w:p>
        </w:tc>
        <w:tc>
          <w:tcPr>
            <w:tcW w:w="1229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23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23</w:t>
            </w:r>
          </w:p>
        </w:tc>
        <w:tc>
          <w:tcPr>
            <w:tcW w:w="1229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</w:p>
        </w:tc>
        <w:tc>
          <w:tcPr>
            <w:tcW w:w="1228" w:type="dxa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33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38</w:t>
            </w:r>
          </w:p>
        </w:tc>
      </w:tr>
      <w:tr w:rsidR="00045F70" w:rsidRPr="00045F70" w:rsidTr="00045F70">
        <w:trPr>
          <w:trHeight w:val="644"/>
        </w:trPr>
        <w:tc>
          <w:tcPr>
            <w:tcW w:w="496" w:type="dxa"/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執行契約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14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84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90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88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90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90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88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＋</w:t>
            </w: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74</w:t>
            </w:r>
          </w:p>
        </w:tc>
      </w:tr>
      <w:tr w:rsidR="00045F70" w:rsidRPr="00045F70" w:rsidTr="00045F70">
        <w:trPr>
          <w:trHeight w:val="644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破產處理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b/>
                <w:color w:val="0000CC"/>
                <w:sz w:val="28"/>
                <w:szCs w:val="28"/>
              </w:rPr>
              <w:t>22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F70" w:rsidRPr="00045F70" w:rsidRDefault="00045F70" w:rsidP="00045F7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045F70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</w:tr>
    </w:tbl>
    <w:p w:rsidR="00045F70" w:rsidRPr="00045F70" w:rsidRDefault="00045F70" w:rsidP="00045F70">
      <w:pPr>
        <w:spacing w:line="500" w:lineRule="exact"/>
        <w:rPr>
          <w:rFonts w:ascii="Times New Roman" w:eastAsia="標楷體" w:hAnsi="Times New Roman"/>
          <w:szCs w:val="24"/>
        </w:rPr>
      </w:pPr>
      <w:r w:rsidRPr="00045F70">
        <w:rPr>
          <w:rFonts w:ascii="Times New Roman" w:eastAsia="標楷體" w:hAnsi="Times New Roman"/>
          <w:szCs w:val="24"/>
        </w:rPr>
        <w:t>附註：</w:t>
      </w:r>
      <w:r w:rsidRPr="00045F70">
        <w:rPr>
          <w:rFonts w:ascii="Times New Roman" w:eastAsia="標楷體" w:hAnsi="Times New Roman"/>
          <w:szCs w:val="24"/>
        </w:rPr>
        <w:sym w:font="Wingdings" w:char="F081"/>
      </w:r>
      <w:proofErr w:type="spellStart"/>
      <w:r w:rsidRPr="00045F70">
        <w:rPr>
          <w:rFonts w:ascii="Times New Roman" w:eastAsia="標楷體" w:hAnsi="Times New Roman"/>
          <w:szCs w:val="24"/>
        </w:rPr>
        <w:t>EoDB</w:t>
      </w:r>
      <w:proofErr w:type="spellEnd"/>
      <w:r w:rsidRPr="00045F70">
        <w:rPr>
          <w:rFonts w:ascii="Times New Roman" w:eastAsia="標楷體" w:hAnsi="Times New Roman"/>
          <w:szCs w:val="24"/>
        </w:rPr>
        <w:t>全球排名及各指標排名，以世界銀行當年發布《經商環境報告》為</w:t>
      </w:r>
      <w:proofErr w:type="gramStart"/>
      <w:r w:rsidRPr="00045F70">
        <w:rPr>
          <w:rFonts w:ascii="Times New Roman" w:eastAsia="標楷體" w:hAnsi="Times New Roman"/>
          <w:szCs w:val="24"/>
        </w:rPr>
        <w:t>準</w:t>
      </w:r>
      <w:proofErr w:type="gramEnd"/>
      <w:r w:rsidRPr="00045F70">
        <w:rPr>
          <w:rFonts w:ascii="Times New Roman" w:eastAsia="標楷體" w:hAnsi="Times New Roman"/>
          <w:szCs w:val="24"/>
        </w:rPr>
        <w:t>。</w:t>
      </w:r>
    </w:p>
    <w:p w:rsidR="006560A8" w:rsidRPr="00045F70" w:rsidRDefault="00045F70" w:rsidP="00045F70">
      <w:pPr>
        <w:spacing w:line="500" w:lineRule="exact"/>
        <w:ind w:leftChars="295" w:left="708"/>
        <w:rPr>
          <w:rFonts w:ascii="Times New Roman" w:eastAsia="標楷體" w:hAnsi="Times New Roman"/>
          <w:sz w:val="28"/>
          <w:szCs w:val="28"/>
        </w:rPr>
      </w:pPr>
      <w:r w:rsidRPr="00045F70">
        <w:rPr>
          <w:rFonts w:ascii="Times New Roman" w:hAnsi="Times New Roman"/>
        </w:rPr>
        <w:sym w:font="Wingdings" w:char="F082"/>
      </w:r>
      <w:r w:rsidRPr="00045F70">
        <w:rPr>
          <w:rFonts w:ascii="Times New Roman" w:eastAsia="標楷體" w:hAnsi="Times New Roman"/>
          <w:szCs w:val="24"/>
        </w:rPr>
        <w:t>「電力取得」指標，世界銀行自</w:t>
      </w:r>
      <w:r w:rsidRPr="00045F70">
        <w:rPr>
          <w:rFonts w:ascii="Times New Roman" w:eastAsia="標楷體" w:hAnsi="Times New Roman"/>
          <w:szCs w:val="24"/>
        </w:rPr>
        <w:t>2011</w:t>
      </w:r>
      <w:r w:rsidRPr="00045F70">
        <w:rPr>
          <w:rFonts w:ascii="Times New Roman" w:eastAsia="標楷體" w:hAnsi="Times New Roman"/>
          <w:szCs w:val="24"/>
        </w:rPr>
        <w:t>年發布第</w:t>
      </w:r>
      <w:r w:rsidRPr="00045F70">
        <w:rPr>
          <w:rFonts w:ascii="Times New Roman" w:eastAsia="標楷體" w:hAnsi="Times New Roman"/>
          <w:szCs w:val="24"/>
        </w:rPr>
        <w:t>1</w:t>
      </w:r>
      <w:r w:rsidRPr="00045F70">
        <w:rPr>
          <w:rFonts w:ascii="Times New Roman" w:eastAsia="標楷體" w:hAnsi="Times New Roman"/>
          <w:szCs w:val="24"/>
        </w:rPr>
        <w:t>次評比調查。</w:t>
      </w:r>
    </w:p>
    <w:sectPr w:rsidR="006560A8" w:rsidRPr="00045F70" w:rsidSect="00045F70">
      <w:pgSz w:w="16838" w:h="11906" w:orient="landscape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6F" w:rsidRDefault="0094216F" w:rsidP="00D753B4">
      <w:r>
        <w:separator/>
      </w:r>
    </w:p>
  </w:endnote>
  <w:endnote w:type="continuationSeparator" w:id="0">
    <w:p w:rsidR="0094216F" w:rsidRDefault="0094216F" w:rsidP="00D7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733947"/>
      <w:docPartObj>
        <w:docPartGallery w:val="Page Numbers (Bottom of Page)"/>
        <w:docPartUnique/>
      </w:docPartObj>
    </w:sdtPr>
    <w:sdtEndPr/>
    <w:sdtContent>
      <w:p w:rsidR="00045F70" w:rsidRDefault="00045F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F2C" w:rsidRPr="00EF6F2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045F70" w:rsidRDefault="00045F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6F" w:rsidRDefault="0094216F" w:rsidP="00D753B4">
      <w:r>
        <w:separator/>
      </w:r>
    </w:p>
  </w:footnote>
  <w:footnote w:type="continuationSeparator" w:id="0">
    <w:p w:rsidR="0094216F" w:rsidRDefault="0094216F" w:rsidP="00D7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pt;height:8.5pt" o:bullet="t">
        <v:imagedata r:id="rId1" o:title="BD10254_"/>
      </v:shape>
    </w:pict>
  </w:numPicBullet>
  <w:abstractNum w:abstractNumId="0">
    <w:nsid w:val="101368B0"/>
    <w:multiLevelType w:val="hybridMultilevel"/>
    <w:tmpl w:val="065EAA0A"/>
    <w:lvl w:ilvl="0" w:tplc="0409000B">
      <w:start w:val="1"/>
      <w:numFmt w:val="bullet"/>
      <w:lvlText w:val="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">
    <w:nsid w:val="143E3B90"/>
    <w:multiLevelType w:val="hybridMultilevel"/>
    <w:tmpl w:val="44F243F2"/>
    <w:lvl w:ilvl="0" w:tplc="1EC4BE0A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F84D9E"/>
    <w:multiLevelType w:val="hybridMultilevel"/>
    <w:tmpl w:val="BA62D562"/>
    <w:lvl w:ilvl="0" w:tplc="874E66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AA07C4"/>
    <w:multiLevelType w:val="hybridMultilevel"/>
    <w:tmpl w:val="6E2A9E10"/>
    <w:lvl w:ilvl="0" w:tplc="FB94FD96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B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D8B5A2F"/>
    <w:multiLevelType w:val="hybridMultilevel"/>
    <w:tmpl w:val="59126E52"/>
    <w:lvl w:ilvl="0" w:tplc="7E585EF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740510"/>
    <w:multiLevelType w:val="hybridMultilevel"/>
    <w:tmpl w:val="0D840158"/>
    <w:lvl w:ilvl="0" w:tplc="356E0BFC">
      <w:start w:val="1"/>
      <w:numFmt w:val="taiwaneseCountingThousand"/>
      <w:lvlText w:val="(%1)"/>
      <w:lvlJc w:val="left"/>
      <w:pPr>
        <w:ind w:left="5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>
    <w:nsid w:val="425E56B4"/>
    <w:multiLevelType w:val="hybridMultilevel"/>
    <w:tmpl w:val="0B9014D4"/>
    <w:lvl w:ilvl="0" w:tplc="7E585EF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517CA2"/>
    <w:multiLevelType w:val="hybridMultilevel"/>
    <w:tmpl w:val="0AA4A3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F6A66D3"/>
    <w:multiLevelType w:val="hybridMultilevel"/>
    <w:tmpl w:val="9A16E7A8"/>
    <w:lvl w:ilvl="0" w:tplc="4C40A05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2D362F"/>
    <w:multiLevelType w:val="hybridMultilevel"/>
    <w:tmpl w:val="1F44E1FA"/>
    <w:lvl w:ilvl="0" w:tplc="BB648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BD5C93"/>
    <w:multiLevelType w:val="hybridMultilevel"/>
    <w:tmpl w:val="21785082"/>
    <w:lvl w:ilvl="0" w:tplc="5288A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D0"/>
    <w:rsid w:val="00002E79"/>
    <w:rsid w:val="00006DC9"/>
    <w:rsid w:val="00006F20"/>
    <w:rsid w:val="00007135"/>
    <w:rsid w:val="00020E22"/>
    <w:rsid w:val="00021CB6"/>
    <w:rsid w:val="00023FE3"/>
    <w:rsid w:val="000255E6"/>
    <w:rsid w:val="000336AA"/>
    <w:rsid w:val="0003697A"/>
    <w:rsid w:val="000371B3"/>
    <w:rsid w:val="000427A7"/>
    <w:rsid w:val="00045F70"/>
    <w:rsid w:val="00051C6B"/>
    <w:rsid w:val="00052314"/>
    <w:rsid w:val="0006513C"/>
    <w:rsid w:val="00070680"/>
    <w:rsid w:val="00070709"/>
    <w:rsid w:val="000764CB"/>
    <w:rsid w:val="0008066A"/>
    <w:rsid w:val="0008111A"/>
    <w:rsid w:val="0008142C"/>
    <w:rsid w:val="000914CF"/>
    <w:rsid w:val="000955EE"/>
    <w:rsid w:val="000A14DA"/>
    <w:rsid w:val="000A1F0B"/>
    <w:rsid w:val="000A3B83"/>
    <w:rsid w:val="000A46F4"/>
    <w:rsid w:val="000B0BC5"/>
    <w:rsid w:val="000C00D7"/>
    <w:rsid w:val="000C625D"/>
    <w:rsid w:val="000D2D92"/>
    <w:rsid w:val="000D7D08"/>
    <w:rsid w:val="000E2C46"/>
    <w:rsid w:val="000F14D3"/>
    <w:rsid w:val="000F216C"/>
    <w:rsid w:val="000F744C"/>
    <w:rsid w:val="00103C76"/>
    <w:rsid w:val="00111A5B"/>
    <w:rsid w:val="001122BE"/>
    <w:rsid w:val="00124D0D"/>
    <w:rsid w:val="00125409"/>
    <w:rsid w:val="001535C5"/>
    <w:rsid w:val="001540C7"/>
    <w:rsid w:val="00154EE8"/>
    <w:rsid w:val="00155242"/>
    <w:rsid w:val="00160A46"/>
    <w:rsid w:val="00161140"/>
    <w:rsid w:val="00162128"/>
    <w:rsid w:val="001625C5"/>
    <w:rsid w:val="001642D3"/>
    <w:rsid w:val="00164375"/>
    <w:rsid w:val="0018068F"/>
    <w:rsid w:val="00186A85"/>
    <w:rsid w:val="00192A7C"/>
    <w:rsid w:val="00193A50"/>
    <w:rsid w:val="00194670"/>
    <w:rsid w:val="001A002C"/>
    <w:rsid w:val="001A624A"/>
    <w:rsid w:val="001B7059"/>
    <w:rsid w:val="001C33E1"/>
    <w:rsid w:val="001C6B4F"/>
    <w:rsid w:val="001D02A0"/>
    <w:rsid w:val="001E4DA0"/>
    <w:rsid w:val="001E529B"/>
    <w:rsid w:val="001F4026"/>
    <w:rsid w:val="001F78A1"/>
    <w:rsid w:val="00202017"/>
    <w:rsid w:val="002112A3"/>
    <w:rsid w:val="00216C74"/>
    <w:rsid w:val="00220B78"/>
    <w:rsid w:val="002244C4"/>
    <w:rsid w:val="00231216"/>
    <w:rsid w:val="00231598"/>
    <w:rsid w:val="002327CC"/>
    <w:rsid w:val="00233EEC"/>
    <w:rsid w:val="00243D70"/>
    <w:rsid w:val="00247953"/>
    <w:rsid w:val="00253A50"/>
    <w:rsid w:val="00260931"/>
    <w:rsid w:val="00261FEE"/>
    <w:rsid w:val="0026488A"/>
    <w:rsid w:val="0026578D"/>
    <w:rsid w:val="00272415"/>
    <w:rsid w:val="002776B0"/>
    <w:rsid w:val="002843AD"/>
    <w:rsid w:val="0028440A"/>
    <w:rsid w:val="002851F2"/>
    <w:rsid w:val="00285AFD"/>
    <w:rsid w:val="00293BBF"/>
    <w:rsid w:val="0029733E"/>
    <w:rsid w:val="002A37D3"/>
    <w:rsid w:val="002A6C64"/>
    <w:rsid w:val="002B0A1A"/>
    <w:rsid w:val="002B32E4"/>
    <w:rsid w:val="002C2E6A"/>
    <w:rsid w:val="002E28A6"/>
    <w:rsid w:val="002E7898"/>
    <w:rsid w:val="002E795C"/>
    <w:rsid w:val="003111D5"/>
    <w:rsid w:val="00315EE4"/>
    <w:rsid w:val="00317023"/>
    <w:rsid w:val="00321D0A"/>
    <w:rsid w:val="00325627"/>
    <w:rsid w:val="0032595F"/>
    <w:rsid w:val="00325F78"/>
    <w:rsid w:val="00332804"/>
    <w:rsid w:val="00332F8F"/>
    <w:rsid w:val="00351561"/>
    <w:rsid w:val="003530DB"/>
    <w:rsid w:val="00356DC0"/>
    <w:rsid w:val="00361FD0"/>
    <w:rsid w:val="003630B4"/>
    <w:rsid w:val="00363BE7"/>
    <w:rsid w:val="003769D5"/>
    <w:rsid w:val="0037774D"/>
    <w:rsid w:val="003811FB"/>
    <w:rsid w:val="0038321A"/>
    <w:rsid w:val="00384D08"/>
    <w:rsid w:val="0039224C"/>
    <w:rsid w:val="00395851"/>
    <w:rsid w:val="00397A64"/>
    <w:rsid w:val="003B2E20"/>
    <w:rsid w:val="003B5C25"/>
    <w:rsid w:val="003B6A7E"/>
    <w:rsid w:val="003B728D"/>
    <w:rsid w:val="003C3379"/>
    <w:rsid w:val="003C4135"/>
    <w:rsid w:val="003D18C9"/>
    <w:rsid w:val="003D5474"/>
    <w:rsid w:val="003D7BE1"/>
    <w:rsid w:val="003E7DB9"/>
    <w:rsid w:val="003F3243"/>
    <w:rsid w:val="003F6963"/>
    <w:rsid w:val="00401DF2"/>
    <w:rsid w:val="00414941"/>
    <w:rsid w:val="0041667A"/>
    <w:rsid w:val="0041680C"/>
    <w:rsid w:val="00417AE2"/>
    <w:rsid w:val="004241CC"/>
    <w:rsid w:val="00424E54"/>
    <w:rsid w:val="00430D1C"/>
    <w:rsid w:val="00430EE4"/>
    <w:rsid w:val="00436786"/>
    <w:rsid w:val="0044328B"/>
    <w:rsid w:val="00451AD4"/>
    <w:rsid w:val="00453941"/>
    <w:rsid w:val="0045480E"/>
    <w:rsid w:val="00460E30"/>
    <w:rsid w:val="00462687"/>
    <w:rsid w:val="004738F5"/>
    <w:rsid w:val="0047449D"/>
    <w:rsid w:val="00483F3C"/>
    <w:rsid w:val="004964EC"/>
    <w:rsid w:val="004A25B7"/>
    <w:rsid w:val="004A303C"/>
    <w:rsid w:val="004A51F0"/>
    <w:rsid w:val="004A5666"/>
    <w:rsid w:val="004B4FF8"/>
    <w:rsid w:val="004C020A"/>
    <w:rsid w:val="004C0A99"/>
    <w:rsid w:val="004C7C49"/>
    <w:rsid w:val="004D126C"/>
    <w:rsid w:val="004D4253"/>
    <w:rsid w:val="004D5C5A"/>
    <w:rsid w:val="004E4D16"/>
    <w:rsid w:val="004F086E"/>
    <w:rsid w:val="004F3348"/>
    <w:rsid w:val="0051403F"/>
    <w:rsid w:val="0051582C"/>
    <w:rsid w:val="00516448"/>
    <w:rsid w:val="00516453"/>
    <w:rsid w:val="0051783C"/>
    <w:rsid w:val="0052494E"/>
    <w:rsid w:val="00524CE7"/>
    <w:rsid w:val="00530932"/>
    <w:rsid w:val="00530A83"/>
    <w:rsid w:val="0053104A"/>
    <w:rsid w:val="00532029"/>
    <w:rsid w:val="00532BDE"/>
    <w:rsid w:val="0053472A"/>
    <w:rsid w:val="00535BCF"/>
    <w:rsid w:val="005401B4"/>
    <w:rsid w:val="00540648"/>
    <w:rsid w:val="00543995"/>
    <w:rsid w:val="005451E9"/>
    <w:rsid w:val="005564DC"/>
    <w:rsid w:val="00561359"/>
    <w:rsid w:val="0056334E"/>
    <w:rsid w:val="005633EA"/>
    <w:rsid w:val="00566FBE"/>
    <w:rsid w:val="00570677"/>
    <w:rsid w:val="00571F84"/>
    <w:rsid w:val="00582FE3"/>
    <w:rsid w:val="00583005"/>
    <w:rsid w:val="00584BB0"/>
    <w:rsid w:val="005871E1"/>
    <w:rsid w:val="00587D10"/>
    <w:rsid w:val="00593F7E"/>
    <w:rsid w:val="005A4E6D"/>
    <w:rsid w:val="005A6FC8"/>
    <w:rsid w:val="005B4827"/>
    <w:rsid w:val="005B596E"/>
    <w:rsid w:val="005B7DD7"/>
    <w:rsid w:val="005B7FE2"/>
    <w:rsid w:val="005C1EF0"/>
    <w:rsid w:val="005C4A5C"/>
    <w:rsid w:val="005D7106"/>
    <w:rsid w:val="005E3FBF"/>
    <w:rsid w:val="005F0F8D"/>
    <w:rsid w:val="005F0FD5"/>
    <w:rsid w:val="005F3842"/>
    <w:rsid w:val="005F4392"/>
    <w:rsid w:val="005F6743"/>
    <w:rsid w:val="005F6A07"/>
    <w:rsid w:val="0060158D"/>
    <w:rsid w:val="0060219F"/>
    <w:rsid w:val="00603786"/>
    <w:rsid w:val="006115FB"/>
    <w:rsid w:val="006162B4"/>
    <w:rsid w:val="00625AF5"/>
    <w:rsid w:val="00625C0E"/>
    <w:rsid w:val="00634103"/>
    <w:rsid w:val="006358AB"/>
    <w:rsid w:val="006372B6"/>
    <w:rsid w:val="00643E9B"/>
    <w:rsid w:val="00645469"/>
    <w:rsid w:val="00647B1C"/>
    <w:rsid w:val="00650D09"/>
    <w:rsid w:val="00653F08"/>
    <w:rsid w:val="006560A8"/>
    <w:rsid w:val="00660636"/>
    <w:rsid w:val="006676B0"/>
    <w:rsid w:val="00683394"/>
    <w:rsid w:val="006834C1"/>
    <w:rsid w:val="00684103"/>
    <w:rsid w:val="0068628D"/>
    <w:rsid w:val="00696DEE"/>
    <w:rsid w:val="006A7B98"/>
    <w:rsid w:val="006B0436"/>
    <w:rsid w:val="006B0B23"/>
    <w:rsid w:val="006C49DF"/>
    <w:rsid w:val="006C5E85"/>
    <w:rsid w:val="006C5F06"/>
    <w:rsid w:val="006C737C"/>
    <w:rsid w:val="006C7ED4"/>
    <w:rsid w:val="006D0EB7"/>
    <w:rsid w:val="006D6B08"/>
    <w:rsid w:val="006E6E07"/>
    <w:rsid w:val="006F20B7"/>
    <w:rsid w:val="006F5236"/>
    <w:rsid w:val="00706654"/>
    <w:rsid w:val="0070695C"/>
    <w:rsid w:val="00712FDF"/>
    <w:rsid w:val="00715724"/>
    <w:rsid w:val="0071676C"/>
    <w:rsid w:val="00716B4A"/>
    <w:rsid w:val="0073736A"/>
    <w:rsid w:val="007455B2"/>
    <w:rsid w:val="00760709"/>
    <w:rsid w:val="00763979"/>
    <w:rsid w:val="00766536"/>
    <w:rsid w:val="00770CED"/>
    <w:rsid w:val="00773B35"/>
    <w:rsid w:val="00786DD9"/>
    <w:rsid w:val="00792F31"/>
    <w:rsid w:val="00793644"/>
    <w:rsid w:val="007943AB"/>
    <w:rsid w:val="00795DE2"/>
    <w:rsid w:val="007A04DF"/>
    <w:rsid w:val="007A66BB"/>
    <w:rsid w:val="007B17DB"/>
    <w:rsid w:val="007B1B30"/>
    <w:rsid w:val="007B2960"/>
    <w:rsid w:val="007B34A3"/>
    <w:rsid w:val="007B35FE"/>
    <w:rsid w:val="007B7ABB"/>
    <w:rsid w:val="007B7E72"/>
    <w:rsid w:val="007C03FF"/>
    <w:rsid w:val="007D4F2E"/>
    <w:rsid w:val="007D53EE"/>
    <w:rsid w:val="007D544F"/>
    <w:rsid w:val="007D598A"/>
    <w:rsid w:val="007E01F5"/>
    <w:rsid w:val="007E4382"/>
    <w:rsid w:val="007E6266"/>
    <w:rsid w:val="007F193B"/>
    <w:rsid w:val="007F334C"/>
    <w:rsid w:val="0080245E"/>
    <w:rsid w:val="0080481A"/>
    <w:rsid w:val="00812365"/>
    <w:rsid w:val="008139B6"/>
    <w:rsid w:val="0081740A"/>
    <w:rsid w:val="00824898"/>
    <w:rsid w:val="0084037F"/>
    <w:rsid w:val="0085238F"/>
    <w:rsid w:val="00853AD4"/>
    <w:rsid w:val="0087157D"/>
    <w:rsid w:val="008721BF"/>
    <w:rsid w:val="0087473E"/>
    <w:rsid w:val="008815C7"/>
    <w:rsid w:val="00885C1B"/>
    <w:rsid w:val="00894161"/>
    <w:rsid w:val="00894708"/>
    <w:rsid w:val="008975B3"/>
    <w:rsid w:val="008B07B3"/>
    <w:rsid w:val="008C3CA9"/>
    <w:rsid w:val="008C6CC7"/>
    <w:rsid w:val="008C78C9"/>
    <w:rsid w:val="008D547D"/>
    <w:rsid w:val="008D5A80"/>
    <w:rsid w:val="008D6204"/>
    <w:rsid w:val="008D62BD"/>
    <w:rsid w:val="008E0FE4"/>
    <w:rsid w:val="008E7289"/>
    <w:rsid w:val="008F1F66"/>
    <w:rsid w:val="008F3E7A"/>
    <w:rsid w:val="008F5FBF"/>
    <w:rsid w:val="0090264D"/>
    <w:rsid w:val="00902FBF"/>
    <w:rsid w:val="009068FA"/>
    <w:rsid w:val="00910478"/>
    <w:rsid w:val="00910A7A"/>
    <w:rsid w:val="00912944"/>
    <w:rsid w:val="0092138B"/>
    <w:rsid w:val="009218EA"/>
    <w:rsid w:val="0093466E"/>
    <w:rsid w:val="009377C2"/>
    <w:rsid w:val="00937BEB"/>
    <w:rsid w:val="0094216F"/>
    <w:rsid w:val="00943D4C"/>
    <w:rsid w:val="00945554"/>
    <w:rsid w:val="009473C3"/>
    <w:rsid w:val="00950535"/>
    <w:rsid w:val="00952B7E"/>
    <w:rsid w:val="00953EF5"/>
    <w:rsid w:val="00954F5C"/>
    <w:rsid w:val="009560D3"/>
    <w:rsid w:val="00957DAB"/>
    <w:rsid w:val="00966808"/>
    <w:rsid w:val="00967CA5"/>
    <w:rsid w:val="009725A7"/>
    <w:rsid w:val="00972D8C"/>
    <w:rsid w:val="00973356"/>
    <w:rsid w:val="00973E73"/>
    <w:rsid w:val="009800D0"/>
    <w:rsid w:val="009806BB"/>
    <w:rsid w:val="00984353"/>
    <w:rsid w:val="00984731"/>
    <w:rsid w:val="00995514"/>
    <w:rsid w:val="00997501"/>
    <w:rsid w:val="009A714B"/>
    <w:rsid w:val="009C6D05"/>
    <w:rsid w:val="009D0574"/>
    <w:rsid w:val="009D6E74"/>
    <w:rsid w:val="009D7B5D"/>
    <w:rsid w:val="009E217E"/>
    <w:rsid w:val="009E5130"/>
    <w:rsid w:val="009E5EE2"/>
    <w:rsid w:val="009E77B9"/>
    <w:rsid w:val="009F3247"/>
    <w:rsid w:val="00A01158"/>
    <w:rsid w:val="00A10D42"/>
    <w:rsid w:val="00A124C6"/>
    <w:rsid w:val="00A12D1B"/>
    <w:rsid w:val="00A13ADB"/>
    <w:rsid w:val="00A26A81"/>
    <w:rsid w:val="00A26BDA"/>
    <w:rsid w:val="00A32B6E"/>
    <w:rsid w:val="00A334B5"/>
    <w:rsid w:val="00A350DF"/>
    <w:rsid w:val="00A373F9"/>
    <w:rsid w:val="00A37CD5"/>
    <w:rsid w:val="00A4375B"/>
    <w:rsid w:val="00A45258"/>
    <w:rsid w:val="00A45CBE"/>
    <w:rsid w:val="00A623D2"/>
    <w:rsid w:val="00A63A98"/>
    <w:rsid w:val="00A70EF3"/>
    <w:rsid w:val="00A71849"/>
    <w:rsid w:val="00A72128"/>
    <w:rsid w:val="00A84567"/>
    <w:rsid w:val="00A91258"/>
    <w:rsid w:val="00A933D9"/>
    <w:rsid w:val="00A9483F"/>
    <w:rsid w:val="00A957D9"/>
    <w:rsid w:val="00A95C79"/>
    <w:rsid w:val="00A96A68"/>
    <w:rsid w:val="00AA41F8"/>
    <w:rsid w:val="00AA4BA3"/>
    <w:rsid w:val="00AA5837"/>
    <w:rsid w:val="00AA6069"/>
    <w:rsid w:val="00AA71CE"/>
    <w:rsid w:val="00AB044E"/>
    <w:rsid w:val="00AB1B6A"/>
    <w:rsid w:val="00AB24EA"/>
    <w:rsid w:val="00AB559C"/>
    <w:rsid w:val="00AC71F8"/>
    <w:rsid w:val="00AC73E8"/>
    <w:rsid w:val="00AD68A9"/>
    <w:rsid w:val="00AD75C3"/>
    <w:rsid w:val="00AD79E9"/>
    <w:rsid w:val="00AE3821"/>
    <w:rsid w:val="00AF1CEF"/>
    <w:rsid w:val="00AF37EE"/>
    <w:rsid w:val="00B0626F"/>
    <w:rsid w:val="00B07657"/>
    <w:rsid w:val="00B12689"/>
    <w:rsid w:val="00B157F4"/>
    <w:rsid w:val="00B17030"/>
    <w:rsid w:val="00B20D7C"/>
    <w:rsid w:val="00B24386"/>
    <w:rsid w:val="00B25AD2"/>
    <w:rsid w:val="00B27BDF"/>
    <w:rsid w:val="00B30EAA"/>
    <w:rsid w:val="00B32381"/>
    <w:rsid w:val="00B35E42"/>
    <w:rsid w:val="00B42383"/>
    <w:rsid w:val="00B43E05"/>
    <w:rsid w:val="00B666E3"/>
    <w:rsid w:val="00B702E1"/>
    <w:rsid w:val="00B711BF"/>
    <w:rsid w:val="00B76004"/>
    <w:rsid w:val="00B90A3D"/>
    <w:rsid w:val="00B93DF3"/>
    <w:rsid w:val="00B9564A"/>
    <w:rsid w:val="00B97578"/>
    <w:rsid w:val="00BA712A"/>
    <w:rsid w:val="00BA7F4D"/>
    <w:rsid w:val="00BB72B9"/>
    <w:rsid w:val="00BB772A"/>
    <w:rsid w:val="00BC06A4"/>
    <w:rsid w:val="00BC4C52"/>
    <w:rsid w:val="00BC51A0"/>
    <w:rsid w:val="00BD72FB"/>
    <w:rsid w:val="00BE0548"/>
    <w:rsid w:val="00BE1256"/>
    <w:rsid w:val="00BE4B31"/>
    <w:rsid w:val="00BE4E60"/>
    <w:rsid w:val="00BF31C1"/>
    <w:rsid w:val="00BF6C66"/>
    <w:rsid w:val="00C00214"/>
    <w:rsid w:val="00C02BE1"/>
    <w:rsid w:val="00C045EC"/>
    <w:rsid w:val="00C07BF7"/>
    <w:rsid w:val="00C117F4"/>
    <w:rsid w:val="00C154C4"/>
    <w:rsid w:val="00C21D09"/>
    <w:rsid w:val="00C347CA"/>
    <w:rsid w:val="00C35BCB"/>
    <w:rsid w:val="00C36DA0"/>
    <w:rsid w:val="00C41B1D"/>
    <w:rsid w:val="00C53B1E"/>
    <w:rsid w:val="00C54A8F"/>
    <w:rsid w:val="00C71FD6"/>
    <w:rsid w:val="00C761D9"/>
    <w:rsid w:val="00C76211"/>
    <w:rsid w:val="00C76487"/>
    <w:rsid w:val="00C81C26"/>
    <w:rsid w:val="00C90BC2"/>
    <w:rsid w:val="00C92806"/>
    <w:rsid w:val="00CA19D2"/>
    <w:rsid w:val="00CA6573"/>
    <w:rsid w:val="00CA72A1"/>
    <w:rsid w:val="00CB2D93"/>
    <w:rsid w:val="00CB34AB"/>
    <w:rsid w:val="00CB4FA9"/>
    <w:rsid w:val="00CC35D6"/>
    <w:rsid w:val="00CC4505"/>
    <w:rsid w:val="00CC4A7D"/>
    <w:rsid w:val="00CC6798"/>
    <w:rsid w:val="00CD1946"/>
    <w:rsid w:val="00CD6EF6"/>
    <w:rsid w:val="00CE207B"/>
    <w:rsid w:val="00CF279C"/>
    <w:rsid w:val="00CF39D4"/>
    <w:rsid w:val="00D02300"/>
    <w:rsid w:val="00D026FC"/>
    <w:rsid w:val="00D10D22"/>
    <w:rsid w:val="00D143B0"/>
    <w:rsid w:val="00D1447E"/>
    <w:rsid w:val="00D226A9"/>
    <w:rsid w:val="00D316F2"/>
    <w:rsid w:val="00D3490B"/>
    <w:rsid w:val="00D37540"/>
    <w:rsid w:val="00D4102D"/>
    <w:rsid w:val="00D4468A"/>
    <w:rsid w:val="00D50537"/>
    <w:rsid w:val="00D52ABB"/>
    <w:rsid w:val="00D53CFA"/>
    <w:rsid w:val="00D60FD3"/>
    <w:rsid w:val="00D630D2"/>
    <w:rsid w:val="00D65EDC"/>
    <w:rsid w:val="00D677D1"/>
    <w:rsid w:val="00D72787"/>
    <w:rsid w:val="00D753B4"/>
    <w:rsid w:val="00D80E7B"/>
    <w:rsid w:val="00D8293A"/>
    <w:rsid w:val="00D97C19"/>
    <w:rsid w:val="00DA1C6E"/>
    <w:rsid w:val="00DA4923"/>
    <w:rsid w:val="00DB4BC7"/>
    <w:rsid w:val="00DB6240"/>
    <w:rsid w:val="00DD0214"/>
    <w:rsid w:val="00DD7CA7"/>
    <w:rsid w:val="00DE503F"/>
    <w:rsid w:val="00DF3C6F"/>
    <w:rsid w:val="00E01038"/>
    <w:rsid w:val="00E035C7"/>
    <w:rsid w:val="00E136DC"/>
    <w:rsid w:val="00E208D2"/>
    <w:rsid w:val="00E21516"/>
    <w:rsid w:val="00E26637"/>
    <w:rsid w:val="00E47A6B"/>
    <w:rsid w:val="00E507C1"/>
    <w:rsid w:val="00E52180"/>
    <w:rsid w:val="00E60FD7"/>
    <w:rsid w:val="00E638A3"/>
    <w:rsid w:val="00E74FE4"/>
    <w:rsid w:val="00E90D9E"/>
    <w:rsid w:val="00E91897"/>
    <w:rsid w:val="00E94F4C"/>
    <w:rsid w:val="00EB7DD8"/>
    <w:rsid w:val="00EC136D"/>
    <w:rsid w:val="00EC20EA"/>
    <w:rsid w:val="00ED4B2F"/>
    <w:rsid w:val="00ED4E0A"/>
    <w:rsid w:val="00ED555D"/>
    <w:rsid w:val="00ED7C76"/>
    <w:rsid w:val="00ED7D9D"/>
    <w:rsid w:val="00EE0DB3"/>
    <w:rsid w:val="00EE2C88"/>
    <w:rsid w:val="00EE2E90"/>
    <w:rsid w:val="00EE55D3"/>
    <w:rsid w:val="00EF0151"/>
    <w:rsid w:val="00EF059A"/>
    <w:rsid w:val="00EF1DD5"/>
    <w:rsid w:val="00EF2D98"/>
    <w:rsid w:val="00EF4236"/>
    <w:rsid w:val="00EF5C46"/>
    <w:rsid w:val="00EF626A"/>
    <w:rsid w:val="00EF6F2C"/>
    <w:rsid w:val="00F00DD4"/>
    <w:rsid w:val="00F0302E"/>
    <w:rsid w:val="00F1601A"/>
    <w:rsid w:val="00F2159C"/>
    <w:rsid w:val="00F2759F"/>
    <w:rsid w:val="00F3032E"/>
    <w:rsid w:val="00F32AC9"/>
    <w:rsid w:val="00F348B9"/>
    <w:rsid w:val="00F3665C"/>
    <w:rsid w:val="00F4052B"/>
    <w:rsid w:val="00F40B3F"/>
    <w:rsid w:val="00F46C2E"/>
    <w:rsid w:val="00F552F3"/>
    <w:rsid w:val="00F60C7B"/>
    <w:rsid w:val="00F646FE"/>
    <w:rsid w:val="00F64E44"/>
    <w:rsid w:val="00F65402"/>
    <w:rsid w:val="00F71B80"/>
    <w:rsid w:val="00F71EAE"/>
    <w:rsid w:val="00F72EFE"/>
    <w:rsid w:val="00F7633B"/>
    <w:rsid w:val="00F777C6"/>
    <w:rsid w:val="00F830B1"/>
    <w:rsid w:val="00F95F85"/>
    <w:rsid w:val="00F97E67"/>
    <w:rsid w:val="00FA2319"/>
    <w:rsid w:val="00FA46F4"/>
    <w:rsid w:val="00FB2D84"/>
    <w:rsid w:val="00FC17C7"/>
    <w:rsid w:val="00FC30C7"/>
    <w:rsid w:val="00FC773E"/>
    <w:rsid w:val="00FD1CB2"/>
    <w:rsid w:val="00FD1FA1"/>
    <w:rsid w:val="00FD4915"/>
    <w:rsid w:val="00FD76F2"/>
    <w:rsid w:val="00FE090D"/>
    <w:rsid w:val="00FE353D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8E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46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811F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75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53B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53B4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0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0B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6DC9"/>
    <w:pPr>
      <w:ind w:leftChars="200" w:left="480"/>
    </w:pPr>
    <w:rPr>
      <w:rFonts w:cs="Calibri"/>
      <w:szCs w:val="24"/>
    </w:rPr>
  </w:style>
  <w:style w:type="character" w:styleId="ab">
    <w:name w:val="Emphasis"/>
    <w:basedOn w:val="a0"/>
    <w:uiPriority w:val="20"/>
    <w:qFormat/>
    <w:rsid w:val="00984353"/>
    <w:rPr>
      <w:b/>
      <w:bCs/>
      <w:i w:val="0"/>
      <w:iCs w:val="0"/>
    </w:rPr>
  </w:style>
  <w:style w:type="character" w:customStyle="1" w:styleId="st">
    <w:name w:val="st"/>
    <w:basedOn w:val="a0"/>
    <w:rsid w:val="00984353"/>
  </w:style>
  <w:style w:type="table" w:styleId="ac">
    <w:name w:val="Table Grid"/>
    <w:basedOn w:val="a1"/>
    <w:rsid w:val="0041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E7898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2E7898"/>
    <w:rPr>
      <w:rFonts w:ascii="Calibri" w:eastAsia="新細明體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E7898"/>
    <w:rPr>
      <w:vertAlign w:val="superscript"/>
    </w:rPr>
  </w:style>
  <w:style w:type="table" w:customStyle="1" w:styleId="1">
    <w:name w:val="表格格線1"/>
    <w:basedOn w:val="a1"/>
    <w:next w:val="ac"/>
    <w:rsid w:val="00FA46F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字元 字元1 字元 字元 字元"/>
    <w:basedOn w:val="a"/>
    <w:semiHidden/>
    <w:rsid w:val="00321D0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46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811F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75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53B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53B4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0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0B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6DC9"/>
    <w:pPr>
      <w:ind w:leftChars="200" w:left="480"/>
    </w:pPr>
    <w:rPr>
      <w:rFonts w:cs="Calibri"/>
      <w:szCs w:val="24"/>
    </w:rPr>
  </w:style>
  <w:style w:type="character" w:styleId="ab">
    <w:name w:val="Emphasis"/>
    <w:basedOn w:val="a0"/>
    <w:uiPriority w:val="20"/>
    <w:qFormat/>
    <w:rsid w:val="00984353"/>
    <w:rPr>
      <w:b/>
      <w:bCs/>
      <w:i w:val="0"/>
      <w:iCs w:val="0"/>
    </w:rPr>
  </w:style>
  <w:style w:type="character" w:customStyle="1" w:styleId="st">
    <w:name w:val="st"/>
    <w:basedOn w:val="a0"/>
    <w:rsid w:val="00984353"/>
  </w:style>
  <w:style w:type="table" w:styleId="ac">
    <w:name w:val="Table Grid"/>
    <w:basedOn w:val="a1"/>
    <w:rsid w:val="0041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E7898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2E7898"/>
    <w:rPr>
      <w:rFonts w:ascii="Calibri" w:eastAsia="新細明體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E7898"/>
    <w:rPr>
      <w:vertAlign w:val="superscript"/>
    </w:rPr>
  </w:style>
  <w:style w:type="table" w:customStyle="1" w:styleId="1">
    <w:name w:val="表格格線1"/>
    <w:basedOn w:val="a1"/>
    <w:next w:val="ac"/>
    <w:rsid w:val="00FA46F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字元 字元1 字元 字元 字元"/>
    <w:basedOn w:val="a"/>
    <w:semiHidden/>
    <w:rsid w:val="00321D0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7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4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8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0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58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0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44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23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94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32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68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161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523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0794-8D30-4865-B775-81888CCD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474</Words>
  <Characters>2704</Characters>
  <Application>Microsoft Office Word</Application>
  <DocSecurity>0</DocSecurity>
  <Lines>22</Lines>
  <Paragraphs>6</Paragraphs>
  <ScaleCrop>false</ScaleCrop>
  <Company>RDEC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莊千慧</dc:creator>
  <cp:lastModifiedBy>user</cp:lastModifiedBy>
  <cp:revision>3</cp:revision>
  <cp:lastPrinted>2016-10-26T01:45:00Z</cp:lastPrinted>
  <dcterms:created xsi:type="dcterms:W3CDTF">2016-10-26T03:22:00Z</dcterms:created>
  <dcterms:modified xsi:type="dcterms:W3CDTF">2016-10-26T03:56:00Z</dcterms:modified>
</cp:coreProperties>
</file>