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B2" w:rsidRPr="009D0F91" w:rsidRDefault="00FF77B2" w:rsidP="00CD23A7">
      <w:pPr>
        <w:rPr>
          <w:rFonts w:eastAsia="標楷體"/>
          <w:b/>
          <w:sz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2" o:spid="_x0000_i1025" type="#_x0000_t75" style="width:87.75pt;height:18pt;visibility:visible">
            <v:imagedata r:id="rId4" o:title=""/>
          </v:shape>
        </w:pict>
      </w:r>
    </w:p>
    <w:p w:rsidR="00FF77B2" w:rsidRPr="009D0F91" w:rsidRDefault="00FF77B2" w:rsidP="00CD23A7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57.8pt;margin-top:-27.55pt;width:63pt;height:27pt;z-index:251658240;visibility:visible;mso-position-horizontal:right;mso-position-horizontal-relative:margin" stroked="f">
            <v:textbox>
              <w:txbxContent>
                <w:p w:rsidR="00FF77B2" w:rsidRPr="00896F96" w:rsidRDefault="00FF77B2" w:rsidP="00CD23A7">
                  <w:pPr>
                    <w:spacing w:line="280" w:lineRule="exact"/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Pr="009D0F91">
        <w:rPr>
          <w:rFonts w:eastAsia="標楷體" w:hint="eastAsia"/>
          <w:b/>
          <w:bCs/>
          <w:sz w:val="36"/>
          <w:szCs w:val="36"/>
        </w:rPr>
        <w:t>國家發展委員會</w:t>
      </w:r>
      <w:r w:rsidRPr="009D0F91">
        <w:rPr>
          <w:rFonts w:eastAsia="標楷體"/>
          <w:b/>
          <w:bCs/>
          <w:sz w:val="36"/>
          <w:szCs w:val="36"/>
        </w:rPr>
        <w:t xml:space="preserve"> </w:t>
      </w:r>
      <w:r w:rsidRPr="009D0F91">
        <w:rPr>
          <w:rFonts w:eastAsia="標楷體" w:hint="eastAsia"/>
          <w:b/>
          <w:bCs/>
          <w:sz w:val="36"/>
          <w:szCs w:val="36"/>
        </w:rPr>
        <w:t>新聞稿</w:t>
      </w:r>
    </w:p>
    <w:p w:rsidR="00FF77B2" w:rsidRPr="009D0F91" w:rsidRDefault="00FF77B2" w:rsidP="00CD23A7">
      <w:pPr>
        <w:tabs>
          <w:tab w:val="left" w:pos="6120"/>
        </w:tabs>
        <w:spacing w:line="300" w:lineRule="exact"/>
        <w:rPr>
          <w:rFonts w:eastAsia="標楷體"/>
        </w:rPr>
      </w:pPr>
      <w:r w:rsidRPr="009D0F91">
        <w:rPr>
          <w:rFonts w:eastAsia="標楷體"/>
        </w:rPr>
        <w:tab/>
      </w:r>
      <w:r>
        <w:rPr>
          <w:noProof/>
        </w:rPr>
        <w:pict>
          <v:shape id="文字方塊 1" o:spid="_x0000_s1027" type="#_x0000_t202" style="position:absolute;margin-left:270.05pt;margin-top:0;width:218pt;height:66.55pt;z-index:251659264;visibility:visible;mso-position-horizontal-relative:text;mso-position-vertical-relative:text" stroked="f">
            <v:textbox>
              <w:txbxContent>
                <w:p w:rsidR="00FF77B2" w:rsidRDefault="00FF77B2" w:rsidP="00CD23A7">
                  <w:pPr>
                    <w:spacing w:line="280" w:lineRule="exact"/>
                    <w:rPr>
                      <w:rFonts w:eastAsia="標楷體"/>
                    </w:rPr>
                  </w:pPr>
                </w:p>
                <w:p w:rsidR="00FF77B2" w:rsidRDefault="00FF77B2" w:rsidP="00CD23A7">
                  <w:pPr>
                    <w:spacing w:line="280" w:lineRule="exact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</w:rPr>
                    <w:t>發布日期：</w:t>
                  </w:r>
                  <w:r>
                    <w:rPr>
                      <w:rFonts w:eastAsia="標楷體"/>
                    </w:rPr>
                    <w:t>105</w:t>
                  </w:r>
                  <w:r>
                    <w:rPr>
                      <w:rFonts w:eastAsia="標楷體" w:hint="eastAsia"/>
                      <w:color w:val="000000"/>
                    </w:rPr>
                    <w:t>年</w:t>
                  </w:r>
                  <w:r>
                    <w:rPr>
                      <w:rFonts w:eastAsia="標楷體"/>
                      <w:color w:val="000000"/>
                    </w:rPr>
                    <w:t>9</w:t>
                  </w:r>
                  <w:r>
                    <w:rPr>
                      <w:rFonts w:eastAsia="標楷體" w:hint="eastAsia"/>
                      <w:color w:val="000000"/>
                    </w:rPr>
                    <w:t>月</w:t>
                  </w:r>
                  <w:r>
                    <w:rPr>
                      <w:rFonts w:eastAsia="標楷體"/>
                      <w:color w:val="000000"/>
                    </w:rPr>
                    <w:t>17</w:t>
                  </w:r>
                  <w:r>
                    <w:rPr>
                      <w:rFonts w:eastAsia="標楷體" w:hint="eastAsia"/>
                      <w:color w:val="000000"/>
                    </w:rPr>
                    <w:t>日</w:t>
                  </w:r>
                </w:p>
                <w:p w:rsidR="00FF77B2" w:rsidRPr="00CD23A7" w:rsidRDefault="00FF77B2" w:rsidP="00CD23A7">
                  <w:pPr>
                    <w:spacing w:line="280" w:lineRule="exact"/>
                    <w:rPr>
                      <w:rFonts w:eastAsia="標楷體"/>
                    </w:rPr>
                  </w:pPr>
                  <w:r w:rsidRPr="00EB1CA5">
                    <w:rPr>
                      <w:rFonts w:eastAsia="標楷體" w:hint="eastAsia"/>
                    </w:rPr>
                    <w:t>聯</w:t>
                  </w:r>
                  <w:r w:rsidRPr="00EB1CA5">
                    <w:rPr>
                      <w:rFonts w:eastAsia="標楷體"/>
                    </w:rPr>
                    <w:t xml:space="preserve"> </w:t>
                  </w:r>
                  <w:r w:rsidRPr="00EB1CA5">
                    <w:rPr>
                      <w:rFonts w:eastAsia="標楷體" w:hint="eastAsia"/>
                    </w:rPr>
                    <w:t>絡</w:t>
                  </w:r>
                  <w:r w:rsidRPr="00EB1CA5"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人：詹方冠</w:t>
                  </w:r>
                  <w:r>
                    <w:rPr>
                      <w:rFonts w:ascii="標楷體" w:eastAsia="標楷體" w:hAnsi="標楷體" w:hint="eastAsia"/>
                    </w:rPr>
                    <w:t>、</w:t>
                  </w:r>
                  <w:r w:rsidRPr="00CD23A7">
                    <w:rPr>
                      <w:rFonts w:eastAsia="標楷體" w:hint="eastAsia"/>
                    </w:rPr>
                    <w:t>林俊儒</w:t>
                  </w:r>
                </w:p>
                <w:p w:rsidR="00FF77B2" w:rsidRPr="00CD23A7" w:rsidRDefault="00FF77B2" w:rsidP="00CD23A7">
                  <w:pPr>
                    <w:spacing w:line="280" w:lineRule="exact"/>
                    <w:rPr>
                      <w:rFonts w:eastAsia="標楷體"/>
                    </w:rPr>
                  </w:pPr>
                  <w:r w:rsidRPr="00EB1CA5">
                    <w:rPr>
                      <w:rFonts w:eastAsia="標楷體" w:hint="eastAsia"/>
                    </w:rPr>
                    <w:t>聯絡電話：</w:t>
                  </w:r>
                  <w:r w:rsidRPr="00EB1CA5">
                    <w:rPr>
                      <w:rFonts w:eastAsia="標楷體"/>
                    </w:rPr>
                    <w:t>2316-5</w:t>
                  </w:r>
                  <w:r>
                    <w:rPr>
                      <w:rFonts w:eastAsia="標楷體"/>
                    </w:rPr>
                    <w:t>850</w:t>
                  </w:r>
                  <w:r w:rsidRPr="00CD23A7">
                    <w:rPr>
                      <w:rFonts w:eastAsia="標楷體" w:hint="eastAsia"/>
                    </w:rPr>
                    <w:t>、</w:t>
                  </w:r>
                  <w:r w:rsidRPr="00CD23A7">
                    <w:rPr>
                      <w:rFonts w:eastAsia="標楷體"/>
                    </w:rPr>
                    <w:t>23165873</w:t>
                  </w:r>
                </w:p>
              </w:txbxContent>
            </v:textbox>
          </v:shape>
        </w:pict>
      </w:r>
    </w:p>
    <w:p w:rsidR="00FF77B2" w:rsidRPr="009D0F91" w:rsidRDefault="00FF77B2" w:rsidP="00CD23A7">
      <w:pPr>
        <w:spacing w:line="280" w:lineRule="exact"/>
        <w:rPr>
          <w:b/>
          <w:bCs/>
          <w:sz w:val="16"/>
          <w:szCs w:val="16"/>
        </w:rPr>
      </w:pPr>
    </w:p>
    <w:p w:rsidR="00FF77B2" w:rsidRDefault="00FF77B2" w:rsidP="00CD23A7">
      <w:pPr>
        <w:jc w:val="center"/>
        <w:rPr>
          <w:rFonts w:ascii="標楷體" w:eastAsia="標楷體" w:hAnsi="標楷體"/>
          <w:sz w:val="36"/>
        </w:rPr>
      </w:pPr>
    </w:p>
    <w:p w:rsidR="00FF77B2" w:rsidRDefault="00FF77B2" w:rsidP="002D2E25">
      <w:pPr>
        <w:spacing w:line="240" w:lineRule="atLeast"/>
        <w:rPr>
          <w:rFonts w:eastAsia="標楷體"/>
          <w:b/>
          <w:bCs/>
          <w:color w:val="000000"/>
          <w:kern w:val="0"/>
          <w:sz w:val="36"/>
          <w:szCs w:val="36"/>
        </w:rPr>
      </w:pPr>
    </w:p>
    <w:p w:rsidR="00FF77B2" w:rsidRPr="00BE30E0" w:rsidRDefault="00FF77B2" w:rsidP="002D2E25">
      <w:pPr>
        <w:spacing w:line="240" w:lineRule="atLeast"/>
        <w:rPr>
          <w:rFonts w:eastAsia="標楷體"/>
          <w:b/>
          <w:bCs/>
          <w:color w:val="000000"/>
          <w:kern w:val="0"/>
          <w:sz w:val="36"/>
          <w:szCs w:val="36"/>
        </w:rPr>
      </w:pPr>
      <w:r w:rsidRPr="00BE30E0">
        <w:rPr>
          <w:rFonts w:eastAsia="標楷體" w:hint="eastAsia"/>
          <w:b/>
          <w:bCs/>
          <w:color w:val="000000"/>
          <w:kern w:val="0"/>
          <w:sz w:val="36"/>
          <w:szCs w:val="36"/>
        </w:rPr>
        <w:t>國發會回應有關立法院預算中心五大創新產業報告媒體報導之說明</w:t>
      </w:r>
    </w:p>
    <w:p w:rsidR="00FF77B2" w:rsidRDefault="00FF77B2" w:rsidP="00320448">
      <w:pPr>
        <w:jc w:val="center"/>
        <w:rPr>
          <w:sz w:val="28"/>
          <w:szCs w:val="28"/>
        </w:rPr>
      </w:pPr>
    </w:p>
    <w:p w:rsidR="00FF77B2" w:rsidRDefault="00FF77B2" w:rsidP="002D2E25">
      <w:pPr>
        <w:spacing w:line="240" w:lineRule="atLeas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  <w:r>
        <w:rPr>
          <w:rFonts w:ascii="新細明體" w:hAnsi="新細明體"/>
          <w:sz w:val="28"/>
          <w:szCs w:val="28"/>
        </w:rPr>
        <w:t xml:space="preserve"> </w:t>
      </w:r>
      <w:r w:rsidRPr="00CD23A7">
        <w:rPr>
          <w:rFonts w:ascii="標楷體" w:eastAsia="標楷體" w:hAnsi="標楷體"/>
          <w:sz w:val="32"/>
          <w:szCs w:val="32"/>
        </w:rPr>
        <w:t xml:space="preserve">   </w:t>
      </w:r>
      <w:r w:rsidRPr="00CD23A7">
        <w:rPr>
          <w:rFonts w:ascii="標楷體" w:eastAsia="標楷體" w:hAnsi="標楷體" w:hint="eastAsia"/>
          <w:sz w:val="32"/>
          <w:szCs w:val="32"/>
        </w:rPr>
        <w:t>國發會今日</w:t>
      </w:r>
      <w:r w:rsidRPr="00CD23A7">
        <w:rPr>
          <w:rFonts w:ascii="標楷體" w:eastAsia="標楷體" w:hAnsi="標楷體"/>
          <w:sz w:val="32"/>
          <w:szCs w:val="32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16"/>
        </w:smartTagPr>
        <w:r w:rsidRPr="00CD23A7">
          <w:rPr>
            <w:rFonts w:ascii="標楷體" w:eastAsia="標楷體" w:hAnsi="標楷體"/>
            <w:sz w:val="32"/>
            <w:szCs w:val="32"/>
          </w:rPr>
          <w:t>9</w:t>
        </w:r>
        <w:r w:rsidRPr="00CD23A7">
          <w:rPr>
            <w:rFonts w:ascii="標楷體" w:eastAsia="標楷體" w:hAnsi="標楷體" w:hint="eastAsia"/>
            <w:sz w:val="32"/>
            <w:szCs w:val="32"/>
          </w:rPr>
          <w:t>月</w:t>
        </w:r>
        <w:r w:rsidRPr="00CD23A7">
          <w:rPr>
            <w:rFonts w:ascii="標楷體" w:eastAsia="標楷體" w:hAnsi="標楷體"/>
            <w:sz w:val="32"/>
            <w:szCs w:val="32"/>
          </w:rPr>
          <w:t>17</w:t>
        </w:r>
        <w:r w:rsidRPr="00CD23A7">
          <w:rPr>
            <w:rFonts w:ascii="標楷體" w:eastAsia="標楷體" w:hAnsi="標楷體" w:hint="eastAsia"/>
            <w:sz w:val="32"/>
            <w:szCs w:val="32"/>
          </w:rPr>
          <w:t>日</w:t>
        </w:r>
      </w:smartTag>
      <w:r w:rsidRPr="00CD23A7">
        <w:rPr>
          <w:rFonts w:ascii="標楷體" w:eastAsia="標楷體" w:hAnsi="標楷體"/>
          <w:sz w:val="32"/>
          <w:szCs w:val="32"/>
        </w:rPr>
        <w:t>)</w:t>
      </w:r>
      <w:r w:rsidRPr="00CD23A7">
        <w:rPr>
          <w:rFonts w:ascii="標楷體" w:eastAsia="標楷體" w:hAnsi="標楷體" w:hint="eastAsia"/>
          <w:sz w:val="32"/>
          <w:szCs w:val="32"/>
        </w:rPr>
        <w:t>就立法院預算中心之報告回應指出，預算中心提到五大創新產業在</w:t>
      </w:r>
      <w:r w:rsidRPr="00CD23A7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關鍵技術、產業環境、人力資源等方面有所不足，這正是政府推動五大創新產業政策中積極處理的課題，並已規劃、推動相關具體措施，以提升我國產業創新研發能量、加強國際連結，達到促進投資及平衡發展的目標。</w:t>
      </w:r>
    </w:p>
    <w:p w:rsidR="00FF77B2" w:rsidRPr="00CD23A7" w:rsidRDefault="00FF77B2" w:rsidP="002D2E25">
      <w:pPr>
        <w:spacing w:line="240" w:lineRule="atLeas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</w:p>
    <w:p w:rsidR="00FF77B2" w:rsidRDefault="00FF77B2" w:rsidP="002D2E25">
      <w:pPr>
        <w:spacing w:line="240" w:lineRule="atLeas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  <w:r w:rsidRPr="00CD23A7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 xml:space="preserve">    </w:t>
      </w:r>
      <w:r w:rsidRPr="00CD23A7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國發會表示，感謝立法院預算中心的提醒，我國產業轉型升級確有許多挑戰必需面對。正因如此，政府在研擬、規劃五大創新產業推動方案時，已將其納入考量並提出因應對策。例如：發展智慧機械、國防工業等確實需要掌握關鍵技術，因此已將如研發高階控制器、航太空業所需精密工具機等納入。各主管機關也會評估，並不排除與國外合作、技轉或採購等方式取得技術。又如，我國在太陽光電及風力發電等再生能源方面，確實較少系統整合案例，因此推動綠能產業的主軸，就是要協助國內企業發展電廠系統整合的能力與實績，以提升其國際競爭力。除了技術面向外，在物聯網等新興領域，政府將提供如交通、醫療、物流智慧化多元試驗場域，強化企業軟硬整合與系統布局能力。</w:t>
      </w:r>
    </w:p>
    <w:p w:rsidR="00FF77B2" w:rsidRPr="00CD23A7" w:rsidRDefault="00FF77B2" w:rsidP="002D2E25">
      <w:pPr>
        <w:spacing w:line="240" w:lineRule="atLeas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</w:p>
    <w:p w:rsidR="00FF77B2" w:rsidRDefault="00FF77B2" w:rsidP="002D2E25">
      <w:pPr>
        <w:spacing w:line="240" w:lineRule="atLeas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  <w:r w:rsidRPr="00CD23A7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 xml:space="preserve">    </w:t>
      </w:r>
      <w:r w:rsidRPr="00CD23A7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國發會表示，五大創新產業如需要資本上的支持，國發基金今年</w:t>
      </w:r>
      <w:r w:rsidRPr="00CD23A7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>7</w:t>
      </w:r>
      <w:r w:rsidRPr="00CD23A7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月已成立產業創新轉型基金，將提供千億元資金協助企業進行創新轉型之投資；同時，亦正規劃成立國家級投資公司，可再為五大創新產業發展注入更多活水。</w:t>
      </w:r>
    </w:p>
    <w:p w:rsidR="00FF77B2" w:rsidRPr="00CD23A7" w:rsidRDefault="00FF77B2" w:rsidP="002D2E25">
      <w:pPr>
        <w:spacing w:line="240" w:lineRule="atLeas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</w:p>
    <w:p w:rsidR="00FF77B2" w:rsidRDefault="00FF77B2" w:rsidP="002D2E25">
      <w:pPr>
        <w:spacing w:line="240" w:lineRule="atLeas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  <w:r w:rsidRPr="00CD23A7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 xml:space="preserve">    </w:t>
      </w:r>
      <w:r w:rsidRPr="00CD23A7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此外，無論是人才、法制、研發等產業環境面，五大創新產業也有許多規劃。像是成立</w:t>
      </w:r>
      <w:r w:rsidRPr="00CD23A7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>Contact Taiwan</w:t>
      </w:r>
      <w:r w:rsidRPr="00CD23A7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單一窗口加強延攬五大創新產業所需人才，以及優化吸引外籍人才來台的工作、稅務、生活等環境等。政府也正規劃挹注資源，協助大學成立軟硬整合虛擬學院，以及在台南沙崙成立綠能科技研發中心，以培育人才，強化產學研發能量。法規方面，政府目前正盤點、推動財經法制的鬆綁與調適，例如全盤修正公司法、研訂金融科技法制、推動生醫法規國際調和等。</w:t>
      </w:r>
    </w:p>
    <w:p w:rsidR="00FF77B2" w:rsidRPr="00CD23A7" w:rsidRDefault="00FF77B2" w:rsidP="002D2E25">
      <w:pPr>
        <w:spacing w:line="240" w:lineRule="atLeas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</w:p>
    <w:p w:rsidR="00FF77B2" w:rsidRPr="00CD23A7" w:rsidRDefault="00FF77B2" w:rsidP="002D2E25">
      <w:pPr>
        <w:spacing w:line="240" w:lineRule="atLeast"/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</w:pPr>
      <w:r w:rsidRPr="00CD23A7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 xml:space="preserve">     </w:t>
      </w:r>
      <w:r w:rsidRPr="00CD23A7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國發會說明，希望大家不要忽略了台灣在資訊科技、產業群聚、創新創業精神、理工人才、醫療技術等，都有堅強的基礎。今年</w:t>
      </w:r>
      <w:r w:rsidRPr="00CD23A7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>8</w:t>
      </w:r>
      <w:r w:rsidRPr="00CD23A7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月甫來台的前白宮科技顧問羅斯即認為，台灣如能善用優勢，在物聯網、數據分析及機器人等未來產業的發展，十分樂觀。因此，期盼國人不要妄自菲薄，一起為打造台灣成為數位國家、智慧島嶼而共同努力。</w:t>
      </w:r>
    </w:p>
    <w:sectPr w:rsidR="00FF77B2" w:rsidRPr="00CD23A7" w:rsidSect="00C978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448"/>
    <w:rsid w:val="00013324"/>
    <w:rsid w:val="00070C96"/>
    <w:rsid w:val="000B4476"/>
    <w:rsid w:val="000C7AD2"/>
    <w:rsid w:val="00156990"/>
    <w:rsid w:val="001A1B89"/>
    <w:rsid w:val="002D2E25"/>
    <w:rsid w:val="00320448"/>
    <w:rsid w:val="003377B3"/>
    <w:rsid w:val="003C101E"/>
    <w:rsid w:val="005811F6"/>
    <w:rsid w:val="006134D5"/>
    <w:rsid w:val="00757D5E"/>
    <w:rsid w:val="00890CAB"/>
    <w:rsid w:val="0089184B"/>
    <w:rsid w:val="00896F96"/>
    <w:rsid w:val="009D0F91"/>
    <w:rsid w:val="00A15C3D"/>
    <w:rsid w:val="00BE30E0"/>
    <w:rsid w:val="00C97817"/>
    <w:rsid w:val="00CD23A7"/>
    <w:rsid w:val="00CF6231"/>
    <w:rsid w:val="00D47B3C"/>
    <w:rsid w:val="00D6275B"/>
    <w:rsid w:val="00D966F1"/>
    <w:rsid w:val="00E13F03"/>
    <w:rsid w:val="00E772F4"/>
    <w:rsid w:val="00EB1CA5"/>
    <w:rsid w:val="00F75D2F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1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146</Words>
  <Characters>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Jim Chou</cp:lastModifiedBy>
  <cp:revision>4</cp:revision>
  <dcterms:created xsi:type="dcterms:W3CDTF">2016-09-17T06:34:00Z</dcterms:created>
  <dcterms:modified xsi:type="dcterms:W3CDTF">2016-09-17T06:36:00Z</dcterms:modified>
</cp:coreProperties>
</file>