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13" w:rsidRPr="00FD5C0C" w:rsidRDefault="00D3711E" w:rsidP="00660713">
      <w:pPr>
        <w:snapToGrid w:val="0"/>
        <w:spacing w:line="0" w:lineRule="atLeast"/>
        <w:rPr>
          <w:rFonts w:ascii="微軟正黑體" w:eastAsia="微軟正黑體" w:hAnsi="微軟正黑體" w:cs="Times New Roman"/>
          <w:b/>
          <w:color w:val="0D0D0D" w:themeColor="text1" w:themeTint="F2"/>
          <w:sz w:val="36"/>
          <w:szCs w:val="36"/>
        </w:rPr>
      </w:pPr>
      <w:r w:rsidRPr="00FD5C0C">
        <w:rPr>
          <w:rFonts w:ascii="Calibri" w:eastAsia="新細明體" w:hAnsi="Calibri" w:cs="Times New Roman"/>
          <w:noProof/>
          <w:color w:val="0D0D0D" w:themeColor="text1" w:themeTint="F2"/>
        </w:rPr>
        <w:drawing>
          <wp:inline distT="0" distB="0" distL="0" distR="0" wp14:anchorId="4633628D" wp14:editId="3C589E5A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FD5C0C" w:rsidRDefault="004547B8" w:rsidP="00740FC1">
      <w:pPr>
        <w:spacing w:line="0" w:lineRule="atLeast"/>
        <w:jc w:val="center"/>
        <w:rPr>
          <w:rFonts w:ascii="標楷體" w:eastAsia="標楷體" w:hAnsi="標楷體" w:cs="Times New Roman"/>
          <w:b/>
          <w:color w:val="0D0D0D" w:themeColor="text1" w:themeTint="F2"/>
          <w:sz w:val="36"/>
          <w:szCs w:val="36"/>
        </w:rPr>
      </w:pPr>
      <w:r w:rsidRPr="00FD5C0C">
        <w:rPr>
          <w:rFonts w:ascii="標楷體" w:eastAsia="標楷體" w:hAnsi="標楷體" w:cs="Times New Roman" w:hint="eastAsia"/>
          <w:b/>
          <w:color w:val="0D0D0D" w:themeColor="text1" w:themeTint="F2"/>
          <w:sz w:val="36"/>
          <w:szCs w:val="36"/>
        </w:rPr>
        <w:t>國家發展</w:t>
      </w:r>
      <w:r w:rsidRPr="00FD5C0C">
        <w:rPr>
          <w:rFonts w:ascii="標楷體" w:eastAsia="標楷體" w:hAnsi="標楷體" w:cs="Times New Roman"/>
          <w:b/>
          <w:color w:val="0D0D0D" w:themeColor="text1" w:themeTint="F2"/>
          <w:sz w:val="36"/>
          <w:szCs w:val="36"/>
        </w:rPr>
        <w:t>委員會 新聞稿</w:t>
      </w:r>
    </w:p>
    <w:p w:rsidR="00740FC1" w:rsidRPr="00FD5C0C" w:rsidRDefault="00740FC1" w:rsidP="00740FC1">
      <w:pPr>
        <w:spacing w:line="0" w:lineRule="atLeast"/>
        <w:jc w:val="center"/>
        <w:rPr>
          <w:rFonts w:ascii="標楷體" w:eastAsia="標楷體" w:hAnsi="標楷體" w:cs="Times New Roman"/>
          <w:b/>
          <w:bCs/>
          <w:color w:val="0D0D0D" w:themeColor="text1" w:themeTint="F2"/>
          <w:sz w:val="36"/>
          <w:szCs w:val="36"/>
        </w:rPr>
      </w:pPr>
    </w:p>
    <w:p w:rsidR="004547B8" w:rsidRPr="00FD5C0C" w:rsidRDefault="002B5365" w:rsidP="002B5365">
      <w:pPr>
        <w:spacing w:line="280" w:lineRule="exact"/>
        <w:jc w:val="both"/>
        <w:rPr>
          <w:rFonts w:ascii="Times New Roman" w:eastAsia="標楷體" w:hAnsi="Times New Roman" w:cs="Times New Roman"/>
          <w:color w:val="0D0D0D" w:themeColor="text1" w:themeTint="F2"/>
          <w:szCs w:val="24"/>
        </w:rPr>
      </w:pPr>
      <w:r w:rsidRPr="00FD5C0C">
        <w:rPr>
          <w:rFonts w:ascii="Times New Roman" w:eastAsia="標楷體" w:hAnsi="Times New Roman" w:cs="Times New Roman" w:hint="eastAsia"/>
          <w:color w:val="0D0D0D" w:themeColor="text1" w:themeTint="F2"/>
          <w:szCs w:val="24"/>
        </w:rPr>
        <w:t xml:space="preserve">                                 </w:t>
      </w:r>
      <w:r w:rsidR="004547B8" w:rsidRPr="00FD5C0C">
        <w:rPr>
          <w:rFonts w:ascii="Times New Roman" w:eastAsia="標楷體" w:hAnsi="Times New Roman" w:cs="Times New Roman"/>
          <w:color w:val="0D0D0D" w:themeColor="text1" w:themeTint="F2"/>
          <w:szCs w:val="24"/>
        </w:rPr>
        <w:t>發布日期：</w:t>
      </w:r>
      <w:r w:rsidR="00E26BF0" w:rsidRPr="00FD5C0C">
        <w:rPr>
          <w:rFonts w:ascii="Times New Roman" w:eastAsia="標楷體" w:hAnsi="Times New Roman" w:cs="Times New Roman"/>
          <w:color w:val="0D0D0D" w:themeColor="text1" w:themeTint="F2"/>
          <w:szCs w:val="24"/>
        </w:rPr>
        <w:t>10</w:t>
      </w:r>
      <w:r w:rsidR="00F36DA6" w:rsidRPr="00FD5C0C">
        <w:rPr>
          <w:rFonts w:ascii="Times New Roman" w:eastAsia="標楷體" w:hAnsi="Times New Roman" w:cs="Times New Roman"/>
          <w:color w:val="0D0D0D" w:themeColor="text1" w:themeTint="F2"/>
          <w:szCs w:val="24"/>
        </w:rPr>
        <w:t>5</w:t>
      </w:r>
      <w:r w:rsidR="004547B8" w:rsidRPr="00FD5C0C">
        <w:rPr>
          <w:rFonts w:ascii="Times New Roman" w:eastAsia="標楷體" w:hAnsi="Times New Roman" w:cs="Times New Roman"/>
          <w:color w:val="0D0D0D" w:themeColor="text1" w:themeTint="F2"/>
          <w:szCs w:val="24"/>
        </w:rPr>
        <w:t>年</w:t>
      </w:r>
      <w:r w:rsidR="00895DCE" w:rsidRPr="00FD5C0C">
        <w:rPr>
          <w:rFonts w:ascii="Times New Roman" w:eastAsia="標楷體" w:hAnsi="Times New Roman" w:cs="Times New Roman" w:hint="eastAsia"/>
          <w:color w:val="0D0D0D" w:themeColor="text1" w:themeTint="F2"/>
          <w:szCs w:val="24"/>
        </w:rPr>
        <w:t>10</w:t>
      </w:r>
      <w:r w:rsidR="004547B8" w:rsidRPr="00FD5C0C">
        <w:rPr>
          <w:rFonts w:ascii="Times New Roman" w:eastAsia="標楷體" w:hAnsi="Times New Roman" w:cs="Times New Roman"/>
          <w:color w:val="0D0D0D" w:themeColor="text1" w:themeTint="F2"/>
          <w:szCs w:val="24"/>
        </w:rPr>
        <w:t>月</w:t>
      </w:r>
      <w:r w:rsidR="00895DCE" w:rsidRPr="00FD5C0C">
        <w:rPr>
          <w:rFonts w:ascii="Times New Roman" w:eastAsia="標楷體" w:hAnsi="Times New Roman" w:cs="Times New Roman" w:hint="eastAsia"/>
          <w:color w:val="0D0D0D" w:themeColor="text1" w:themeTint="F2"/>
          <w:szCs w:val="24"/>
        </w:rPr>
        <w:t>13</w:t>
      </w:r>
      <w:r w:rsidR="004547B8" w:rsidRPr="00FD5C0C">
        <w:rPr>
          <w:rFonts w:ascii="Times New Roman" w:eastAsia="標楷體" w:hAnsi="Times New Roman" w:cs="Times New Roman"/>
          <w:color w:val="0D0D0D" w:themeColor="text1" w:themeTint="F2"/>
          <w:szCs w:val="24"/>
        </w:rPr>
        <w:t>日</w:t>
      </w:r>
    </w:p>
    <w:p w:rsidR="004547B8" w:rsidRPr="00FD5C0C" w:rsidRDefault="002B5365" w:rsidP="002B5365">
      <w:pPr>
        <w:spacing w:line="280" w:lineRule="exact"/>
        <w:jc w:val="both"/>
        <w:rPr>
          <w:rFonts w:ascii="Times New Roman" w:eastAsia="標楷體" w:hAnsi="Times New Roman" w:cs="Times New Roman"/>
          <w:color w:val="0D0D0D" w:themeColor="text1" w:themeTint="F2"/>
          <w:szCs w:val="24"/>
        </w:rPr>
      </w:pPr>
      <w:r w:rsidRPr="00FD5C0C">
        <w:rPr>
          <w:rFonts w:ascii="Times New Roman" w:eastAsia="標楷體" w:hAnsi="Times New Roman" w:cs="Times New Roman" w:hint="eastAsia"/>
          <w:color w:val="0D0D0D" w:themeColor="text1" w:themeTint="F2"/>
          <w:szCs w:val="24"/>
        </w:rPr>
        <w:t xml:space="preserve">                                 </w:t>
      </w:r>
      <w:r w:rsidR="004547B8" w:rsidRPr="00FD5C0C">
        <w:rPr>
          <w:rFonts w:ascii="Times New Roman" w:eastAsia="標楷體" w:hAnsi="Times New Roman" w:cs="Times New Roman"/>
          <w:color w:val="0D0D0D" w:themeColor="text1" w:themeTint="F2"/>
          <w:szCs w:val="24"/>
        </w:rPr>
        <w:t>聯</w:t>
      </w:r>
      <w:r w:rsidR="004547B8" w:rsidRPr="00FD5C0C">
        <w:rPr>
          <w:rFonts w:ascii="Times New Roman" w:eastAsia="標楷體" w:hAnsi="Times New Roman" w:cs="Times New Roman"/>
          <w:color w:val="0D0D0D" w:themeColor="text1" w:themeTint="F2"/>
          <w:szCs w:val="24"/>
        </w:rPr>
        <w:t xml:space="preserve"> </w:t>
      </w:r>
      <w:r w:rsidR="004547B8" w:rsidRPr="00FD5C0C">
        <w:rPr>
          <w:rFonts w:ascii="Times New Roman" w:eastAsia="標楷體" w:hAnsi="Times New Roman" w:cs="Times New Roman"/>
          <w:color w:val="0D0D0D" w:themeColor="text1" w:themeTint="F2"/>
          <w:szCs w:val="24"/>
        </w:rPr>
        <w:t>絡</w:t>
      </w:r>
      <w:r w:rsidR="004547B8" w:rsidRPr="00FD5C0C">
        <w:rPr>
          <w:rFonts w:ascii="Times New Roman" w:eastAsia="標楷體" w:hAnsi="Times New Roman" w:cs="Times New Roman"/>
          <w:color w:val="0D0D0D" w:themeColor="text1" w:themeTint="F2"/>
          <w:szCs w:val="24"/>
        </w:rPr>
        <w:t xml:space="preserve"> </w:t>
      </w:r>
      <w:r w:rsidR="004547B8" w:rsidRPr="00FD5C0C">
        <w:rPr>
          <w:rFonts w:ascii="Times New Roman" w:eastAsia="標楷體" w:hAnsi="Times New Roman" w:cs="Times New Roman"/>
          <w:color w:val="0D0D0D" w:themeColor="text1" w:themeTint="F2"/>
          <w:szCs w:val="24"/>
        </w:rPr>
        <w:t>人：</w:t>
      </w:r>
      <w:r w:rsidRPr="00FD5C0C">
        <w:rPr>
          <w:rFonts w:ascii="Times New Roman" w:eastAsia="標楷體" w:hAnsi="Times New Roman" w:cs="Times New Roman" w:hint="eastAsia"/>
          <w:color w:val="0D0D0D" w:themeColor="text1" w:themeTint="F2"/>
          <w:szCs w:val="24"/>
        </w:rPr>
        <w:t>謝</w:t>
      </w:r>
      <w:proofErr w:type="gramStart"/>
      <w:r w:rsidRPr="00FD5C0C">
        <w:rPr>
          <w:rFonts w:ascii="Times New Roman" w:eastAsia="標楷體" w:hAnsi="Times New Roman" w:cs="Times New Roman" w:hint="eastAsia"/>
          <w:color w:val="0D0D0D" w:themeColor="text1" w:themeTint="F2"/>
          <w:szCs w:val="24"/>
        </w:rPr>
        <w:t>組長焰盛</w:t>
      </w:r>
      <w:proofErr w:type="gramEnd"/>
      <w:r w:rsidR="00A96F7C" w:rsidRPr="00FD5C0C">
        <w:rPr>
          <w:rFonts w:ascii="Times New Roman" w:eastAsia="標楷體" w:hAnsi="Times New Roman" w:cs="Times New Roman"/>
          <w:color w:val="0D0D0D" w:themeColor="text1" w:themeTint="F2"/>
          <w:szCs w:val="24"/>
        </w:rPr>
        <w:t>、</w:t>
      </w:r>
      <w:r w:rsidR="00895DCE" w:rsidRPr="00FD5C0C">
        <w:rPr>
          <w:rFonts w:ascii="Times New Roman" w:eastAsia="標楷體" w:hAnsi="Times New Roman" w:cs="Times New Roman" w:hint="eastAsia"/>
          <w:color w:val="0D0D0D" w:themeColor="text1" w:themeTint="F2"/>
          <w:szCs w:val="24"/>
        </w:rPr>
        <w:t>石科長淑惠</w:t>
      </w:r>
    </w:p>
    <w:p w:rsidR="002B5365" w:rsidRPr="00FD5C0C" w:rsidRDefault="002B5365" w:rsidP="002B5365">
      <w:pPr>
        <w:ind w:right="-58"/>
        <w:rPr>
          <w:rFonts w:ascii="Times New Roman" w:eastAsia="標楷體" w:hAnsi="Times New Roman" w:cs="Times New Roman"/>
          <w:color w:val="0D0D0D" w:themeColor="text1" w:themeTint="F2"/>
          <w:szCs w:val="24"/>
        </w:rPr>
      </w:pPr>
      <w:r w:rsidRPr="00FD5C0C">
        <w:rPr>
          <w:rFonts w:ascii="Times New Roman" w:eastAsia="標楷體" w:hAnsi="Times New Roman" w:cs="Times New Roman" w:hint="eastAsia"/>
          <w:color w:val="0D0D0D" w:themeColor="text1" w:themeTint="F2"/>
          <w:szCs w:val="24"/>
        </w:rPr>
        <w:t xml:space="preserve">                                 </w:t>
      </w:r>
      <w:r w:rsidR="004547B8" w:rsidRPr="00FD5C0C">
        <w:rPr>
          <w:rFonts w:ascii="Times New Roman" w:eastAsia="標楷體" w:hAnsi="Times New Roman" w:cs="Times New Roman"/>
          <w:color w:val="0D0D0D" w:themeColor="text1" w:themeTint="F2"/>
          <w:szCs w:val="24"/>
        </w:rPr>
        <w:t>聯絡電話：</w:t>
      </w:r>
      <w:r w:rsidRPr="00FD5C0C">
        <w:rPr>
          <w:rFonts w:ascii="Times New Roman" w:eastAsia="標楷體" w:hAnsi="Times New Roman" w:cs="Times New Roman" w:hint="eastAsia"/>
          <w:color w:val="0D0D0D" w:themeColor="text1" w:themeTint="F2"/>
          <w:szCs w:val="24"/>
        </w:rPr>
        <w:t>0955-416435</w:t>
      </w:r>
      <w:r w:rsidRPr="00FD5C0C">
        <w:rPr>
          <w:rFonts w:ascii="Times New Roman" w:eastAsia="標楷體" w:hAnsi="Times New Roman" w:cs="Times New Roman" w:hint="eastAsia"/>
          <w:color w:val="0D0D0D" w:themeColor="text1" w:themeTint="F2"/>
          <w:szCs w:val="24"/>
        </w:rPr>
        <w:t>、</w:t>
      </w:r>
      <w:r w:rsidRPr="00FD5C0C">
        <w:rPr>
          <w:rFonts w:ascii="Times New Roman" w:eastAsia="標楷體" w:hAnsi="Times New Roman" w:cs="Times New Roman" w:hint="eastAsia"/>
          <w:color w:val="0D0D0D" w:themeColor="text1" w:themeTint="F2"/>
          <w:szCs w:val="24"/>
        </w:rPr>
        <w:t>09</w:t>
      </w:r>
      <w:r w:rsidR="00895DCE" w:rsidRPr="00FD5C0C">
        <w:rPr>
          <w:rFonts w:ascii="Times New Roman" w:eastAsia="標楷體" w:hAnsi="Times New Roman" w:cs="Times New Roman" w:hint="eastAsia"/>
          <w:color w:val="0D0D0D" w:themeColor="text1" w:themeTint="F2"/>
          <w:szCs w:val="24"/>
        </w:rPr>
        <w:t>53</w:t>
      </w:r>
      <w:r w:rsidRPr="00FD5C0C">
        <w:rPr>
          <w:rFonts w:ascii="Times New Roman" w:eastAsia="標楷體" w:hAnsi="Times New Roman" w:cs="Times New Roman" w:hint="eastAsia"/>
          <w:color w:val="0D0D0D" w:themeColor="text1" w:themeTint="F2"/>
          <w:szCs w:val="24"/>
        </w:rPr>
        <w:t>-</w:t>
      </w:r>
      <w:r w:rsidR="00895DCE" w:rsidRPr="00FD5C0C">
        <w:rPr>
          <w:rFonts w:ascii="Times New Roman" w:eastAsia="標楷體" w:hAnsi="Times New Roman" w:cs="Times New Roman" w:hint="eastAsia"/>
          <w:color w:val="0D0D0D" w:themeColor="text1" w:themeTint="F2"/>
          <w:szCs w:val="24"/>
        </w:rPr>
        <w:t>262772</w:t>
      </w:r>
      <w:r w:rsidRPr="00FD5C0C">
        <w:rPr>
          <w:rFonts w:ascii="Times New Roman" w:eastAsia="標楷體" w:hAnsi="Times New Roman" w:cs="Times New Roman"/>
          <w:color w:val="0D0D0D" w:themeColor="text1" w:themeTint="F2"/>
          <w:szCs w:val="24"/>
        </w:rPr>
        <w:t xml:space="preserve"> </w:t>
      </w:r>
    </w:p>
    <w:p w:rsidR="003F3254" w:rsidRPr="00FD5C0C" w:rsidRDefault="002B5365" w:rsidP="002B5365">
      <w:pPr>
        <w:snapToGrid w:val="0"/>
        <w:spacing w:beforeLines="50" w:before="180" w:line="360" w:lineRule="auto"/>
        <w:jc w:val="center"/>
        <w:rPr>
          <w:rFonts w:ascii="標楷體" w:eastAsia="標楷體" w:hAnsi="標楷體" w:cs="Times New Roman"/>
          <w:b/>
          <w:color w:val="0D0D0D" w:themeColor="text1" w:themeTint="F2"/>
          <w:sz w:val="36"/>
          <w:szCs w:val="36"/>
        </w:rPr>
      </w:pPr>
      <w:r w:rsidRPr="00FD5C0C">
        <w:rPr>
          <w:rFonts w:ascii="標楷體" w:eastAsia="標楷體" w:hAnsi="標楷體" w:cs="Times New Roman" w:hint="eastAsia"/>
          <w:b/>
          <w:color w:val="0D0D0D" w:themeColor="text1" w:themeTint="F2"/>
          <w:sz w:val="36"/>
          <w:szCs w:val="36"/>
        </w:rPr>
        <w:t>典藏國家記憶   金檔</w:t>
      </w:r>
      <w:proofErr w:type="gramStart"/>
      <w:r w:rsidRPr="00FD5C0C">
        <w:rPr>
          <w:rFonts w:ascii="標楷體" w:eastAsia="標楷體" w:hAnsi="標楷體" w:cs="Times New Roman" w:hint="eastAsia"/>
          <w:b/>
          <w:color w:val="0D0D0D" w:themeColor="text1" w:themeTint="F2"/>
          <w:sz w:val="36"/>
          <w:szCs w:val="36"/>
        </w:rPr>
        <w:t>‧</w:t>
      </w:r>
      <w:proofErr w:type="gramEnd"/>
      <w:r w:rsidRPr="00FD5C0C">
        <w:rPr>
          <w:rFonts w:ascii="標楷體" w:eastAsia="標楷體" w:hAnsi="標楷體" w:cs="Times New Roman" w:hint="eastAsia"/>
          <w:b/>
          <w:color w:val="0D0D0D" w:themeColor="text1" w:themeTint="F2"/>
          <w:sz w:val="36"/>
          <w:szCs w:val="36"/>
        </w:rPr>
        <w:t>金質綻放光芒！</w:t>
      </w:r>
    </w:p>
    <w:p w:rsidR="004969E7" w:rsidRPr="00FD5C0C" w:rsidRDefault="004969E7" w:rsidP="004969E7">
      <w:pPr>
        <w:snapToGrid w:val="0"/>
        <w:spacing w:line="360" w:lineRule="auto"/>
        <w:ind w:firstLine="770"/>
        <w:jc w:val="both"/>
        <w:rPr>
          <w:rFonts w:eastAsia="標楷體" w:hAnsi="標楷體"/>
          <w:color w:val="0D0D0D" w:themeColor="text1" w:themeTint="F2"/>
          <w:spacing w:val="20"/>
          <w:sz w:val="32"/>
          <w:szCs w:val="28"/>
        </w:rPr>
      </w:pPr>
      <w:r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國家發展委員會</w:t>
      </w:r>
      <w:r w:rsidR="00944D73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副</w:t>
      </w:r>
      <w:r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主任委員</w:t>
      </w:r>
      <w:r w:rsidR="00944D73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高仙桂</w:t>
      </w:r>
      <w:r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今日出席第</w:t>
      </w:r>
      <w:r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1</w:t>
      </w:r>
      <w:r w:rsidR="00192E07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4</w:t>
      </w:r>
      <w:r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屆機關檔案管理</w:t>
      </w:r>
      <w:proofErr w:type="gramStart"/>
      <w:r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金檔獎</w:t>
      </w:r>
      <w:proofErr w:type="gramEnd"/>
      <w:r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暨金質獎頒獎典禮，頒獎</w:t>
      </w:r>
      <w:r w:rsidR="00FC51FC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給</w:t>
      </w:r>
      <w:r w:rsidR="00192E07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19</w:t>
      </w:r>
      <w:r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個</w:t>
      </w:r>
      <w:proofErr w:type="gramStart"/>
      <w:r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金檔獎</w:t>
      </w:r>
      <w:proofErr w:type="gramEnd"/>
      <w:r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獲獎機關及</w:t>
      </w:r>
      <w:r w:rsidR="00192E07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18</w:t>
      </w:r>
      <w:r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位</w:t>
      </w:r>
      <w:bookmarkStart w:id="0" w:name="_GoBack"/>
      <w:bookmarkEnd w:id="0"/>
      <w:r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金質獎獲獎人員，除了對於獲獎機關與人員表達高度肯定與誠摯祝賀外，也期</w:t>
      </w:r>
      <w:proofErr w:type="gramStart"/>
      <w:r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勉</w:t>
      </w:r>
      <w:proofErr w:type="gramEnd"/>
      <w:r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大家持續精益求精，</w:t>
      </w:r>
      <w:r w:rsidR="00192E07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繼續為無聲的檔案發聲</w:t>
      </w:r>
      <w:r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。</w:t>
      </w:r>
    </w:p>
    <w:p w:rsidR="00D94CD8" w:rsidRPr="00FD5C0C" w:rsidRDefault="00944D73" w:rsidP="00D94CD8">
      <w:pPr>
        <w:snapToGrid w:val="0"/>
        <w:spacing w:line="360" w:lineRule="auto"/>
        <w:ind w:firstLine="770"/>
        <w:jc w:val="both"/>
        <w:rPr>
          <w:rFonts w:eastAsia="標楷體" w:hAnsi="標楷體"/>
          <w:color w:val="0D0D0D" w:themeColor="text1" w:themeTint="F2"/>
          <w:spacing w:val="20"/>
          <w:sz w:val="32"/>
          <w:szCs w:val="28"/>
        </w:rPr>
      </w:pPr>
      <w:r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高仙桂</w:t>
      </w:r>
      <w:r w:rsidR="004969E7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致詞時</w:t>
      </w:r>
      <w:r w:rsidR="00427C1B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表示</w:t>
      </w:r>
      <w:r w:rsidR="004969E7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，</w:t>
      </w:r>
      <w:r w:rsidR="00192E07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檔案是政府施政的真實紀錄，</w:t>
      </w:r>
      <w:proofErr w:type="gramStart"/>
      <w:r w:rsidR="00192E07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見證著</w:t>
      </w:r>
      <w:proofErr w:type="gramEnd"/>
      <w:r w:rsidR="00192E07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國家歷史演進、社會發展點滴及人民生活經驗，藉由妥善的典藏，讓</w:t>
      </w:r>
      <w:r w:rsidR="00F951D8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臺灣過往的發展軌跡</w:t>
      </w:r>
      <w:r w:rsidR="00192E07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得以完整的保存，並透過更開放的行銷與應用，凝聚</w:t>
      </w:r>
      <w:r w:rsidR="002551B5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屬於全民</w:t>
      </w:r>
      <w:r w:rsidR="00192E07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的國家記憶與認同。</w:t>
      </w:r>
      <w:r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她</w:t>
      </w:r>
      <w:r w:rsidR="00F951D8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也指出，獲獎機關除</w:t>
      </w:r>
      <w:r w:rsidR="0092696A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了</w:t>
      </w:r>
      <w:r w:rsidR="00F951D8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重視檔案的珍藏與維護</w:t>
      </w:r>
      <w:r w:rsidR="0092696A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外，更能夠從本身的核心職能出發</w:t>
      </w:r>
      <w:r w:rsidR="00D94CD8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，辦理檔案展及加值推廣，例如新北市新莊地政事務所開辦「古</w:t>
      </w:r>
      <w:proofErr w:type="gramStart"/>
      <w:r w:rsidR="00D94CD8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庄</w:t>
      </w:r>
      <w:proofErr w:type="gramEnd"/>
      <w:r w:rsidR="00D94CD8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新傳</w:t>
      </w:r>
      <w:r w:rsidR="00D94CD8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-</w:t>
      </w:r>
      <w:r w:rsidR="00D94CD8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地政檔案文物展」，將生硬的地政檔案，融入在地發展歷史，拉近檔案與民眾的距離；經濟部水利署第五河川局將政府治水策略、防洪工程以</w:t>
      </w:r>
      <w:r w:rsidR="008A2C75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及</w:t>
      </w:r>
      <w:r w:rsidR="00D94CD8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颱風災後復原事蹟等珍貴史料集結成冊，出版「治水</w:t>
      </w:r>
      <w:r w:rsidR="00D94CD8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 xml:space="preserve">80 </w:t>
      </w:r>
      <w:r w:rsidR="00D94CD8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週年紀念冊」，讓施政經驗獲得延續與傳承。</w:t>
      </w:r>
    </w:p>
    <w:p w:rsidR="004969E7" w:rsidRPr="00FD5C0C" w:rsidRDefault="008A2C75" w:rsidP="00F951D8">
      <w:pPr>
        <w:snapToGrid w:val="0"/>
        <w:spacing w:line="360" w:lineRule="auto"/>
        <w:ind w:firstLine="770"/>
        <w:jc w:val="both"/>
        <w:rPr>
          <w:rFonts w:eastAsia="標楷體" w:hAnsi="標楷體"/>
          <w:color w:val="0D0D0D" w:themeColor="text1" w:themeTint="F2"/>
          <w:spacing w:val="20"/>
          <w:sz w:val="32"/>
          <w:szCs w:val="28"/>
        </w:rPr>
      </w:pPr>
      <w:r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lastRenderedPageBreak/>
        <w:t>為彰顯檔案的重要性，</w:t>
      </w:r>
      <w:r w:rsidR="00944D73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高仙桂</w:t>
      </w:r>
      <w:r w:rsidR="00427C1B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也</w:t>
      </w:r>
      <w:r w:rsidR="0092696A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以</w:t>
      </w:r>
      <w:r w:rsidR="00E67186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獲獎的</w:t>
      </w:r>
      <w:proofErr w:type="gramStart"/>
      <w:r w:rsidR="00E67186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臺</w:t>
      </w:r>
      <w:proofErr w:type="gramEnd"/>
      <w:r w:rsidR="00E67186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南市永康區戶政事務所為例，今年</w:t>
      </w:r>
      <w:r w:rsidR="00E67186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2</w:t>
      </w:r>
      <w:r w:rsidR="00E67186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月</w:t>
      </w:r>
      <w:r w:rsidR="00E67186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6</w:t>
      </w:r>
      <w:r w:rsidR="00E67186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日</w:t>
      </w:r>
      <w:proofErr w:type="gramStart"/>
      <w:r w:rsidR="00E67186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臺</w:t>
      </w:r>
      <w:proofErr w:type="gramEnd"/>
      <w:r w:rsidR="00E67186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南發生地震，</w:t>
      </w:r>
      <w:r w:rsidR="00D332C7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造成維冠大樓倒塌，</w:t>
      </w:r>
      <w:r w:rsidR="00E67186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永康戶所在第一時間提供該大樓的門牌號碼配置明細及設籍名冊，讓救災中心得以掌握住戶人數及位置，加速救災的效率，充分</w:t>
      </w:r>
      <w:r w:rsidR="00377CB1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展現</w:t>
      </w:r>
      <w:r w:rsidR="00E67186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檔案</w:t>
      </w:r>
      <w:r w:rsidR="00377CB1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與民眾的切身關係</w:t>
      </w:r>
      <w:r w:rsidR="00E67186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。</w:t>
      </w:r>
    </w:p>
    <w:p w:rsidR="00BA5E4F" w:rsidRPr="00FD5C0C" w:rsidRDefault="000D0984" w:rsidP="004969E7">
      <w:pPr>
        <w:snapToGrid w:val="0"/>
        <w:spacing w:line="360" w:lineRule="auto"/>
        <w:ind w:firstLine="770"/>
        <w:jc w:val="both"/>
        <w:rPr>
          <w:rFonts w:eastAsia="標楷體" w:hAnsi="標楷體"/>
          <w:color w:val="0D0D0D" w:themeColor="text1" w:themeTint="F2"/>
          <w:spacing w:val="20"/>
          <w:sz w:val="32"/>
          <w:szCs w:val="28"/>
        </w:rPr>
      </w:pPr>
      <w:r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為了鼓勵機關重視檔案管理工作及激勵檔案管理人員，檔案局自</w:t>
      </w:r>
      <w:r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92</w:t>
      </w:r>
      <w:r w:rsidR="00BA5E4F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年起，每年辦理</w:t>
      </w:r>
      <w:proofErr w:type="gramStart"/>
      <w:r w:rsidR="00BA5E4F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金檔獎</w:t>
      </w:r>
      <w:proofErr w:type="gramEnd"/>
      <w:r w:rsidR="00BA5E4F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及金質獎評獎。透過評獎機制，不僅讓機關檔案管理制度現代化、</w:t>
      </w:r>
      <w:r w:rsidR="00415A18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標準化，</w:t>
      </w:r>
      <w:r w:rsidR="0092696A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也建立學習標竿，進而提升全國機關檔案管理效能</w:t>
      </w:r>
      <w:r w:rsidR="00415A18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。</w:t>
      </w:r>
    </w:p>
    <w:p w:rsidR="004969E7" w:rsidRPr="00FD5C0C" w:rsidRDefault="000D0984" w:rsidP="00415A18">
      <w:pPr>
        <w:snapToGrid w:val="0"/>
        <w:spacing w:line="360" w:lineRule="auto"/>
        <w:ind w:firstLine="770"/>
        <w:jc w:val="both"/>
        <w:rPr>
          <w:rFonts w:eastAsia="標楷體" w:hAnsi="標楷體"/>
          <w:color w:val="0D0D0D" w:themeColor="text1" w:themeTint="F2"/>
          <w:spacing w:val="20"/>
          <w:sz w:val="32"/>
          <w:szCs w:val="28"/>
        </w:rPr>
      </w:pPr>
      <w:r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本屆共有</w:t>
      </w:r>
      <w:r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347</w:t>
      </w:r>
      <w:r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個機關參加金檔獎、</w:t>
      </w:r>
      <w:r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117</w:t>
      </w:r>
      <w:r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名檔管人員參加金質獎，經過長達</w:t>
      </w:r>
      <w:r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4</w:t>
      </w:r>
      <w:r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個月的</w:t>
      </w:r>
      <w:r w:rsidR="00415A18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重重</w:t>
      </w:r>
      <w:r w:rsidR="0092696A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審核</w:t>
      </w:r>
      <w:r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，最終共有</w:t>
      </w:r>
      <w:r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19</w:t>
      </w:r>
      <w:r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個機關及</w:t>
      </w:r>
      <w:r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18</w:t>
      </w:r>
      <w:r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位檔管人員脫穎而出。</w:t>
      </w:r>
      <w:r w:rsidR="004969E7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為讓各界能瞭解機關檔案管理成效，並分享獲獎機關與人員的喜悅，</w:t>
      </w:r>
      <w:r w:rsidR="00415A18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檔案管理局</w:t>
      </w:r>
      <w:r w:rsidR="004969E7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特別製作評獎紀實影片，放置於全球資訊網</w:t>
      </w:r>
      <w:r w:rsidR="004969E7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(www.archives.gov.tw)\</w:t>
      </w:r>
      <w:r w:rsidR="004969E7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機關服務</w:t>
      </w:r>
      <w:r w:rsidR="004969E7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\</w:t>
      </w:r>
      <w:r w:rsidR="004969E7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金檔獎暨金質獎</w:t>
      </w:r>
      <w:r w:rsidR="004969E7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\</w:t>
      </w:r>
      <w:r w:rsidR="004969E7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各屆菁英</w:t>
      </w:r>
      <w:r w:rsidR="004969E7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(</w:t>
      </w:r>
      <w:r w:rsidR="004969E7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項下</w:t>
      </w:r>
      <w:r w:rsidR="004969E7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)</w:t>
      </w:r>
      <w:r w:rsidR="004969E7" w:rsidRPr="00FD5C0C">
        <w:rPr>
          <w:rFonts w:eastAsia="標楷體" w:hAnsi="標楷體" w:hint="eastAsia"/>
          <w:color w:val="0D0D0D" w:themeColor="text1" w:themeTint="F2"/>
          <w:spacing w:val="20"/>
          <w:sz w:val="32"/>
          <w:szCs w:val="28"/>
        </w:rPr>
        <w:t>，歡迎大家點閱。</w:t>
      </w:r>
    </w:p>
    <w:p w:rsidR="00192E07" w:rsidRPr="00FD5C0C" w:rsidRDefault="00192E07" w:rsidP="00192E07">
      <w:pPr>
        <w:snapToGrid w:val="0"/>
        <w:spacing w:line="360" w:lineRule="auto"/>
        <w:ind w:firstLine="770"/>
        <w:jc w:val="both"/>
        <w:rPr>
          <w:rFonts w:eastAsia="標楷體" w:hAnsi="標楷體"/>
          <w:color w:val="0D0D0D" w:themeColor="text1" w:themeTint="F2"/>
          <w:spacing w:val="20"/>
          <w:sz w:val="32"/>
          <w:szCs w:val="28"/>
        </w:rPr>
      </w:pPr>
    </w:p>
    <w:sectPr w:rsidR="00192E07" w:rsidRPr="00FD5C0C" w:rsidSect="000C04C5"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AB" w:rsidRDefault="00FD12AB" w:rsidP="00AD17CF">
      <w:r>
        <w:separator/>
      </w:r>
    </w:p>
  </w:endnote>
  <w:endnote w:type="continuationSeparator" w:id="0">
    <w:p w:rsidR="00FD12AB" w:rsidRDefault="00FD12AB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AB" w:rsidRDefault="00FD12AB" w:rsidP="00AD17CF">
      <w:r>
        <w:separator/>
      </w:r>
    </w:p>
  </w:footnote>
  <w:footnote w:type="continuationSeparator" w:id="0">
    <w:p w:rsidR="00FD12AB" w:rsidRDefault="00FD12AB" w:rsidP="00AD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76EA"/>
    <w:rsid w:val="00033904"/>
    <w:rsid w:val="00047252"/>
    <w:rsid w:val="00060B1C"/>
    <w:rsid w:val="00070CCB"/>
    <w:rsid w:val="000760AD"/>
    <w:rsid w:val="00093291"/>
    <w:rsid w:val="0009746D"/>
    <w:rsid w:val="000A6C98"/>
    <w:rsid w:val="000A793D"/>
    <w:rsid w:val="000C04C5"/>
    <w:rsid w:val="000C515F"/>
    <w:rsid w:val="000D0984"/>
    <w:rsid w:val="001229C8"/>
    <w:rsid w:val="00126FF3"/>
    <w:rsid w:val="00192E07"/>
    <w:rsid w:val="001E46D9"/>
    <w:rsid w:val="00212715"/>
    <w:rsid w:val="002551B5"/>
    <w:rsid w:val="002840B4"/>
    <w:rsid w:val="002915EC"/>
    <w:rsid w:val="002919F7"/>
    <w:rsid w:val="002A5213"/>
    <w:rsid w:val="002B5365"/>
    <w:rsid w:val="002B6939"/>
    <w:rsid w:val="00375834"/>
    <w:rsid w:val="00377CB1"/>
    <w:rsid w:val="003F3254"/>
    <w:rsid w:val="00404E7B"/>
    <w:rsid w:val="00415A18"/>
    <w:rsid w:val="00427C1B"/>
    <w:rsid w:val="00441E7A"/>
    <w:rsid w:val="0044257B"/>
    <w:rsid w:val="004547B8"/>
    <w:rsid w:val="004969E7"/>
    <w:rsid w:val="004A2B2C"/>
    <w:rsid w:val="004A55AC"/>
    <w:rsid w:val="004B0755"/>
    <w:rsid w:val="004C3C95"/>
    <w:rsid w:val="004E75F1"/>
    <w:rsid w:val="004F3AEB"/>
    <w:rsid w:val="005035D7"/>
    <w:rsid w:val="00561FA4"/>
    <w:rsid w:val="0056304C"/>
    <w:rsid w:val="00572EB7"/>
    <w:rsid w:val="00574561"/>
    <w:rsid w:val="005C023C"/>
    <w:rsid w:val="005C6813"/>
    <w:rsid w:val="005D69F0"/>
    <w:rsid w:val="00603CA9"/>
    <w:rsid w:val="00617AE8"/>
    <w:rsid w:val="00621FDB"/>
    <w:rsid w:val="00621FFD"/>
    <w:rsid w:val="00630AB2"/>
    <w:rsid w:val="00640E9B"/>
    <w:rsid w:val="00645E02"/>
    <w:rsid w:val="00655F2D"/>
    <w:rsid w:val="00660713"/>
    <w:rsid w:val="0069672F"/>
    <w:rsid w:val="006E3D18"/>
    <w:rsid w:val="006F3ABC"/>
    <w:rsid w:val="00722090"/>
    <w:rsid w:val="007307C1"/>
    <w:rsid w:val="00740FC1"/>
    <w:rsid w:val="007E2F85"/>
    <w:rsid w:val="00826C9D"/>
    <w:rsid w:val="00850F7C"/>
    <w:rsid w:val="00856E25"/>
    <w:rsid w:val="008604E6"/>
    <w:rsid w:val="00865949"/>
    <w:rsid w:val="00886EBB"/>
    <w:rsid w:val="00890ADD"/>
    <w:rsid w:val="00895DCE"/>
    <w:rsid w:val="008A2C75"/>
    <w:rsid w:val="008A3C5A"/>
    <w:rsid w:val="008D3E66"/>
    <w:rsid w:val="0092696A"/>
    <w:rsid w:val="009407AB"/>
    <w:rsid w:val="00944D73"/>
    <w:rsid w:val="00954A13"/>
    <w:rsid w:val="009E6526"/>
    <w:rsid w:val="009F3D24"/>
    <w:rsid w:val="009F5938"/>
    <w:rsid w:val="009F5A73"/>
    <w:rsid w:val="00A100D2"/>
    <w:rsid w:val="00A16ABE"/>
    <w:rsid w:val="00A3756C"/>
    <w:rsid w:val="00A82860"/>
    <w:rsid w:val="00A96F7C"/>
    <w:rsid w:val="00AA1A1D"/>
    <w:rsid w:val="00AB4B84"/>
    <w:rsid w:val="00AC7E80"/>
    <w:rsid w:val="00AD17CF"/>
    <w:rsid w:val="00AE4DD4"/>
    <w:rsid w:val="00AF5B98"/>
    <w:rsid w:val="00B13BEC"/>
    <w:rsid w:val="00B17257"/>
    <w:rsid w:val="00B61EFE"/>
    <w:rsid w:val="00B76D53"/>
    <w:rsid w:val="00BA4BBB"/>
    <w:rsid w:val="00BA5E4F"/>
    <w:rsid w:val="00BC3C57"/>
    <w:rsid w:val="00C14629"/>
    <w:rsid w:val="00C25D46"/>
    <w:rsid w:val="00C42D52"/>
    <w:rsid w:val="00C44DC7"/>
    <w:rsid w:val="00C45982"/>
    <w:rsid w:val="00C46AFD"/>
    <w:rsid w:val="00C473F2"/>
    <w:rsid w:val="00C71AB0"/>
    <w:rsid w:val="00C81828"/>
    <w:rsid w:val="00C8481E"/>
    <w:rsid w:val="00CA444A"/>
    <w:rsid w:val="00CC2F7E"/>
    <w:rsid w:val="00CE219E"/>
    <w:rsid w:val="00CF037C"/>
    <w:rsid w:val="00CF238D"/>
    <w:rsid w:val="00CF2824"/>
    <w:rsid w:val="00CF32E5"/>
    <w:rsid w:val="00CF3948"/>
    <w:rsid w:val="00D067D6"/>
    <w:rsid w:val="00D332C7"/>
    <w:rsid w:val="00D3711E"/>
    <w:rsid w:val="00D433D8"/>
    <w:rsid w:val="00D5747D"/>
    <w:rsid w:val="00D5784F"/>
    <w:rsid w:val="00D745DB"/>
    <w:rsid w:val="00D94CD8"/>
    <w:rsid w:val="00DA1ADE"/>
    <w:rsid w:val="00DB5BE7"/>
    <w:rsid w:val="00DC58FF"/>
    <w:rsid w:val="00E0251A"/>
    <w:rsid w:val="00E05F80"/>
    <w:rsid w:val="00E26BF0"/>
    <w:rsid w:val="00E33557"/>
    <w:rsid w:val="00E55F9C"/>
    <w:rsid w:val="00E60EA5"/>
    <w:rsid w:val="00E67186"/>
    <w:rsid w:val="00EE7F4E"/>
    <w:rsid w:val="00EF211B"/>
    <w:rsid w:val="00F36DA6"/>
    <w:rsid w:val="00F41648"/>
    <w:rsid w:val="00F501D5"/>
    <w:rsid w:val="00F53569"/>
    <w:rsid w:val="00F55615"/>
    <w:rsid w:val="00F62EE3"/>
    <w:rsid w:val="00F66441"/>
    <w:rsid w:val="00F70A66"/>
    <w:rsid w:val="00F81040"/>
    <w:rsid w:val="00F910D7"/>
    <w:rsid w:val="00F951D8"/>
    <w:rsid w:val="00FA1EF2"/>
    <w:rsid w:val="00FA5C1F"/>
    <w:rsid w:val="00FA7CFE"/>
    <w:rsid w:val="00FC51FC"/>
    <w:rsid w:val="00FD12AB"/>
    <w:rsid w:val="00FD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basedOn w:val="a0"/>
    <w:uiPriority w:val="99"/>
    <w:unhideWhenUsed/>
    <w:rsid w:val="007307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basedOn w:val="a0"/>
    <w:uiPriority w:val="99"/>
    <w:unhideWhenUsed/>
    <w:rsid w:val="00730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B15FB-9F4C-4A56-B929-A2CEBF22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146</Words>
  <Characters>837</Characters>
  <Application>Microsoft Office Word</Application>
  <DocSecurity>0</DocSecurity>
  <Lines>6</Lines>
  <Paragraphs>1</Paragraphs>
  <ScaleCrop>false</ScaleCrop>
  <Company>Sky123.Org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簡東佑</cp:lastModifiedBy>
  <cp:revision>20</cp:revision>
  <cp:lastPrinted>2016-08-17T01:12:00Z</cp:lastPrinted>
  <dcterms:created xsi:type="dcterms:W3CDTF">2016-08-11T06:55:00Z</dcterms:created>
  <dcterms:modified xsi:type="dcterms:W3CDTF">2016-10-11T04:13:00Z</dcterms:modified>
</cp:coreProperties>
</file>