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58" w:rsidRPr="00A311D7" w:rsidRDefault="005C4F2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Meiryo" w:hint="eastAsia"/>
          <w:color w:val="222222"/>
          <w:spacing w:val="15"/>
          <w:kern w:val="36"/>
          <w:sz w:val="36"/>
          <w:szCs w:val="36"/>
        </w:rPr>
        <w:t>行政院</w:t>
      </w:r>
      <w:r w:rsidR="00A311D7" w:rsidRPr="00A311D7">
        <w:rPr>
          <w:rFonts w:ascii="標楷體" w:eastAsia="標楷體" w:hAnsi="標楷體" w:cs="Meiryo" w:hint="eastAsia"/>
          <w:color w:val="222222"/>
          <w:spacing w:val="15"/>
          <w:kern w:val="36"/>
          <w:sz w:val="36"/>
          <w:szCs w:val="36"/>
        </w:rPr>
        <w:t>回應九三</w:t>
      </w:r>
      <w:r w:rsidR="00715376">
        <w:rPr>
          <w:rFonts w:ascii="標楷體" w:eastAsia="標楷體" w:hAnsi="標楷體" w:cs="Meiryo" w:hint="eastAsia"/>
          <w:color w:val="222222"/>
          <w:spacing w:val="15"/>
          <w:kern w:val="36"/>
          <w:sz w:val="36"/>
          <w:szCs w:val="36"/>
        </w:rPr>
        <w:t>軍人節遊行，</w:t>
      </w:r>
      <w:r w:rsidR="009B23C6" w:rsidRPr="00A311D7">
        <w:rPr>
          <w:rFonts w:ascii="標楷體" w:eastAsia="標楷體" w:hAnsi="標楷體" w:cs="Meiryo" w:hint="eastAsia"/>
          <w:color w:val="222222"/>
          <w:spacing w:val="15"/>
          <w:kern w:val="36"/>
          <w:sz w:val="36"/>
          <w:szCs w:val="36"/>
        </w:rPr>
        <w:t>監督年金</w:t>
      </w:r>
      <w:r w:rsidR="00715376">
        <w:rPr>
          <w:rFonts w:ascii="標楷體" w:eastAsia="標楷體" w:hAnsi="標楷體" w:cs="Meiryo" w:hint="eastAsia"/>
          <w:color w:val="222222"/>
          <w:spacing w:val="15"/>
          <w:kern w:val="36"/>
          <w:sz w:val="36"/>
          <w:szCs w:val="36"/>
        </w:rPr>
        <w:t>改革</w:t>
      </w:r>
      <w:r w:rsidR="009B23C6" w:rsidRPr="00A311D7">
        <w:rPr>
          <w:rFonts w:ascii="標楷體" w:eastAsia="標楷體" w:hAnsi="標楷體" w:cs="Meiryo" w:hint="eastAsia"/>
          <w:color w:val="222222"/>
          <w:spacing w:val="15"/>
          <w:kern w:val="36"/>
          <w:sz w:val="36"/>
          <w:szCs w:val="36"/>
        </w:rPr>
        <w:t>聯盟</w:t>
      </w:r>
      <w:r w:rsidR="00715376">
        <w:rPr>
          <w:rFonts w:ascii="標楷體" w:eastAsia="標楷體" w:hAnsi="標楷體" w:cs="Meiryo" w:hint="eastAsia"/>
          <w:color w:val="222222"/>
          <w:spacing w:val="15"/>
          <w:kern w:val="36"/>
          <w:sz w:val="36"/>
          <w:szCs w:val="36"/>
        </w:rPr>
        <w:t>的</w:t>
      </w:r>
      <w:r w:rsidR="009B23C6" w:rsidRPr="00A311D7">
        <w:rPr>
          <w:rFonts w:ascii="標楷體" w:eastAsia="標楷體" w:hAnsi="標楷體" w:cs="Meiryo" w:hint="eastAsia"/>
          <w:color w:val="222222"/>
          <w:spacing w:val="15"/>
          <w:kern w:val="36"/>
          <w:sz w:val="36"/>
          <w:szCs w:val="36"/>
        </w:rPr>
        <w:t>10問</w:t>
      </w:r>
    </w:p>
    <w:tbl>
      <w:tblPr>
        <w:tblStyle w:val="a3"/>
        <w:tblW w:w="0" w:type="auto"/>
        <w:tblLook w:val="04A0"/>
      </w:tblPr>
      <w:tblGrid>
        <w:gridCol w:w="5211"/>
        <w:gridCol w:w="8803"/>
      </w:tblGrid>
      <w:tr w:rsidR="009B23C6" w:rsidRPr="009B23C6" w:rsidTr="009B23C6">
        <w:tc>
          <w:tcPr>
            <w:tcW w:w="5211" w:type="dxa"/>
          </w:tcPr>
          <w:p w:rsidR="009B23C6" w:rsidRPr="009B23C6" w:rsidRDefault="009B23C6" w:rsidP="009B23C6">
            <w:pPr>
              <w:widowControl/>
              <w:shd w:val="clear" w:color="auto" w:fill="F5F5F5"/>
              <w:adjustRightInd w:val="0"/>
              <w:snapToGrid w:val="0"/>
              <w:spacing w:after="300" w:line="440" w:lineRule="exact"/>
              <w:jc w:val="both"/>
              <w:rPr>
                <w:rFonts w:ascii="標楷體" w:eastAsia="標楷體" w:hAnsi="標楷體" w:cs="Meiryo"/>
                <w:color w:val="444444"/>
                <w:spacing w:val="15"/>
                <w:kern w:val="0"/>
                <w:sz w:val="32"/>
                <w:szCs w:val="32"/>
              </w:rPr>
            </w:pPr>
            <w:r w:rsidRPr="009B23C6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 w:val="32"/>
                <w:szCs w:val="32"/>
              </w:rPr>
              <w:t>10問</w:t>
            </w:r>
          </w:p>
        </w:tc>
        <w:tc>
          <w:tcPr>
            <w:tcW w:w="8803" w:type="dxa"/>
          </w:tcPr>
          <w:p w:rsidR="009B23C6" w:rsidRPr="009B23C6" w:rsidRDefault="009B23C6" w:rsidP="009B23C6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B23C6">
              <w:rPr>
                <w:rFonts w:ascii="標楷體" w:eastAsia="標楷體" w:hAnsi="標楷體" w:hint="eastAsia"/>
                <w:sz w:val="32"/>
                <w:szCs w:val="32"/>
              </w:rPr>
              <w:t>回應</w:t>
            </w:r>
          </w:p>
        </w:tc>
      </w:tr>
      <w:tr w:rsidR="009B23C6" w:rsidRPr="001C635B" w:rsidTr="009B23C6">
        <w:tc>
          <w:tcPr>
            <w:tcW w:w="5211" w:type="dxa"/>
          </w:tcPr>
          <w:p w:rsidR="009B23C6" w:rsidRPr="001C635B" w:rsidRDefault="009B23C6" w:rsidP="009B23C6">
            <w:pPr>
              <w:widowControl/>
              <w:shd w:val="clear" w:color="auto" w:fill="F5F5F5"/>
              <w:adjustRightInd w:val="0"/>
              <w:snapToGrid w:val="0"/>
              <w:spacing w:after="300" w:line="440" w:lineRule="exact"/>
              <w:jc w:val="both"/>
              <w:rPr>
                <w:rFonts w:ascii="標楷體" w:eastAsia="標楷體" w:hAnsi="標楷體" w:cs="Meiryo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1C635B">
              <w:rPr>
                <w:rFonts w:ascii="標楷體" w:eastAsia="標楷體" w:hAnsi="標楷體" w:cs="Meiryo" w:hint="eastAsia"/>
                <w:color w:val="000000" w:themeColor="text1"/>
                <w:spacing w:val="15"/>
                <w:kern w:val="0"/>
                <w:sz w:val="32"/>
                <w:szCs w:val="32"/>
              </w:rPr>
              <w:t>第</w:t>
            </w:r>
            <w:r w:rsidRPr="001C635B">
              <w:rPr>
                <w:rFonts w:ascii="標楷體" w:eastAsia="標楷體" w:hAnsi="標楷體" w:cs="細明體" w:hint="eastAsia"/>
                <w:color w:val="000000" w:themeColor="text1"/>
                <w:spacing w:val="15"/>
                <w:kern w:val="0"/>
                <w:sz w:val="32"/>
                <w:szCs w:val="32"/>
              </w:rPr>
              <w:t>ㄧ</w:t>
            </w:r>
            <w:r w:rsidRPr="001C635B">
              <w:rPr>
                <w:rFonts w:ascii="標楷體" w:eastAsia="標楷體" w:hAnsi="標楷體" w:cs="Meiryo" w:hint="eastAsia"/>
                <w:color w:val="000000" w:themeColor="text1"/>
                <w:spacing w:val="15"/>
                <w:kern w:val="0"/>
                <w:sz w:val="32"/>
                <w:szCs w:val="32"/>
              </w:rPr>
              <w:t>問：沒有財政紀律，哪來年金改革？！</w:t>
            </w:r>
          </w:p>
        </w:tc>
        <w:tc>
          <w:tcPr>
            <w:tcW w:w="8803" w:type="dxa"/>
          </w:tcPr>
          <w:p w:rsidR="009B23C6" w:rsidRPr="00432A59" w:rsidRDefault="00400238" w:rsidP="006635F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200</w:t>
            </w:r>
            <w:r w:rsidR="001E206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</w:t>
            </w:r>
            <w:r w:rsidR="002E75A9" w:rsidRPr="000135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中央政府未償還債務餘額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占</w:t>
            </w:r>
            <w:r w:rsidR="002E75A9" w:rsidRPr="000135D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GDP</w:t>
            </w:r>
            <w:r w:rsidR="004404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的</w:t>
            </w:r>
            <w:r w:rsidR="003740C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="001E206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6.3</w:t>
            </w:r>
            <w:r w:rsidR="003740C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%。2008年政</w:t>
            </w:r>
            <w:r w:rsidR="00432A59" w:rsidRPr="000135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權移轉時，中央政府未償還債務餘額</w:t>
            </w:r>
            <w:r w:rsidR="00DB08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占</w:t>
            </w:r>
            <w:r w:rsidR="00432A59" w:rsidRPr="000135D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GDP</w:t>
            </w:r>
            <w:r w:rsidR="000A267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比率上升至</w:t>
            </w:r>
            <w:r w:rsidR="00432A59" w:rsidRPr="000135D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</w:t>
            </w:r>
            <w:r w:rsidR="00B40DF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9.7</w:t>
            </w:r>
            <w:r w:rsidR="00432A59" w:rsidRPr="000135D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%</w:t>
            </w:r>
            <w:r w:rsidR="003740C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  <w:r w:rsidR="00432A59" w:rsidRPr="000135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之後馬政府</w:t>
            </w:r>
            <w:r w:rsidR="00432A59" w:rsidRPr="000135D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8</w:t>
            </w:r>
            <w:r w:rsidR="00432A59" w:rsidRPr="000135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年執政</w:t>
            </w:r>
            <w:r w:rsidR="007316E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DB0800" w:rsidRPr="000135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中央政府未償還債務餘額</w:t>
            </w:r>
            <w:r w:rsidR="00DB08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占GDP</w:t>
            </w:r>
            <w:r w:rsidR="00432A59" w:rsidRPr="000135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比率</w:t>
            </w:r>
            <w:r w:rsidR="006635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升高</w:t>
            </w:r>
            <w:r w:rsidR="00432A59" w:rsidRPr="000135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至</w:t>
            </w:r>
            <w:r w:rsidR="00432A59" w:rsidRPr="000135D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105</w:t>
            </w:r>
            <w:r w:rsidR="00432A59" w:rsidRPr="000135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</w:t>
            </w:r>
            <w:r w:rsidR="00DB08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的</w:t>
            </w:r>
            <w:r w:rsidR="00432A59" w:rsidRPr="000135D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3</w:t>
            </w:r>
            <w:r w:rsidR="00DB08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4.2</w:t>
            </w:r>
            <w:r w:rsidR="00432A59" w:rsidRPr="000135D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%</w:t>
            </w:r>
            <w:r w:rsidR="00DB08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  <w:r w:rsidR="0022766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顯示，民進黨執政</w:t>
            </w:r>
            <w:r w:rsidR="007316E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時期</w:t>
            </w:r>
            <w:r w:rsidR="0022766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的財政紀律優於國民黨執政時期</w:t>
            </w:r>
            <w:r w:rsidR="00432A59" w:rsidRPr="000135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  <w:r w:rsidR="00D802D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何況政府財政不是年金改革的</w:t>
            </w:r>
            <w:r w:rsidR="005E085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唯</w:t>
            </w:r>
            <w:r w:rsidR="00D802D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一因素。</w:t>
            </w:r>
          </w:p>
        </w:tc>
      </w:tr>
      <w:tr w:rsidR="009B23C6" w:rsidRPr="001C635B" w:rsidTr="009B23C6">
        <w:tc>
          <w:tcPr>
            <w:tcW w:w="5211" w:type="dxa"/>
          </w:tcPr>
          <w:p w:rsidR="009B23C6" w:rsidRPr="001C635B" w:rsidRDefault="009B23C6" w:rsidP="009B23C6">
            <w:pPr>
              <w:widowControl/>
              <w:shd w:val="clear" w:color="auto" w:fill="F5F5F5"/>
              <w:adjustRightInd w:val="0"/>
              <w:snapToGrid w:val="0"/>
              <w:spacing w:before="300" w:after="300" w:line="440" w:lineRule="exact"/>
              <w:jc w:val="both"/>
              <w:rPr>
                <w:rFonts w:ascii="標楷體" w:eastAsia="標楷體" w:hAnsi="標楷體" w:cs="Meiryo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1C635B">
              <w:rPr>
                <w:rFonts w:ascii="標楷體" w:eastAsia="標楷體" w:hAnsi="標楷體" w:cs="Meiryo" w:hint="eastAsia"/>
                <w:color w:val="000000" w:themeColor="text1"/>
                <w:spacing w:val="15"/>
                <w:kern w:val="0"/>
                <w:sz w:val="32"/>
                <w:szCs w:val="32"/>
              </w:rPr>
              <w:t>第二問：扭曲的數據與真相，如何談年金改革？！</w:t>
            </w:r>
          </w:p>
        </w:tc>
        <w:tc>
          <w:tcPr>
            <w:tcW w:w="8803" w:type="dxa"/>
          </w:tcPr>
          <w:p w:rsidR="00393706" w:rsidRPr="001C635B" w:rsidRDefault="00017FAB" w:rsidP="005E085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各部會已將</w:t>
            </w:r>
            <w:r w:rsidR="005E085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13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種年金制度的制度設計</w:t>
            </w:r>
            <w:r w:rsidR="00EB0D9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、現況、正確數據</w:t>
            </w:r>
            <w:r w:rsidR="00F2413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公</w:t>
            </w:r>
            <w:r w:rsidR="00EB741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布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EB741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並於</w:t>
            </w:r>
            <w:r w:rsidR="00FD702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年金改革委員會議中討論，</w:t>
            </w:r>
            <w:r w:rsidR="002B374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委員有需求資料補充</w:t>
            </w:r>
            <w:r w:rsidR="00A16640"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部分</w:t>
            </w:r>
            <w:r w:rsidR="00CE6C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也都依需求補充，並公布於網站。至於</w:t>
            </w:r>
            <w:r w:rsidR="00A16640"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網路及媒體報導</w:t>
            </w:r>
            <w:r w:rsidR="00A24F63"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引</w:t>
            </w:r>
            <w:r w:rsidR="00A16640"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用極端案例，</w:t>
            </w:r>
            <w:r w:rsidR="00A24F63"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行政院</w:t>
            </w:r>
            <w:r w:rsidR="00A16640"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年金改革辦公室也已多次</w:t>
            </w:r>
            <w:r w:rsidR="00A24F63"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澄清。</w:t>
            </w:r>
            <w:r w:rsidR="00CE6C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至於，</w:t>
            </w:r>
            <w:r w:rsidR="004E4AE7"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各國年金制度改革的情形，</w:t>
            </w:r>
            <w:r w:rsidR="00CE6C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也</w:t>
            </w:r>
            <w:r w:rsidR="00A24F63"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均</w:t>
            </w:r>
            <w:r w:rsidR="004E4AE7"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公開上網</w:t>
            </w:r>
            <w:r w:rsidR="00A24F63"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4E4AE7"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讓社會大眾瞭解，並作</w:t>
            </w:r>
            <w:r w:rsidR="00CE6C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為</w:t>
            </w:r>
            <w:r w:rsidR="004E4AE7"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年金改革討論的基礎</w:t>
            </w:r>
            <w:r w:rsidR="00CE6C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，並無所謂以扭曲數據作為改革的基礎。</w:t>
            </w:r>
          </w:p>
        </w:tc>
      </w:tr>
      <w:tr w:rsidR="009B23C6" w:rsidRPr="001C635B" w:rsidTr="009B23C6">
        <w:tc>
          <w:tcPr>
            <w:tcW w:w="5211" w:type="dxa"/>
          </w:tcPr>
          <w:p w:rsidR="009B23C6" w:rsidRPr="001C635B" w:rsidRDefault="009B23C6" w:rsidP="009B23C6">
            <w:pPr>
              <w:widowControl/>
              <w:shd w:val="clear" w:color="auto" w:fill="F5F5F5"/>
              <w:adjustRightInd w:val="0"/>
              <w:snapToGrid w:val="0"/>
              <w:spacing w:before="300" w:after="300" w:line="440" w:lineRule="exact"/>
              <w:jc w:val="both"/>
              <w:rPr>
                <w:rFonts w:ascii="標楷體" w:eastAsia="標楷體" w:hAnsi="標楷體" w:cs="Meiryo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1C635B">
              <w:rPr>
                <w:rFonts w:ascii="標楷體" w:eastAsia="標楷體" w:hAnsi="標楷體" w:cs="Meiryo" w:hint="eastAsia"/>
                <w:color w:val="000000" w:themeColor="text1"/>
                <w:spacing w:val="15"/>
                <w:kern w:val="0"/>
                <w:sz w:val="32"/>
                <w:szCs w:val="32"/>
              </w:rPr>
              <w:t>第三問：退休基金經營績效不佳無人負責，如何談改革？！</w:t>
            </w:r>
          </w:p>
        </w:tc>
        <w:tc>
          <w:tcPr>
            <w:tcW w:w="8803" w:type="dxa"/>
          </w:tcPr>
          <w:p w:rsidR="009B23C6" w:rsidRDefault="00393706" w:rsidP="00A860DF">
            <w:pPr>
              <w:adjustRightInd w:val="0"/>
              <w:snapToGrid w:val="0"/>
              <w:spacing w:line="440" w:lineRule="exact"/>
              <w:ind w:left="611" w:hangingChars="191" w:hanging="611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一、公務人員退休制度面臨的問題，並非單方面以改善投資報酬率即可解決，事實上退撫基金在成立之初，就採不足額提撥，嗣後雖陸續調整至現行提撥費率12%，仍然與最適提撥費率相差</w:t>
            </w:r>
            <w:r w:rsidR="000E4B7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甚遠</w:t>
            </w:r>
            <w:r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，致退撫基金長期處於不足額提撥之窘</w:t>
            </w:r>
            <w:r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lastRenderedPageBreak/>
              <w:t>境。</w:t>
            </w:r>
          </w:p>
          <w:p w:rsidR="00A860DF" w:rsidRPr="001C635B" w:rsidRDefault="00A860DF" w:rsidP="000E4B79">
            <w:pPr>
              <w:adjustRightInd w:val="0"/>
              <w:snapToGrid w:val="0"/>
              <w:spacing w:line="440" w:lineRule="exact"/>
              <w:ind w:left="611" w:hangingChars="191" w:hanging="61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二、</w:t>
            </w:r>
            <w:r w:rsidR="0095619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基金管理的確也是年金制度維持穩定的重要課題</w:t>
            </w:r>
            <w:r w:rsidR="00AB110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，未來將列入實質議題討論</w:t>
            </w:r>
            <w:r w:rsidR="000E4B7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，委員若有制度改良建議均可在會中提出。</w:t>
            </w:r>
            <w:r w:rsidR="0095619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但是，基金投資報酬率</w:t>
            </w:r>
            <w:r w:rsidR="000E4B7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受到</w:t>
            </w:r>
            <w:r w:rsidR="0095619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外部經濟條件影響至深。</w:t>
            </w:r>
            <w:r w:rsidR="00F205F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不可能單獨期待提高基金投資報酬率即可解決人口老化、預期壽命延長、年金提撥不足所帶來的</w:t>
            </w:r>
            <w:r w:rsidR="000E4B7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年金</w:t>
            </w:r>
            <w:r w:rsidR="00F205F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財務</w:t>
            </w:r>
            <w:r w:rsidR="00A4246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赤字</w:t>
            </w:r>
            <w:r w:rsidR="00F205F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壓力。</w:t>
            </w:r>
          </w:p>
        </w:tc>
      </w:tr>
      <w:tr w:rsidR="009B23C6" w:rsidRPr="001C635B" w:rsidTr="009B23C6">
        <w:tc>
          <w:tcPr>
            <w:tcW w:w="5211" w:type="dxa"/>
          </w:tcPr>
          <w:p w:rsidR="009B23C6" w:rsidRPr="001C635B" w:rsidRDefault="009B23C6" w:rsidP="009B23C6">
            <w:pPr>
              <w:widowControl/>
              <w:shd w:val="clear" w:color="auto" w:fill="F5F5F5"/>
              <w:adjustRightInd w:val="0"/>
              <w:snapToGrid w:val="0"/>
              <w:spacing w:before="300" w:after="300" w:line="440" w:lineRule="exact"/>
              <w:jc w:val="both"/>
              <w:rPr>
                <w:rFonts w:ascii="標楷體" w:eastAsia="標楷體" w:hAnsi="標楷體" w:cs="Meiryo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1C635B">
              <w:rPr>
                <w:rFonts w:ascii="標楷體" w:eastAsia="標楷體" w:hAnsi="標楷體" w:cs="Meiryo" w:hint="eastAsia"/>
                <w:color w:val="000000" w:themeColor="text1"/>
                <w:spacing w:val="15"/>
                <w:kern w:val="0"/>
                <w:sz w:val="32"/>
                <w:szCs w:val="32"/>
              </w:rPr>
              <w:lastRenderedPageBreak/>
              <w:t>第四問：年金改革要毀棄法不溯及既往的法治國基本理念嗎？！</w:t>
            </w:r>
          </w:p>
        </w:tc>
        <w:tc>
          <w:tcPr>
            <w:tcW w:w="8803" w:type="dxa"/>
          </w:tcPr>
          <w:p w:rsidR="003751EC" w:rsidRPr="001C635B" w:rsidRDefault="003751EC" w:rsidP="003751EC"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hanging="681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635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雖然18%優惠存款已於84年訂定斷源措施，但是以84年7月1日（教師係自85年2月1日）以後的年資，才開始不適用18%，至於已退休者和現職</w:t>
            </w:r>
            <w:r w:rsidR="00157FB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者</w:t>
            </w:r>
            <w:r w:rsidRPr="001C635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仍有84年6月30日(或85年1月31日)以前年資，到退休時，仍然可以辦理18%</w:t>
            </w:r>
            <w:r w:rsidR="00B331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優</w:t>
            </w:r>
            <w:r w:rsidR="003218D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存</w:t>
            </w:r>
            <w:r w:rsidRPr="001C635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，並沒有全然終止。這也就是為</w:t>
            </w:r>
            <w:r w:rsidR="009138A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何</w:t>
            </w:r>
            <w:r w:rsidRPr="001C635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政府和臺銀每年支付軍公教人員18%利息之金額，仍然持續成長中，尚未減少的原因。105年6月30日還有45萬7911戶，存款總額達4623億元，每年政府與臺銀負擔利息將近824億。</w:t>
            </w:r>
          </w:p>
          <w:p w:rsidR="009B23C6" w:rsidRPr="001C635B" w:rsidRDefault="00802CEF" w:rsidP="00B65661"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hanging="681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年金制度之設計本來就要隨人口老化、經濟條件</w:t>
            </w:r>
            <w:r w:rsidR="003352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、產業構調整而改良</w:t>
            </w:r>
            <w:r w:rsidR="003751EC" w:rsidRPr="001C635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。</w:t>
            </w:r>
            <w:r w:rsidR="00365E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改革過程絕不可能只針對未來，也必須</w:t>
            </w:r>
            <w:r w:rsidR="000F33E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適度</w:t>
            </w:r>
            <w:r w:rsidR="00365E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lastRenderedPageBreak/>
              <w:t>調整現在與過去</w:t>
            </w:r>
            <w:r w:rsidR="00E55DB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365E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否則就會出現不斷提高保費或提撥</w:t>
            </w:r>
            <w:r w:rsidR="000F33E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金，造成年輕世代的負擔加重。</w:t>
            </w:r>
          </w:p>
        </w:tc>
      </w:tr>
      <w:tr w:rsidR="009B23C6" w:rsidRPr="001C635B" w:rsidTr="003751EC">
        <w:trPr>
          <w:trHeight w:val="1590"/>
        </w:trPr>
        <w:tc>
          <w:tcPr>
            <w:tcW w:w="5211" w:type="dxa"/>
          </w:tcPr>
          <w:p w:rsidR="009B23C6" w:rsidRPr="001C635B" w:rsidRDefault="009B23C6" w:rsidP="009B23C6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635B">
              <w:rPr>
                <w:rFonts w:ascii="標楷體" w:eastAsia="標楷體" w:hAnsi="標楷體" w:cs="Meiryo" w:hint="eastAsia"/>
                <w:color w:val="000000" w:themeColor="text1"/>
                <w:spacing w:val="15"/>
                <w:kern w:val="0"/>
                <w:sz w:val="32"/>
                <w:szCs w:val="32"/>
              </w:rPr>
              <w:lastRenderedPageBreak/>
              <w:t>第五問：年金改革是選擇性針對性的改革，還是普遍全面性的改革？！</w:t>
            </w:r>
          </w:p>
        </w:tc>
        <w:tc>
          <w:tcPr>
            <w:tcW w:w="8803" w:type="dxa"/>
          </w:tcPr>
          <w:p w:rsidR="009B23C6" w:rsidRPr="001C635B" w:rsidRDefault="003751EC" w:rsidP="00B331F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過去的年金改革是片段、針對單一職業別年金制度的改革，本次年金改革非選擇性</w:t>
            </w:r>
            <w:r w:rsidR="00B331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針對性的改革，是不分公、教、軍、勞、農及國民等身分，全民均</w:t>
            </w:r>
            <w:r w:rsidR="00B331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納入</w:t>
            </w:r>
            <w:r w:rsidR="00364F0C"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全民參與的改革。</w:t>
            </w:r>
          </w:p>
        </w:tc>
      </w:tr>
      <w:tr w:rsidR="009B23C6" w:rsidRPr="001C635B" w:rsidTr="003C0333">
        <w:trPr>
          <w:trHeight w:val="1981"/>
        </w:trPr>
        <w:tc>
          <w:tcPr>
            <w:tcW w:w="5211" w:type="dxa"/>
          </w:tcPr>
          <w:p w:rsidR="009B23C6" w:rsidRPr="001C635B" w:rsidRDefault="009B23C6" w:rsidP="009B23C6">
            <w:pPr>
              <w:widowControl/>
              <w:shd w:val="clear" w:color="auto" w:fill="F5F5F5"/>
              <w:adjustRightInd w:val="0"/>
              <w:snapToGrid w:val="0"/>
              <w:spacing w:before="300" w:after="300" w:line="440" w:lineRule="exact"/>
              <w:jc w:val="both"/>
              <w:rPr>
                <w:rFonts w:ascii="標楷體" w:eastAsia="標楷體" w:hAnsi="標楷體" w:cs="Meiryo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1C635B">
              <w:rPr>
                <w:rFonts w:ascii="標楷體" w:eastAsia="標楷體" w:hAnsi="標楷體" w:cs="Meiryo" w:hint="eastAsia"/>
                <w:color w:val="000000" w:themeColor="text1"/>
                <w:spacing w:val="15"/>
                <w:kern w:val="0"/>
                <w:sz w:val="32"/>
                <w:szCs w:val="32"/>
              </w:rPr>
              <w:t>第六問：總統、副總統禮遇條例要不要改革？！</w:t>
            </w:r>
          </w:p>
        </w:tc>
        <w:tc>
          <w:tcPr>
            <w:tcW w:w="8803" w:type="dxa"/>
          </w:tcPr>
          <w:p w:rsidR="009B23C6" w:rsidRPr="001C635B" w:rsidRDefault="003C0333" w:rsidP="003C033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總統、副總統禮遇條例係根據民國</w:t>
            </w:r>
            <w:r w:rsidRPr="001C635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67</w:t>
            </w:r>
            <w:r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</w:t>
            </w:r>
            <w:r w:rsidRPr="001C635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5</w:t>
            </w:r>
            <w:r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月</w:t>
            </w:r>
            <w:r w:rsidRPr="001C635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3</w:t>
            </w:r>
            <w:r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日頒布的卸任總統副總統禮遇條例規定，已經過95年、96年、98年及99年4次修正，自99年1月1日起，禮遇金性質上屬於對總統、副總統特別禮遇的恩給制的退職金，非退休</w:t>
            </w:r>
            <w:r w:rsidR="00BD2E2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</w:t>
            </w:r>
            <w:r w:rsidR="00AB375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金</w:t>
            </w:r>
            <w:r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制度。</w:t>
            </w:r>
          </w:p>
        </w:tc>
      </w:tr>
      <w:tr w:rsidR="009B23C6" w:rsidRPr="001C635B" w:rsidTr="00364F0C">
        <w:trPr>
          <w:trHeight w:val="2403"/>
        </w:trPr>
        <w:tc>
          <w:tcPr>
            <w:tcW w:w="5211" w:type="dxa"/>
          </w:tcPr>
          <w:p w:rsidR="009B23C6" w:rsidRPr="001C635B" w:rsidRDefault="009B23C6" w:rsidP="009B23C6">
            <w:pPr>
              <w:widowControl/>
              <w:shd w:val="clear" w:color="auto" w:fill="F5F5F5"/>
              <w:adjustRightInd w:val="0"/>
              <w:snapToGrid w:val="0"/>
              <w:spacing w:before="300" w:after="300" w:line="440" w:lineRule="exact"/>
              <w:jc w:val="both"/>
              <w:rPr>
                <w:rFonts w:ascii="標楷體" w:eastAsia="標楷體" w:hAnsi="標楷體" w:cs="Meiryo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1C635B">
              <w:rPr>
                <w:rFonts w:ascii="標楷體" w:eastAsia="標楷體" w:hAnsi="標楷體" w:cs="Meiryo" w:hint="eastAsia"/>
                <w:color w:val="000000" w:themeColor="text1"/>
                <w:spacing w:val="15"/>
                <w:kern w:val="0"/>
                <w:sz w:val="32"/>
                <w:szCs w:val="32"/>
              </w:rPr>
              <w:t>第七問：中央研究院終身特聘制度要不要改革？！</w:t>
            </w:r>
          </w:p>
        </w:tc>
        <w:tc>
          <w:tcPr>
            <w:tcW w:w="8803" w:type="dxa"/>
          </w:tcPr>
          <w:p w:rsidR="00364F0C" w:rsidRPr="001C635B" w:rsidRDefault="00364F0C" w:rsidP="00364F0C">
            <w:pPr>
              <w:adjustRightInd w:val="0"/>
              <w:snapToGrid w:val="0"/>
              <w:spacing w:line="440" w:lineRule="exact"/>
              <w:ind w:left="640" w:hangingChars="200" w:hanging="64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635B">
              <w:rPr>
                <w:rFonts w:ascii="標楷體" w:eastAsia="標楷體" w:hAnsi="標楷體" w:hint="eastAsia"/>
                <w:color w:val="000000" w:themeColor="text1"/>
                <w:sz w:val="32"/>
              </w:rPr>
              <w:t>一、依據《中央研究院研究所組織規程》(以下簡稱組織規程)在95年修正增訂新聘獲全球性學術殊榮學者為特聘研究員，不受年齡限制，</w:t>
            </w:r>
            <w:r w:rsidRPr="001C635B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最主要是參考美國制度，打破傑出研究人員聘任年齡限制，因應全球人才爭奪戰，為國家爭取世界頂尖學者，提升臺灣學術研究國際競爭力。</w:t>
            </w:r>
          </w:p>
          <w:p w:rsidR="009B23C6" w:rsidRPr="001C635B" w:rsidRDefault="00364F0C" w:rsidP="00500341">
            <w:pPr>
              <w:adjustRightInd w:val="0"/>
              <w:snapToGrid w:val="0"/>
              <w:spacing w:line="440" w:lineRule="exact"/>
              <w:ind w:left="640" w:hangingChars="200" w:hanging="64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二、</w:t>
            </w:r>
            <w:r w:rsidR="00B54CAC"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中研院退休金計算，研究人員比照學校教職人員，公務人員就適用公務人員相關規範，一切依法辦理，沒有特別訂規定。中研院</w:t>
            </w:r>
            <w:r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前已刊登媒體發布新聞稿聲明</w:t>
            </w:r>
            <w:r w:rsidR="007964E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澄清</w:t>
            </w:r>
            <w:r w:rsidR="00B54CAC"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</w:tr>
      <w:tr w:rsidR="009B23C6" w:rsidRPr="001C635B" w:rsidTr="009B23C6">
        <w:tc>
          <w:tcPr>
            <w:tcW w:w="5211" w:type="dxa"/>
          </w:tcPr>
          <w:p w:rsidR="009B23C6" w:rsidRPr="001C635B" w:rsidRDefault="009B23C6" w:rsidP="009B23C6">
            <w:pPr>
              <w:widowControl/>
              <w:shd w:val="clear" w:color="auto" w:fill="F5F5F5"/>
              <w:adjustRightInd w:val="0"/>
              <w:snapToGrid w:val="0"/>
              <w:spacing w:before="300" w:after="300" w:line="440" w:lineRule="exact"/>
              <w:jc w:val="both"/>
              <w:rPr>
                <w:rFonts w:ascii="標楷體" w:eastAsia="標楷體" w:hAnsi="標楷體" w:cs="Meiryo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1C635B">
              <w:rPr>
                <w:rFonts w:ascii="標楷體" w:eastAsia="標楷體" w:hAnsi="標楷體" w:cs="Meiryo" w:hint="eastAsia"/>
                <w:color w:val="000000" w:themeColor="text1"/>
                <w:spacing w:val="15"/>
                <w:kern w:val="0"/>
                <w:sz w:val="32"/>
                <w:szCs w:val="32"/>
              </w:rPr>
              <w:lastRenderedPageBreak/>
              <w:t>第八問：司法官優遇制度所得不合理要不要改革？！</w:t>
            </w:r>
          </w:p>
        </w:tc>
        <w:tc>
          <w:tcPr>
            <w:tcW w:w="8803" w:type="dxa"/>
          </w:tcPr>
          <w:p w:rsidR="009B23C6" w:rsidRPr="001C635B" w:rsidRDefault="00250308" w:rsidP="009B23C6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635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國家年金改革委員會已完成由司法院與法務部「司法官與檢察官退休制度」專案報告，年金改革委員會未來在實質討論議題的特殊對象內將進行實質討論。</w:t>
            </w:r>
          </w:p>
        </w:tc>
      </w:tr>
      <w:tr w:rsidR="009B23C6" w:rsidRPr="001C635B" w:rsidTr="009B23C6">
        <w:tc>
          <w:tcPr>
            <w:tcW w:w="5211" w:type="dxa"/>
          </w:tcPr>
          <w:p w:rsidR="009B23C6" w:rsidRPr="001C635B" w:rsidRDefault="009B23C6" w:rsidP="009B23C6">
            <w:pPr>
              <w:widowControl/>
              <w:shd w:val="clear" w:color="auto" w:fill="F5F5F5"/>
              <w:adjustRightInd w:val="0"/>
              <w:snapToGrid w:val="0"/>
              <w:spacing w:before="300" w:after="300" w:line="440" w:lineRule="exact"/>
              <w:jc w:val="both"/>
              <w:rPr>
                <w:rFonts w:ascii="標楷體" w:eastAsia="標楷體" w:hAnsi="標楷體" w:cs="Meiryo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1C635B">
              <w:rPr>
                <w:rFonts w:ascii="標楷體" w:eastAsia="標楷體" w:hAnsi="標楷體" w:cs="Meiryo" w:hint="eastAsia"/>
                <w:color w:val="000000" w:themeColor="text1"/>
                <w:spacing w:val="15"/>
                <w:kern w:val="0"/>
                <w:sz w:val="32"/>
                <w:szCs w:val="32"/>
              </w:rPr>
              <w:t>第九問：年金改革責任完全由被改革對象承擔，合理嗎？！</w:t>
            </w:r>
          </w:p>
        </w:tc>
        <w:tc>
          <w:tcPr>
            <w:tcW w:w="8803" w:type="dxa"/>
          </w:tcPr>
          <w:p w:rsidR="009B23C6" w:rsidRPr="001C635B" w:rsidRDefault="002A0E35" w:rsidP="00A861D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年金制度改革本來就是從多面向、多議題，全面進行改革。因此，未來進入實質議題討論會針對制度架構、給付、財源、請領資格、制度轉換機制、</w:t>
            </w:r>
            <w:r w:rsidR="00A861D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基金管理、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特殊對象</w:t>
            </w:r>
            <w:r w:rsidR="00A861D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等全面檢討。不可能只針對單一對象進行改革，</w:t>
            </w:r>
            <w:r w:rsidR="008F29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年金改革的目的是要讓年金制度永續發展</w:t>
            </w:r>
            <w:r w:rsidR="00B31F2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</w:tr>
      <w:tr w:rsidR="009B23C6" w:rsidRPr="001C635B" w:rsidTr="009B23C6">
        <w:tc>
          <w:tcPr>
            <w:tcW w:w="5211" w:type="dxa"/>
          </w:tcPr>
          <w:p w:rsidR="009B23C6" w:rsidRPr="001C635B" w:rsidRDefault="009B23C6" w:rsidP="009B23C6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C635B">
              <w:rPr>
                <w:rFonts w:ascii="標楷體" w:eastAsia="標楷體" w:hAnsi="標楷體" w:cs="Meiryo" w:hint="eastAsia"/>
                <w:color w:val="000000" w:themeColor="text1"/>
                <w:spacing w:val="15"/>
                <w:kern w:val="0"/>
                <w:sz w:val="32"/>
                <w:szCs w:val="32"/>
              </w:rPr>
              <w:t>第十問：行業不平大砍軍公教退休所得，勞工所得會提高嗎？！</w:t>
            </w:r>
          </w:p>
        </w:tc>
        <w:tc>
          <w:tcPr>
            <w:tcW w:w="8803" w:type="dxa"/>
          </w:tcPr>
          <w:p w:rsidR="004F4107" w:rsidRPr="001C635B" w:rsidRDefault="00871C95" w:rsidP="00157F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年金制度建立的</w:t>
            </w:r>
            <w:r w:rsidR="00BB33C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目的是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為了</w:t>
            </w:r>
            <w:r w:rsidR="00BB33C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老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年經濟安全保障</w:t>
            </w:r>
            <w:r w:rsidR="00BB33C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。制度建立必須能保障基本生活需求的滿足，同時兼顧受僱者當前可支配所得足以維持家庭生活水準。</w:t>
            </w:r>
            <w:r w:rsidR="00157E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因此，</w:t>
            </w:r>
            <w:r w:rsidR="009A5F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必須有最低生活保障的制度設計，也必須有投保薪資上限的設計。</w:t>
            </w:r>
            <w:r w:rsidR="00E76DA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過高的年金給付水準必然導致費率(或提撥率)太高，影響當前的消費能力。倘若提撥不足，必然造成</w:t>
            </w:r>
            <w:r w:rsidR="007F30C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未來債務累積，而債留子孫。</w:t>
            </w:r>
            <w:r w:rsidR="004F410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未來不論哪一種職業別年金都必須建立在</w:t>
            </w:r>
            <w:r w:rsidR="0095063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年金制度</w:t>
            </w:r>
            <w:r w:rsidR="004F410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的</w:t>
            </w:r>
            <w:r w:rsidR="0095063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經濟安全保障基礎</w:t>
            </w:r>
            <w:r w:rsidR="004F410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上。</w:t>
            </w:r>
          </w:p>
        </w:tc>
      </w:tr>
    </w:tbl>
    <w:p w:rsidR="009B23C6" w:rsidRPr="001C635B" w:rsidRDefault="009B23C6" w:rsidP="009B23C6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9B23C6" w:rsidRPr="001C635B" w:rsidSect="009B23C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F3" w:rsidRDefault="00601FF3"/>
  </w:endnote>
  <w:endnote w:type="continuationSeparator" w:id="0">
    <w:p w:rsidR="00601FF3" w:rsidRDefault="00601FF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F3" w:rsidRDefault="00601FF3"/>
  </w:footnote>
  <w:footnote w:type="continuationSeparator" w:id="0">
    <w:p w:rsidR="00601FF3" w:rsidRDefault="00601F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C429A"/>
    <w:multiLevelType w:val="multilevel"/>
    <w:tmpl w:val="C906995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7"/>
    </w:lvlOverride>
  </w:num>
  <w:num w:numId="3">
    <w:abstractNumId w:val="0"/>
    <w:lvlOverride w:ilvl="0">
      <w:startOverride w:val="8"/>
    </w:lvlOverride>
  </w:num>
  <w:num w:numId="4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3C6"/>
    <w:rsid w:val="000135D0"/>
    <w:rsid w:val="00017FAB"/>
    <w:rsid w:val="000409AE"/>
    <w:rsid w:val="00046C71"/>
    <w:rsid w:val="000546D3"/>
    <w:rsid w:val="000A2671"/>
    <w:rsid w:val="000D0007"/>
    <w:rsid w:val="000E4B79"/>
    <w:rsid w:val="000F2AF8"/>
    <w:rsid w:val="000F33EF"/>
    <w:rsid w:val="001337FF"/>
    <w:rsid w:val="00157E01"/>
    <w:rsid w:val="00157FB2"/>
    <w:rsid w:val="00161376"/>
    <w:rsid w:val="0016675E"/>
    <w:rsid w:val="001B2EA8"/>
    <w:rsid w:val="001B4D56"/>
    <w:rsid w:val="001C635B"/>
    <w:rsid w:val="001E2066"/>
    <w:rsid w:val="0021752A"/>
    <w:rsid w:val="00227664"/>
    <w:rsid w:val="00250308"/>
    <w:rsid w:val="002A0E35"/>
    <w:rsid w:val="002B3747"/>
    <w:rsid w:val="002C24B5"/>
    <w:rsid w:val="002E75A9"/>
    <w:rsid w:val="003210A3"/>
    <w:rsid w:val="003218D5"/>
    <w:rsid w:val="00335232"/>
    <w:rsid w:val="00364F0C"/>
    <w:rsid w:val="00365E36"/>
    <w:rsid w:val="003740CF"/>
    <w:rsid w:val="003751EC"/>
    <w:rsid w:val="00393706"/>
    <w:rsid w:val="00394C13"/>
    <w:rsid w:val="003A502C"/>
    <w:rsid w:val="003C0333"/>
    <w:rsid w:val="003C095D"/>
    <w:rsid w:val="003D735A"/>
    <w:rsid w:val="00400238"/>
    <w:rsid w:val="00401360"/>
    <w:rsid w:val="00432A59"/>
    <w:rsid w:val="00440462"/>
    <w:rsid w:val="004E4AE7"/>
    <w:rsid w:val="004F1F4E"/>
    <w:rsid w:val="004F4107"/>
    <w:rsid w:val="00500341"/>
    <w:rsid w:val="005276DF"/>
    <w:rsid w:val="00533998"/>
    <w:rsid w:val="00544246"/>
    <w:rsid w:val="005C4F28"/>
    <w:rsid w:val="005E0852"/>
    <w:rsid w:val="005E64B8"/>
    <w:rsid w:val="00601FF3"/>
    <w:rsid w:val="006635F3"/>
    <w:rsid w:val="00715376"/>
    <w:rsid w:val="007316E3"/>
    <w:rsid w:val="007718C9"/>
    <w:rsid w:val="007964E0"/>
    <w:rsid w:val="007F30CB"/>
    <w:rsid w:val="00802CEF"/>
    <w:rsid w:val="0083124E"/>
    <w:rsid w:val="008566E4"/>
    <w:rsid w:val="00867928"/>
    <w:rsid w:val="00871C95"/>
    <w:rsid w:val="008C18F5"/>
    <w:rsid w:val="008D493D"/>
    <w:rsid w:val="008F29AE"/>
    <w:rsid w:val="0090027E"/>
    <w:rsid w:val="009138A3"/>
    <w:rsid w:val="00943938"/>
    <w:rsid w:val="00950638"/>
    <w:rsid w:val="0095619D"/>
    <w:rsid w:val="00997D32"/>
    <w:rsid w:val="009A5F96"/>
    <w:rsid w:val="009B23C6"/>
    <w:rsid w:val="00A16640"/>
    <w:rsid w:val="00A24F63"/>
    <w:rsid w:val="00A311D7"/>
    <w:rsid w:val="00A42461"/>
    <w:rsid w:val="00A63733"/>
    <w:rsid w:val="00A860DF"/>
    <w:rsid w:val="00A861D2"/>
    <w:rsid w:val="00AB110F"/>
    <w:rsid w:val="00AB375A"/>
    <w:rsid w:val="00B31F26"/>
    <w:rsid w:val="00B331F3"/>
    <w:rsid w:val="00B40DF1"/>
    <w:rsid w:val="00B54CAC"/>
    <w:rsid w:val="00B65661"/>
    <w:rsid w:val="00B94844"/>
    <w:rsid w:val="00BB33CC"/>
    <w:rsid w:val="00BD2E22"/>
    <w:rsid w:val="00CA5967"/>
    <w:rsid w:val="00CE6CB4"/>
    <w:rsid w:val="00D802D2"/>
    <w:rsid w:val="00DB0800"/>
    <w:rsid w:val="00DE6C00"/>
    <w:rsid w:val="00E55DBB"/>
    <w:rsid w:val="00E62A06"/>
    <w:rsid w:val="00E76DAD"/>
    <w:rsid w:val="00EA40B8"/>
    <w:rsid w:val="00EB0D95"/>
    <w:rsid w:val="00EB741D"/>
    <w:rsid w:val="00ED070F"/>
    <w:rsid w:val="00EE2D6D"/>
    <w:rsid w:val="00F205FD"/>
    <w:rsid w:val="00F24134"/>
    <w:rsid w:val="00F708B0"/>
    <w:rsid w:val="00F83478"/>
    <w:rsid w:val="00FD7027"/>
    <w:rsid w:val="00FE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B4D5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B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B4D56"/>
    <w:rPr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432A59"/>
    <w:rPr>
      <w:rFonts w:ascii="Calibri" w:eastAsia="新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semiHidden/>
    <w:rsid w:val="00432A59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3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3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37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1627</Characters>
  <Application>Microsoft Office Word</Application>
  <DocSecurity>0</DocSecurity>
  <Lines>13</Lines>
  <Paragraphs>3</Paragraphs>
  <ScaleCrop>false</ScaleCrop>
  <Company>EY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2016-09-03T07:36:00Z</cp:lastPrinted>
  <dcterms:created xsi:type="dcterms:W3CDTF">2016-09-03T09:13:00Z</dcterms:created>
  <dcterms:modified xsi:type="dcterms:W3CDTF">2016-09-03T09:13:00Z</dcterms:modified>
</cp:coreProperties>
</file>