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A0" w:rsidRDefault="004752A0" w:rsidP="000A4689">
      <w:pPr>
        <w:widowControl/>
        <w:snapToGrid w:val="0"/>
        <w:spacing w:afterLines="100" w:after="360" w:line="0" w:lineRule="atLeast"/>
        <w:ind w:firstLineChars="200" w:firstLine="801"/>
        <w:jc w:val="center"/>
        <w:textAlignment w:val="top"/>
        <w:rPr>
          <w:rFonts w:ascii="標楷體" w:eastAsia="標楷體" w:hAnsi="標楷體"/>
          <w:b/>
          <w:color w:val="000000"/>
          <w:sz w:val="40"/>
          <w:szCs w:val="40"/>
        </w:rPr>
      </w:pPr>
      <w:r w:rsidRPr="00AD17CF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國家發展委員會 </w:t>
      </w:r>
      <w:r w:rsidR="0062676D">
        <w:rPr>
          <w:rFonts w:ascii="標楷體" w:eastAsia="標楷體" w:hAnsi="標楷體" w:hint="eastAsia"/>
          <w:b/>
          <w:color w:val="000000"/>
          <w:sz w:val="40"/>
          <w:szCs w:val="40"/>
        </w:rPr>
        <w:t>澄清</w:t>
      </w:r>
      <w:r w:rsidRPr="00AD17CF">
        <w:rPr>
          <w:rFonts w:ascii="標楷體" w:eastAsia="標楷體" w:hAnsi="標楷體" w:hint="eastAsia"/>
          <w:b/>
          <w:color w:val="000000"/>
          <w:sz w:val="40"/>
          <w:szCs w:val="40"/>
        </w:rPr>
        <w:t>稿</w:t>
      </w:r>
    </w:p>
    <w:p w:rsidR="004752A0" w:rsidRPr="00A9628A" w:rsidRDefault="004752A0" w:rsidP="000A4689">
      <w:pPr>
        <w:spacing w:after="120" w:line="0" w:lineRule="atLeast"/>
        <w:ind w:firstLine="560"/>
        <w:jc w:val="center"/>
        <w:rPr>
          <w:rFonts w:eastAsia="標楷體" w:hAnsi="標楷體"/>
          <w:bCs/>
          <w:color w:val="000000"/>
          <w:sz w:val="28"/>
          <w:szCs w:val="28"/>
        </w:rPr>
      </w:pPr>
      <w:r w:rsidRPr="00A9628A">
        <w:rPr>
          <w:rFonts w:eastAsia="標楷體" w:hAnsi="標楷體"/>
          <w:bCs/>
          <w:color w:val="000000"/>
          <w:sz w:val="28"/>
          <w:szCs w:val="28"/>
        </w:rPr>
        <w:t>[</w:t>
      </w:r>
      <w:r w:rsidRPr="00A9628A">
        <w:rPr>
          <w:rFonts w:eastAsia="標楷體" w:hAnsi="標楷體" w:hint="eastAsia"/>
          <w:bCs/>
          <w:color w:val="000000"/>
          <w:sz w:val="28"/>
          <w:szCs w:val="28"/>
        </w:rPr>
        <w:t>吳明蕙</w:t>
      </w:r>
      <w:r w:rsidRPr="00A9628A">
        <w:rPr>
          <w:rFonts w:eastAsia="標楷體" w:hAnsi="標楷體"/>
          <w:bCs/>
          <w:color w:val="000000"/>
          <w:sz w:val="28"/>
          <w:szCs w:val="28"/>
        </w:rPr>
        <w:t>/</w:t>
      </w:r>
      <w:r w:rsidRPr="00A9628A">
        <w:rPr>
          <w:rFonts w:eastAsia="標楷體" w:hAnsi="標楷體" w:hint="eastAsia"/>
          <w:bCs/>
          <w:color w:val="000000"/>
          <w:sz w:val="28"/>
          <w:szCs w:val="28"/>
        </w:rPr>
        <w:t>國家發展委員會經濟發展處處長，電話：</w:t>
      </w:r>
      <w:r w:rsidRPr="00A9628A">
        <w:rPr>
          <w:rFonts w:eastAsia="標楷體" w:hAnsi="標楷體" w:hint="eastAsia"/>
          <w:bCs/>
          <w:color w:val="000000"/>
          <w:sz w:val="28"/>
          <w:szCs w:val="28"/>
        </w:rPr>
        <w:t>2316</w:t>
      </w:r>
      <w:r w:rsidRPr="00A9628A">
        <w:rPr>
          <w:rFonts w:eastAsia="標楷體" w:hAnsi="標楷體"/>
          <w:bCs/>
          <w:color w:val="000000"/>
          <w:sz w:val="28"/>
          <w:szCs w:val="28"/>
        </w:rPr>
        <w:t>-</w:t>
      </w:r>
      <w:r w:rsidRPr="00A9628A">
        <w:rPr>
          <w:rFonts w:eastAsia="標楷體" w:hAnsi="標楷體" w:hint="eastAsia"/>
          <w:bCs/>
          <w:color w:val="000000"/>
          <w:sz w:val="28"/>
          <w:szCs w:val="28"/>
        </w:rPr>
        <w:t>5851</w:t>
      </w:r>
      <w:r w:rsidRPr="00A9628A">
        <w:rPr>
          <w:rFonts w:eastAsia="標楷體" w:hAnsi="標楷體"/>
          <w:bCs/>
          <w:color w:val="000000"/>
          <w:sz w:val="28"/>
          <w:szCs w:val="28"/>
        </w:rPr>
        <w:t>]</w:t>
      </w:r>
    </w:p>
    <w:p w:rsidR="005371DF" w:rsidRPr="008A3699" w:rsidRDefault="005371DF" w:rsidP="000A4689">
      <w:pPr>
        <w:snapToGrid w:val="0"/>
        <w:spacing w:afterLines="50" w:after="180" w:line="0" w:lineRule="atLeast"/>
        <w:ind w:firstLineChars="200" w:firstLine="560"/>
        <w:jc w:val="right"/>
        <w:rPr>
          <w:rFonts w:ascii="Times New Roman" w:hAnsi="Times New Roman" w:cs="Times New Roman"/>
          <w:sz w:val="20"/>
          <w:szCs w:val="20"/>
        </w:rPr>
      </w:pPr>
      <w:r w:rsidRPr="008A369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104</w:t>
      </w:r>
      <w:r w:rsidRPr="008A369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年</w:t>
      </w:r>
      <w:r w:rsidR="0062676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11</w:t>
      </w:r>
      <w:r w:rsidRPr="008A369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月</w:t>
      </w:r>
      <w:r w:rsidR="0062676D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3</w:t>
      </w:r>
      <w:r w:rsidRPr="008A369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日</w:t>
      </w:r>
    </w:p>
    <w:p w:rsidR="0047030A" w:rsidRDefault="0062676D" w:rsidP="000A4689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 w:hint="eastAsia"/>
          <w:b/>
          <w:sz w:val="36"/>
        </w:rPr>
        <w:t>有關中國大陸紫光集團</w:t>
      </w:r>
      <w:r w:rsidR="000A4689">
        <w:rPr>
          <w:rFonts w:ascii="標楷體" w:eastAsia="標楷體" w:hAnsi="標楷體" w:cs="標楷體" w:hint="eastAsia"/>
          <w:b/>
          <w:sz w:val="36"/>
        </w:rPr>
        <w:t>投資國內事業</w:t>
      </w:r>
      <w:r w:rsidR="00D71F9C">
        <w:rPr>
          <w:rFonts w:ascii="標楷體" w:eastAsia="標楷體" w:hAnsi="標楷體" w:cs="標楷體" w:hint="eastAsia"/>
          <w:b/>
          <w:sz w:val="36"/>
        </w:rPr>
        <w:t>澄清說明</w:t>
      </w:r>
    </w:p>
    <w:p w:rsidR="000A4689" w:rsidRDefault="000A4689" w:rsidP="000A4689">
      <w:pPr>
        <w:snapToGrid w:val="0"/>
        <w:spacing w:line="0" w:lineRule="atLeast"/>
        <w:jc w:val="both"/>
        <w:rPr>
          <w:rFonts w:ascii="Times New Roman" w:eastAsia="標楷體" w:hAnsi="Times New Roman" w:hint="eastAsia"/>
          <w:color w:val="000000" w:themeColor="text1"/>
          <w:sz w:val="32"/>
          <w:szCs w:val="32"/>
        </w:rPr>
      </w:pPr>
    </w:p>
    <w:p w:rsidR="00763675" w:rsidRDefault="000A4689" w:rsidP="000A4689">
      <w:pPr>
        <w:snapToGrid w:val="0"/>
        <w:spacing w:line="0" w:lineRule="atLeast"/>
        <w:rPr>
          <w:rFonts w:ascii="Times New Roman" w:eastAsia="標楷體" w:hAnsi="Times New Roman" w:hint="eastAsia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   </w:t>
      </w:r>
      <w:r w:rsidRPr="000A468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有關自由時報</w:t>
      </w:r>
      <w:r w:rsidRPr="000A468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A2</w:t>
      </w:r>
      <w:proofErr w:type="gramStart"/>
      <w:r w:rsidRPr="000A468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版今</w:t>
      </w:r>
      <w:proofErr w:type="gramEnd"/>
      <w:r w:rsidRPr="000A468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(11/3)</w:t>
      </w:r>
      <w:r w:rsidRPr="000A468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日刊登社論「中國想買光台灣的核心產業」一文，內容斷章取義，刻意扭曲發言。對此，本會說明如次：</w:t>
      </w:r>
    </w:p>
    <w:p w:rsidR="000A4689" w:rsidRDefault="000A4689" w:rsidP="000A4689">
      <w:pPr>
        <w:snapToGrid w:val="0"/>
        <w:spacing w:line="0" w:lineRule="atLeas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0A4689" w:rsidRDefault="000A4689" w:rsidP="000A4689">
      <w:pPr>
        <w:pStyle w:val="a3"/>
        <w:numPr>
          <w:ilvl w:val="0"/>
          <w:numId w:val="10"/>
        </w:numPr>
        <w:spacing w:after="180" w:line="0" w:lineRule="atLeast"/>
        <w:ind w:leftChars="0" w:firstLineChars="0"/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媒體報導不應斷章取義</w:t>
      </w:r>
    </w:p>
    <w:p w:rsidR="000A4689" w:rsidRPr="000A4689" w:rsidRDefault="000A4689" w:rsidP="000A4689">
      <w:pPr>
        <w:pStyle w:val="a3"/>
        <w:spacing w:after="180" w:line="0" w:lineRule="atLeast"/>
        <w:ind w:leftChars="0" w:left="720" w:firstLineChars="0" w:firstLine="0"/>
        <w:rPr>
          <w:rFonts w:ascii="Times New Roman" w:eastAsia="標楷體" w:hAnsi="Times New Roman" w:hint="eastAsia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   </w:t>
      </w:r>
      <w:r w:rsidRPr="000A468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本會</w:t>
      </w:r>
      <w:r w:rsidR="00626EF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接受記者採訪時已多次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強調，</w:t>
      </w:r>
      <w:r w:rsidRPr="000A468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發言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內容</w:t>
      </w:r>
      <w:r w:rsidRPr="000A468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是針對產業界彼此競爭合作的實務</w:t>
      </w:r>
      <w:proofErr w:type="gramStart"/>
      <w:r w:rsidRPr="000A468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關係做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通案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性的</w:t>
      </w:r>
      <w:r w:rsidRPr="000A468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客觀分析，而非評論個案。自由時報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僅截取內容的某一段而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不依循全篇</w:t>
      </w:r>
      <w:proofErr w:type="gramEnd"/>
      <w:r w:rsidRPr="000A468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談話內容的原意加以評論，刻意利用拼湊方式以達其目的，有違新聞專業，本會深感遺憾。</w:t>
      </w:r>
    </w:p>
    <w:p w:rsidR="00626EFE" w:rsidRPr="002F4F7D" w:rsidRDefault="00626EFE" w:rsidP="00626EFE">
      <w:pPr>
        <w:pStyle w:val="a3"/>
        <w:numPr>
          <w:ilvl w:val="0"/>
          <w:numId w:val="10"/>
        </w:numPr>
        <w:spacing w:after="180" w:line="0" w:lineRule="atLeast"/>
        <w:ind w:leftChars="0" w:firstLine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2F4F7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陸資</w:t>
      </w: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投資國內事業</w:t>
      </w:r>
      <w:r w:rsidRPr="002F4F7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，仍應符合相關法令規定</w:t>
      </w:r>
    </w:p>
    <w:p w:rsidR="00626EFE" w:rsidRPr="00351F00" w:rsidRDefault="00626EFE" w:rsidP="00351F00">
      <w:pPr>
        <w:pStyle w:val="a3"/>
        <w:spacing w:after="180" w:line="0" w:lineRule="atLeast"/>
        <w:ind w:leftChars="0" w:left="720" w:firstLineChars="0" w:firstLine="0"/>
        <w:rPr>
          <w:rFonts w:ascii="Times New Roman" w:eastAsia="標楷體" w:hAnsi="Times New Roman" w:hint="eastAsia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   </w:t>
      </w:r>
      <w:r w:rsidR="00C3460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本會發言的原意是指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就產業經營而言，</w:t>
      </w:r>
      <w:r w:rsidRPr="00626EF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為因應瞬息萬變的國際經貿情勢，掌握先進生產技術與產業商機，現代企業往往必須進行全球化佈局，跨國尋求策略聯盟與投資合作夥伴，藉此提高生產技術與促進人才交流。</w:t>
      </w:r>
    </w:p>
    <w:p w:rsidR="00C1098A" w:rsidRPr="00D71F9C" w:rsidRDefault="002A7B53" w:rsidP="000A4689">
      <w:pPr>
        <w:pStyle w:val="a3"/>
        <w:spacing w:after="180" w:line="0" w:lineRule="atLeast"/>
        <w:ind w:leftChars="0" w:left="720" w:firstLine="640"/>
        <w:rPr>
          <w:rFonts w:ascii="Times New Roman" w:eastAsia="標楷體" w:hAnsi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依</w:t>
      </w:r>
      <w:r w:rsidR="008A382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目前相關法令，陸資投資臺灣國內事業或在台分公司，均應符合「</w:t>
      </w:r>
      <w:r w:rsidR="008A382F" w:rsidRPr="008A382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大陸地區人民來臺投資許可辦法</w:t>
      </w:r>
      <w:r w:rsidR="00626EF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」</w:t>
      </w:r>
      <w:r w:rsidR="008A382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規定</w:t>
      </w:r>
      <w:r w:rsidR="008A382F" w:rsidRPr="008A382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8A382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且允許投資</w:t>
      </w:r>
      <w:r w:rsidR="00626EF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</w:t>
      </w:r>
      <w:r w:rsidR="008A382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業別項目</w:t>
      </w:r>
      <w:r w:rsidR="00D71F9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，依照上開辦法第</w:t>
      </w:r>
      <w:r w:rsidR="00D71F9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8</w:t>
      </w:r>
      <w:r w:rsidR="00626EF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條，是</w:t>
      </w:r>
      <w:r w:rsidR="00D71F9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由</w:t>
      </w:r>
      <w:r w:rsidR="00D71F9C" w:rsidRPr="00D71F9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主管機關會商各中央目的事業主管機關及相關機關擬訂</w:t>
      </w:r>
      <w:r w:rsidR="00D71F9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後</w:t>
      </w:r>
      <w:r w:rsidR="00D71F9C" w:rsidRPr="00D71F9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，報行政院核定</w:t>
      </w:r>
      <w:r w:rsidR="00626EF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。換言之，陸資投資國內事業的</w:t>
      </w:r>
      <w:r w:rsidR="00E407B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業別項目是</w:t>
      </w:r>
      <w:proofErr w:type="gramStart"/>
      <w:r w:rsidR="00626EF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採</w:t>
      </w:r>
      <w:proofErr w:type="gramEnd"/>
      <w:r w:rsidR="00626EF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「正面表列」，目前「</w:t>
      </w:r>
      <w:r w:rsidR="00626EF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IC</w:t>
      </w:r>
      <w:r w:rsidR="00626EF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設計」非屬開放的</w:t>
      </w:r>
      <w:r w:rsidR="00D71F9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業別項目，陸資不得投資。</w:t>
      </w:r>
      <w:r w:rsidR="00351F0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至於未來是否開放，主管機關會做全盤考量。</w:t>
      </w:r>
    </w:p>
    <w:sectPr w:rsidR="00C1098A" w:rsidRPr="00D71F9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FE" w:rsidRDefault="008C4AFE" w:rsidP="00084D62">
      <w:r>
        <w:separator/>
      </w:r>
    </w:p>
  </w:endnote>
  <w:endnote w:type="continuationSeparator" w:id="0">
    <w:p w:rsidR="008C4AFE" w:rsidRDefault="008C4AFE" w:rsidP="0008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259359"/>
      <w:docPartObj>
        <w:docPartGallery w:val="Page Numbers (Bottom of Page)"/>
        <w:docPartUnique/>
      </w:docPartObj>
    </w:sdtPr>
    <w:sdtEndPr/>
    <w:sdtContent>
      <w:p w:rsidR="00630514" w:rsidRDefault="006305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A20" w:rsidRPr="00786A20">
          <w:rPr>
            <w:noProof/>
            <w:lang w:val="zh-TW"/>
          </w:rPr>
          <w:t>1</w:t>
        </w:r>
        <w:r>
          <w:fldChar w:fldCharType="end"/>
        </w:r>
      </w:p>
    </w:sdtContent>
  </w:sdt>
  <w:p w:rsidR="00630514" w:rsidRDefault="006305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FE" w:rsidRDefault="008C4AFE" w:rsidP="00084D62">
      <w:r>
        <w:separator/>
      </w:r>
    </w:p>
  </w:footnote>
  <w:footnote w:type="continuationSeparator" w:id="0">
    <w:p w:rsidR="008C4AFE" w:rsidRDefault="008C4AFE" w:rsidP="0008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B0B"/>
    <w:multiLevelType w:val="hybridMultilevel"/>
    <w:tmpl w:val="78E2F4BA"/>
    <w:lvl w:ilvl="0" w:tplc="0409000F">
      <w:start w:val="1"/>
      <w:numFmt w:val="decimal"/>
      <w:lvlText w:val="%1."/>
      <w:lvlJc w:val="left"/>
      <w:pPr>
        <w:ind w:left="1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7" w:hanging="480"/>
      </w:pPr>
    </w:lvl>
    <w:lvl w:ilvl="2" w:tplc="0409001B" w:tentative="1">
      <w:start w:val="1"/>
      <w:numFmt w:val="lowerRoman"/>
      <w:lvlText w:val="%3."/>
      <w:lvlJc w:val="right"/>
      <w:pPr>
        <w:ind w:left="2937" w:hanging="480"/>
      </w:pPr>
    </w:lvl>
    <w:lvl w:ilvl="3" w:tplc="0409000F" w:tentative="1">
      <w:start w:val="1"/>
      <w:numFmt w:val="decimal"/>
      <w:lvlText w:val="%4."/>
      <w:lvlJc w:val="left"/>
      <w:pPr>
        <w:ind w:left="3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7" w:hanging="480"/>
      </w:pPr>
    </w:lvl>
    <w:lvl w:ilvl="5" w:tplc="0409001B" w:tentative="1">
      <w:start w:val="1"/>
      <w:numFmt w:val="lowerRoman"/>
      <w:lvlText w:val="%6."/>
      <w:lvlJc w:val="right"/>
      <w:pPr>
        <w:ind w:left="4377" w:hanging="480"/>
      </w:pPr>
    </w:lvl>
    <w:lvl w:ilvl="6" w:tplc="0409000F" w:tentative="1">
      <w:start w:val="1"/>
      <w:numFmt w:val="decimal"/>
      <w:lvlText w:val="%7."/>
      <w:lvlJc w:val="left"/>
      <w:pPr>
        <w:ind w:left="4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7" w:hanging="480"/>
      </w:pPr>
    </w:lvl>
    <w:lvl w:ilvl="8" w:tplc="0409001B" w:tentative="1">
      <w:start w:val="1"/>
      <w:numFmt w:val="lowerRoman"/>
      <w:lvlText w:val="%9."/>
      <w:lvlJc w:val="right"/>
      <w:pPr>
        <w:ind w:left="5817" w:hanging="480"/>
      </w:pPr>
    </w:lvl>
  </w:abstractNum>
  <w:abstractNum w:abstractNumId="1">
    <w:nsid w:val="0E7B2418"/>
    <w:multiLevelType w:val="hybridMultilevel"/>
    <w:tmpl w:val="B666D8D4"/>
    <w:lvl w:ilvl="0" w:tplc="B4C680FC">
      <w:start w:val="1"/>
      <w:numFmt w:val="taiwaneseCountingThousand"/>
      <w:lvlText w:val="%1、"/>
      <w:lvlJc w:val="left"/>
      <w:pPr>
        <w:ind w:left="928" w:hanging="360"/>
      </w:pPr>
      <w:rPr>
        <w:rFonts w:hint="default"/>
        <w:lang w:val="en-US"/>
      </w:rPr>
    </w:lvl>
    <w:lvl w:ilvl="1" w:tplc="BC08FEFC">
      <w:start w:val="1"/>
      <w:numFmt w:val="taiwaneseCountingThousand"/>
      <w:lvlText w:val="(%2)"/>
      <w:lvlJc w:val="left"/>
      <w:pPr>
        <w:ind w:left="1102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4390F21"/>
    <w:multiLevelType w:val="hybridMultilevel"/>
    <w:tmpl w:val="3068532A"/>
    <w:lvl w:ilvl="0" w:tplc="55C82DB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">
    <w:nsid w:val="1EBB18BB"/>
    <w:multiLevelType w:val="hybridMultilevel"/>
    <w:tmpl w:val="F50C8DFC"/>
    <w:lvl w:ilvl="0" w:tplc="55C82DB6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>
    <w:nsid w:val="1F151A91"/>
    <w:multiLevelType w:val="hybridMultilevel"/>
    <w:tmpl w:val="F50C8DFC"/>
    <w:lvl w:ilvl="0" w:tplc="55C82DB6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>
    <w:nsid w:val="24F50C4D"/>
    <w:multiLevelType w:val="hybridMultilevel"/>
    <w:tmpl w:val="844487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DC3CB9"/>
    <w:multiLevelType w:val="hybridMultilevel"/>
    <w:tmpl w:val="79B6BD54"/>
    <w:lvl w:ilvl="0" w:tplc="380C9F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AF6FBC"/>
    <w:multiLevelType w:val="hybridMultilevel"/>
    <w:tmpl w:val="78E2F4BA"/>
    <w:lvl w:ilvl="0" w:tplc="0409000F">
      <w:start w:val="1"/>
      <w:numFmt w:val="decimal"/>
      <w:lvlText w:val="%1."/>
      <w:lvlJc w:val="left"/>
      <w:pPr>
        <w:ind w:left="1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7" w:hanging="480"/>
      </w:pPr>
    </w:lvl>
    <w:lvl w:ilvl="2" w:tplc="0409001B" w:tentative="1">
      <w:start w:val="1"/>
      <w:numFmt w:val="lowerRoman"/>
      <w:lvlText w:val="%3."/>
      <w:lvlJc w:val="right"/>
      <w:pPr>
        <w:ind w:left="2937" w:hanging="480"/>
      </w:pPr>
    </w:lvl>
    <w:lvl w:ilvl="3" w:tplc="0409000F" w:tentative="1">
      <w:start w:val="1"/>
      <w:numFmt w:val="decimal"/>
      <w:lvlText w:val="%4."/>
      <w:lvlJc w:val="left"/>
      <w:pPr>
        <w:ind w:left="3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7" w:hanging="480"/>
      </w:pPr>
    </w:lvl>
    <w:lvl w:ilvl="5" w:tplc="0409001B" w:tentative="1">
      <w:start w:val="1"/>
      <w:numFmt w:val="lowerRoman"/>
      <w:lvlText w:val="%6."/>
      <w:lvlJc w:val="right"/>
      <w:pPr>
        <w:ind w:left="4377" w:hanging="480"/>
      </w:pPr>
    </w:lvl>
    <w:lvl w:ilvl="6" w:tplc="0409000F" w:tentative="1">
      <w:start w:val="1"/>
      <w:numFmt w:val="decimal"/>
      <w:lvlText w:val="%7."/>
      <w:lvlJc w:val="left"/>
      <w:pPr>
        <w:ind w:left="4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7" w:hanging="480"/>
      </w:pPr>
    </w:lvl>
    <w:lvl w:ilvl="8" w:tplc="0409001B" w:tentative="1">
      <w:start w:val="1"/>
      <w:numFmt w:val="lowerRoman"/>
      <w:lvlText w:val="%9."/>
      <w:lvlJc w:val="right"/>
      <w:pPr>
        <w:ind w:left="5817" w:hanging="480"/>
      </w:pPr>
    </w:lvl>
  </w:abstractNum>
  <w:abstractNum w:abstractNumId="8">
    <w:nsid w:val="5A8F5657"/>
    <w:multiLevelType w:val="hybridMultilevel"/>
    <w:tmpl w:val="E7008762"/>
    <w:lvl w:ilvl="0" w:tplc="B3729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34688C"/>
    <w:multiLevelType w:val="hybridMultilevel"/>
    <w:tmpl w:val="046A9716"/>
    <w:lvl w:ilvl="0" w:tplc="C0E6B53A">
      <w:start w:val="1"/>
      <w:numFmt w:val="taiwaneseCountingThousand"/>
      <w:lvlText w:val="%1、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F"/>
    <w:rsid w:val="00024A75"/>
    <w:rsid w:val="00026FE9"/>
    <w:rsid w:val="000352F4"/>
    <w:rsid w:val="00060EA9"/>
    <w:rsid w:val="00075B97"/>
    <w:rsid w:val="00084D62"/>
    <w:rsid w:val="00094D5B"/>
    <w:rsid w:val="000A4689"/>
    <w:rsid w:val="000B5FAE"/>
    <w:rsid w:val="000C5E1A"/>
    <w:rsid w:val="000E2AFD"/>
    <w:rsid w:val="000E4D0C"/>
    <w:rsid w:val="00103F22"/>
    <w:rsid w:val="00112327"/>
    <w:rsid w:val="00114D2D"/>
    <w:rsid w:val="00127879"/>
    <w:rsid w:val="00156F9F"/>
    <w:rsid w:val="001653DB"/>
    <w:rsid w:val="0016584B"/>
    <w:rsid w:val="001B2642"/>
    <w:rsid w:val="001C2B00"/>
    <w:rsid w:val="001D4D92"/>
    <w:rsid w:val="001E1BAA"/>
    <w:rsid w:val="001F210B"/>
    <w:rsid w:val="00294954"/>
    <w:rsid w:val="002A1C88"/>
    <w:rsid w:val="002A7B53"/>
    <w:rsid w:val="002B0CC4"/>
    <w:rsid w:val="002B12C3"/>
    <w:rsid w:val="002C3152"/>
    <w:rsid w:val="002F4F7D"/>
    <w:rsid w:val="00314CFE"/>
    <w:rsid w:val="00321480"/>
    <w:rsid w:val="00342493"/>
    <w:rsid w:val="00351F00"/>
    <w:rsid w:val="00352CE7"/>
    <w:rsid w:val="00377A5F"/>
    <w:rsid w:val="00396324"/>
    <w:rsid w:val="003B5818"/>
    <w:rsid w:val="003C681D"/>
    <w:rsid w:val="004004C6"/>
    <w:rsid w:val="0041365D"/>
    <w:rsid w:val="00422F74"/>
    <w:rsid w:val="004306B9"/>
    <w:rsid w:val="0043328F"/>
    <w:rsid w:val="00437786"/>
    <w:rsid w:val="00437806"/>
    <w:rsid w:val="00456C36"/>
    <w:rsid w:val="0047030A"/>
    <w:rsid w:val="0047285A"/>
    <w:rsid w:val="004752A0"/>
    <w:rsid w:val="004800BA"/>
    <w:rsid w:val="004906A9"/>
    <w:rsid w:val="0049743E"/>
    <w:rsid w:val="004C6CAB"/>
    <w:rsid w:val="004F51D9"/>
    <w:rsid w:val="00517857"/>
    <w:rsid w:val="00520990"/>
    <w:rsid w:val="005371DF"/>
    <w:rsid w:val="00582546"/>
    <w:rsid w:val="005A1DB9"/>
    <w:rsid w:val="005A7AFE"/>
    <w:rsid w:val="005C07E4"/>
    <w:rsid w:val="005C2890"/>
    <w:rsid w:val="005C2F2B"/>
    <w:rsid w:val="005C474E"/>
    <w:rsid w:val="005C59F1"/>
    <w:rsid w:val="00611A9E"/>
    <w:rsid w:val="00624E06"/>
    <w:rsid w:val="0062676D"/>
    <w:rsid w:val="00626EFE"/>
    <w:rsid w:val="00630514"/>
    <w:rsid w:val="00663F78"/>
    <w:rsid w:val="00684C88"/>
    <w:rsid w:val="006961A5"/>
    <w:rsid w:val="006A2160"/>
    <w:rsid w:val="006B1D7B"/>
    <w:rsid w:val="006B797A"/>
    <w:rsid w:val="006D380A"/>
    <w:rsid w:val="006E5DFC"/>
    <w:rsid w:val="00700BE7"/>
    <w:rsid w:val="00710CA0"/>
    <w:rsid w:val="00710D62"/>
    <w:rsid w:val="007343AE"/>
    <w:rsid w:val="00737B78"/>
    <w:rsid w:val="00763675"/>
    <w:rsid w:val="00764086"/>
    <w:rsid w:val="007644C9"/>
    <w:rsid w:val="007748A1"/>
    <w:rsid w:val="00776F17"/>
    <w:rsid w:val="00786A20"/>
    <w:rsid w:val="007A66B0"/>
    <w:rsid w:val="007D00DB"/>
    <w:rsid w:val="007D2C6B"/>
    <w:rsid w:val="007D63B5"/>
    <w:rsid w:val="007E7505"/>
    <w:rsid w:val="007E7B8E"/>
    <w:rsid w:val="0081308A"/>
    <w:rsid w:val="008539AA"/>
    <w:rsid w:val="00856AA0"/>
    <w:rsid w:val="008A3699"/>
    <w:rsid w:val="008A382F"/>
    <w:rsid w:val="008C014A"/>
    <w:rsid w:val="008C4AFE"/>
    <w:rsid w:val="008D0D03"/>
    <w:rsid w:val="008D2D8C"/>
    <w:rsid w:val="008D43A7"/>
    <w:rsid w:val="00910F6D"/>
    <w:rsid w:val="00921D9B"/>
    <w:rsid w:val="00925878"/>
    <w:rsid w:val="00933912"/>
    <w:rsid w:val="00935248"/>
    <w:rsid w:val="00941790"/>
    <w:rsid w:val="009442CC"/>
    <w:rsid w:val="00961A41"/>
    <w:rsid w:val="00965ED9"/>
    <w:rsid w:val="00971B5B"/>
    <w:rsid w:val="009A0207"/>
    <w:rsid w:val="009A6992"/>
    <w:rsid w:val="009C384B"/>
    <w:rsid w:val="009E75E5"/>
    <w:rsid w:val="009F333E"/>
    <w:rsid w:val="00A3643F"/>
    <w:rsid w:val="00A465DF"/>
    <w:rsid w:val="00A53EB0"/>
    <w:rsid w:val="00A926A5"/>
    <w:rsid w:val="00A9628A"/>
    <w:rsid w:val="00AA2543"/>
    <w:rsid w:val="00AB206E"/>
    <w:rsid w:val="00AE3E8E"/>
    <w:rsid w:val="00AF7A65"/>
    <w:rsid w:val="00B11392"/>
    <w:rsid w:val="00B136F6"/>
    <w:rsid w:val="00B242C0"/>
    <w:rsid w:val="00B35F61"/>
    <w:rsid w:val="00B50D7E"/>
    <w:rsid w:val="00B61636"/>
    <w:rsid w:val="00B800DF"/>
    <w:rsid w:val="00B84D4A"/>
    <w:rsid w:val="00BA3FF1"/>
    <w:rsid w:val="00BD6BC4"/>
    <w:rsid w:val="00BF132F"/>
    <w:rsid w:val="00BF42C2"/>
    <w:rsid w:val="00C1098A"/>
    <w:rsid w:val="00C3460E"/>
    <w:rsid w:val="00C478BD"/>
    <w:rsid w:val="00C56A99"/>
    <w:rsid w:val="00C71447"/>
    <w:rsid w:val="00CA4230"/>
    <w:rsid w:val="00CB774C"/>
    <w:rsid w:val="00CC25BD"/>
    <w:rsid w:val="00CC2DA3"/>
    <w:rsid w:val="00D06A81"/>
    <w:rsid w:val="00D16DED"/>
    <w:rsid w:val="00D35E51"/>
    <w:rsid w:val="00D40978"/>
    <w:rsid w:val="00D462A6"/>
    <w:rsid w:val="00D55015"/>
    <w:rsid w:val="00D71F9C"/>
    <w:rsid w:val="00D753A7"/>
    <w:rsid w:val="00DB5530"/>
    <w:rsid w:val="00DC5B36"/>
    <w:rsid w:val="00DD4C8F"/>
    <w:rsid w:val="00DE76E8"/>
    <w:rsid w:val="00DF6798"/>
    <w:rsid w:val="00E34135"/>
    <w:rsid w:val="00E407B0"/>
    <w:rsid w:val="00E645B1"/>
    <w:rsid w:val="00E81D6B"/>
    <w:rsid w:val="00E82B58"/>
    <w:rsid w:val="00E95916"/>
    <w:rsid w:val="00E96FCA"/>
    <w:rsid w:val="00EA13B3"/>
    <w:rsid w:val="00EA544E"/>
    <w:rsid w:val="00EF5C60"/>
    <w:rsid w:val="00EF5C9F"/>
    <w:rsid w:val="00F212B2"/>
    <w:rsid w:val="00F36D76"/>
    <w:rsid w:val="00F54879"/>
    <w:rsid w:val="00F70C18"/>
    <w:rsid w:val="00F71AD0"/>
    <w:rsid w:val="00F74997"/>
    <w:rsid w:val="00F92DB0"/>
    <w:rsid w:val="00FA2856"/>
    <w:rsid w:val="00FA2C12"/>
    <w:rsid w:val="00FA6B4B"/>
    <w:rsid w:val="00FB37BA"/>
    <w:rsid w:val="00FB76EA"/>
    <w:rsid w:val="00FD082D"/>
    <w:rsid w:val="00FD10DB"/>
    <w:rsid w:val="00FE1996"/>
    <w:rsid w:val="00FE3CF8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62"/>
    <w:pPr>
      <w:snapToGrid w:val="0"/>
      <w:spacing w:afterLines="50" w:after="50" w:line="440" w:lineRule="atLeast"/>
      <w:ind w:leftChars="200" w:left="480" w:firstLineChars="200" w:firstLine="200"/>
    </w:pPr>
    <w:rPr>
      <w:rFonts w:ascii="Arial Unicode MS" w:eastAsia="微軟正黑體" w:hAnsi="Arial Unicode MS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084D6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084D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4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36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3699"/>
    <w:rPr>
      <w:sz w:val="20"/>
      <w:szCs w:val="20"/>
    </w:rPr>
  </w:style>
  <w:style w:type="table" w:styleId="ab">
    <w:name w:val="Table Grid"/>
    <w:basedOn w:val="a1"/>
    <w:uiPriority w:val="59"/>
    <w:rsid w:val="0011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96F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4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48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62"/>
    <w:pPr>
      <w:snapToGrid w:val="0"/>
      <w:spacing w:afterLines="50" w:after="50" w:line="440" w:lineRule="atLeast"/>
      <w:ind w:leftChars="200" w:left="480" w:firstLineChars="200" w:firstLine="200"/>
    </w:pPr>
    <w:rPr>
      <w:rFonts w:ascii="Arial Unicode MS" w:eastAsia="微軟正黑體" w:hAnsi="Arial Unicode MS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084D6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084D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4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36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3699"/>
    <w:rPr>
      <w:sz w:val="20"/>
      <w:szCs w:val="20"/>
    </w:rPr>
  </w:style>
  <w:style w:type="table" w:styleId="ab">
    <w:name w:val="Table Grid"/>
    <w:basedOn w:val="a1"/>
    <w:uiPriority w:val="59"/>
    <w:rsid w:val="0011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96F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4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4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A06C-24AD-413E-A5F3-143A9BC4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2015-11-03T11:09:00Z</cp:lastPrinted>
  <dcterms:created xsi:type="dcterms:W3CDTF">2015-11-03T11:16:00Z</dcterms:created>
  <dcterms:modified xsi:type="dcterms:W3CDTF">2015-11-03T11:16:00Z</dcterms:modified>
</cp:coreProperties>
</file>