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3" w:rsidRDefault="00142B53" w:rsidP="00142B53">
      <w:pPr>
        <w:spacing w:beforeLines="50" w:before="180" w:after="100" w:afterAutospacing="1" w:line="420" w:lineRule="exact"/>
        <w:rPr>
          <w:rFonts w:ascii="Arial" w:eastAsia="標楷體" w:hAnsi="Arial"/>
          <w:sz w:val="36"/>
          <w:szCs w:val="36"/>
        </w:rPr>
      </w:pPr>
      <w:r>
        <w:rPr>
          <w:noProof/>
        </w:rPr>
        <w:drawing>
          <wp:inline distT="0" distB="0" distL="0" distR="0" wp14:anchorId="301ACC96" wp14:editId="0F275CA1">
            <wp:extent cx="1134110" cy="2266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B53" w:rsidRDefault="00142B53" w:rsidP="00142B53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7A67BD">
        <w:rPr>
          <w:rFonts w:eastAsia="標楷體"/>
          <w:b/>
          <w:bCs/>
          <w:sz w:val="36"/>
          <w:szCs w:val="36"/>
        </w:rPr>
        <w:t>國家發展委員會</w:t>
      </w:r>
      <w:r w:rsidRPr="007A67BD">
        <w:rPr>
          <w:rFonts w:eastAsia="標楷體"/>
          <w:b/>
          <w:bCs/>
          <w:sz w:val="36"/>
          <w:szCs w:val="36"/>
        </w:rPr>
        <w:t xml:space="preserve"> </w:t>
      </w:r>
      <w:r w:rsidRPr="007A67BD">
        <w:rPr>
          <w:rFonts w:eastAsia="標楷體"/>
          <w:b/>
          <w:bCs/>
          <w:sz w:val="36"/>
          <w:szCs w:val="36"/>
        </w:rPr>
        <w:t>新聞稿</w:t>
      </w:r>
    </w:p>
    <w:p w:rsidR="000E4986" w:rsidRDefault="000E4986" w:rsidP="00142B53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0CD0D" wp14:editId="48776F12">
                <wp:simplePos x="0" y="0"/>
                <wp:positionH relativeFrom="column">
                  <wp:posOffset>3416935</wp:posOffset>
                </wp:positionH>
                <wp:positionV relativeFrom="paragraph">
                  <wp:posOffset>191828</wp:posOffset>
                </wp:positionV>
                <wp:extent cx="2616200" cy="665018"/>
                <wp:effectExtent l="0" t="0" r="0" b="19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986" w:rsidRPr="000E4986" w:rsidRDefault="000E4986" w:rsidP="000E4986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4986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發布日期：</w:t>
                            </w:r>
                            <w:r w:rsidRPr="000E4986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</w:rPr>
                              <w:t>104</w:t>
                            </w:r>
                            <w:r w:rsidRPr="000E4986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</w:rPr>
                              <w:t>年</w:t>
                            </w:r>
                            <w:r w:rsidRPr="000E4986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Pr="000E4986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</w:rPr>
                              <w:t>月</w:t>
                            </w:r>
                            <w:r w:rsidRPr="000E4986">
                              <w:rPr>
                                <w:rFonts w:eastAsia="標楷體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Pr="000E4986">
                              <w:rPr>
                                <w:rFonts w:ascii="標楷體" w:eastAsia="標楷體" w:hAnsi="標楷體" w:hint="eastAsia"/>
                                <w:color w:val="00000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0E4986" w:rsidRPr="000E4986" w:rsidRDefault="000E4986" w:rsidP="000E4986">
                            <w:pPr>
                              <w:spacing w:line="280" w:lineRule="exact"/>
                              <w:rPr>
                                <w:rFonts w:eastAsia="標楷體"/>
                                <w:sz w:val="24"/>
                                <w:szCs w:val="24"/>
                              </w:rPr>
                            </w:pPr>
                            <w:r w:rsidRPr="000E4986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聯</w:t>
                            </w:r>
                            <w:r w:rsidRPr="000E4986"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986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絡</w:t>
                            </w:r>
                            <w:r w:rsidRPr="000E4986"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986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人：</w:t>
                            </w:r>
                            <w:r w:rsidR="00ED0310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蘇來守副執行秘書</w:t>
                            </w:r>
                          </w:p>
                          <w:p w:rsidR="000E4986" w:rsidRPr="000E4986" w:rsidRDefault="000E4986" w:rsidP="000E4986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0E4986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聯絡電話：</w:t>
                            </w:r>
                            <w:r w:rsidRPr="000E4986">
                              <w:rPr>
                                <w:rFonts w:eastAsia="標楷體"/>
                                <w:sz w:val="24"/>
                                <w:szCs w:val="24"/>
                              </w:rPr>
                              <w:t>02-2316</w:t>
                            </w:r>
                            <w:r w:rsidR="00ED0310">
                              <w:rPr>
                                <w:rFonts w:eastAsia="標楷體" w:hint="eastAsia"/>
                                <w:sz w:val="24"/>
                                <w:szCs w:val="24"/>
                              </w:rPr>
                              <w:t>8203</w:t>
                            </w:r>
                          </w:p>
                          <w:p w:rsidR="000E4986" w:rsidRPr="000E4986" w:rsidRDefault="000E4986" w:rsidP="000E49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69.05pt;margin-top:15.1pt;width:206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" stroked="f">
                <v:textbox>
                  <w:txbxContent>
                    <w:p w:rsidR="000E4986" w:rsidRPr="000E4986" w:rsidRDefault="000E4986" w:rsidP="000E4986">
                      <w:pPr>
                        <w:spacing w:line="280" w:lineRule="exact"/>
                        <w:rPr>
                          <w:rFonts w:eastAsia="標楷體"/>
                          <w:color w:val="000000"/>
                          <w:sz w:val="24"/>
                          <w:szCs w:val="24"/>
                        </w:rPr>
                      </w:pPr>
                      <w:r w:rsidRPr="000E4986">
                        <w:rPr>
                          <w:rFonts w:eastAsia="標楷體" w:hint="eastAsia"/>
                          <w:sz w:val="24"/>
                          <w:szCs w:val="24"/>
                        </w:rPr>
                        <w:t>發布日期：</w:t>
                      </w:r>
                      <w:r w:rsidRPr="000E4986">
                        <w:rPr>
                          <w:rFonts w:eastAsia="標楷體"/>
                          <w:color w:val="000000"/>
                          <w:sz w:val="24"/>
                          <w:szCs w:val="24"/>
                        </w:rPr>
                        <w:t>104</w:t>
                      </w:r>
                      <w:r w:rsidRPr="000E4986">
                        <w:rPr>
                          <w:rFonts w:eastAsia="標楷體"/>
                          <w:color w:val="000000"/>
                          <w:sz w:val="24"/>
                          <w:szCs w:val="24"/>
                        </w:rPr>
                        <w:t>年</w:t>
                      </w:r>
                      <w:r w:rsidRPr="000E4986">
                        <w:rPr>
                          <w:rFonts w:eastAsia="標楷體"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Pr="000E4986">
                        <w:rPr>
                          <w:rFonts w:eastAsia="標楷體"/>
                          <w:color w:val="000000"/>
                          <w:sz w:val="24"/>
                          <w:szCs w:val="24"/>
                        </w:rPr>
                        <w:t>月</w:t>
                      </w:r>
                      <w:r w:rsidRPr="000E4986">
                        <w:rPr>
                          <w:rFonts w:eastAsia="標楷體"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Pr="000E4986">
                        <w:rPr>
                          <w:rFonts w:ascii="標楷體" w:eastAsia="標楷體" w:hAnsi="標楷體" w:hint="eastAsia"/>
                          <w:color w:val="000000"/>
                          <w:sz w:val="24"/>
                          <w:szCs w:val="24"/>
                        </w:rPr>
                        <w:t>日</w:t>
                      </w:r>
                    </w:p>
                    <w:p w:rsidR="000E4986" w:rsidRPr="000E4986" w:rsidRDefault="000E4986" w:rsidP="000E4986">
                      <w:pPr>
                        <w:spacing w:line="280" w:lineRule="exact"/>
                        <w:rPr>
                          <w:rFonts w:eastAsia="標楷體"/>
                          <w:sz w:val="24"/>
                          <w:szCs w:val="24"/>
                        </w:rPr>
                      </w:pPr>
                      <w:r w:rsidRPr="000E4986">
                        <w:rPr>
                          <w:rFonts w:eastAsia="標楷體" w:hint="eastAsia"/>
                          <w:sz w:val="24"/>
                          <w:szCs w:val="24"/>
                        </w:rPr>
                        <w:t>聯</w:t>
                      </w:r>
                      <w:r w:rsidRPr="000E4986">
                        <w:rPr>
                          <w:rFonts w:eastAsia="標楷體"/>
                          <w:sz w:val="24"/>
                          <w:szCs w:val="24"/>
                        </w:rPr>
                        <w:t xml:space="preserve"> </w:t>
                      </w:r>
                      <w:r w:rsidRPr="000E4986">
                        <w:rPr>
                          <w:rFonts w:eastAsia="標楷體" w:hint="eastAsia"/>
                          <w:sz w:val="24"/>
                          <w:szCs w:val="24"/>
                        </w:rPr>
                        <w:t>絡</w:t>
                      </w:r>
                      <w:r w:rsidRPr="000E4986">
                        <w:rPr>
                          <w:rFonts w:eastAsia="標楷體"/>
                          <w:sz w:val="24"/>
                          <w:szCs w:val="24"/>
                        </w:rPr>
                        <w:t xml:space="preserve"> </w:t>
                      </w:r>
                      <w:r w:rsidRPr="000E4986">
                        <w:rPr>
                          <w:rFonts w:eastAsia="標楷體" w:hint="eastAsia"/>
                          <w:sz w:val="24"/>
                          <w:szCs w:val="24"/>
                        </w:rPr>
                        <w:t>人：</w:t>
                      </w:r>
                      <w:r w:rsidR="00ED0310">
                        <w:rPr>
                          <w:rFonts w:eastAsia="標楷體" w:hint="eastAsia"/>
                          <w:sz w:val="24"/>
                          <w:szCs w:val="24"/>
                        </w:rPr>
                        <w:t>蘇來守副執行秘書</w:t>
                      </w:r>
                    </w:p>
                    <w:p w:rsidR="000E4986" w:rsidRPr="000E4986" w:rsidRDefault="000E4986" w:rsidP="000E4986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0E4986">
                        <w:rPr>
                          <w:rFonts w:eastAsia="標楷體" w:hint="eastAsia"/>
                          <w:sz w:val="24"/>
                          <w:szCs w:val="24"/>
                        </w:rPr>
                        <w:t>聯絡電話：</w:t>
                      </w:r>
                      <w:r w:rsidRPr="000E4986">
                        <w:rPr>
                          <w:rFonts w:eastAsia="標楷體"/>
                          <w:sz w:val="24"/>
                          <w:szCs w:val="24"/>
                        </w:rPr>
                        <w:t>02-2316</w:t>
                      </w:r>
                      <w:r w:rsidR="00ED0310">
                        <w:rPr>
                          <w:rFonts w:eastAsia="標楷體" w:hint="eastAsia"/>
                          <w:sz w:val="24"/>
                          <w:szCs w:val="24"/>
                        </w:rPr>
                        <w:t>8203</w:t>
                      </w:r>
                    </w:p>
                    <w:p w:rsidR="000E4986" w:rsidRPr="000E4986" w:rsidRDefault="000E4986" w:rsidP="000E49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2B53" w:rsidRDefault="00142B53" w:rsidP="00142B53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</w:p>
    <w:p w:rsidR="00E40797" w:rsidRPr="007A67BD" w:rsidRDefault="00E40797" w:rsidP="00142B53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</w:p>
    <w:p w:rsidR="006945C2" w:rsidRDefault="006945C2" w:rsidP="00142B53">
      <w:pPr>
        <w:spacing w:line="560" w:lineRule="exact"/>
        <w:jc w:val="center"/>
        <w:rPr>
          <w:rFonts w:ascii="標楷體" w:eastAsia="標楷體" w:hAnsi="標楷體"/>
          <w:b/>
          <w:kern w:val="0"/>
          <w:szCs w:val="32"/>
          <w:shd w:val="clear" w:color="auto" w:fill="FFFFFF"/>
        </w:rPr>
      </w:pPr>
      <w:r w:rsidRPr="00142B53">
        <w:rPr>
          <w:rFonts w:ascii="標楷體" w:eastAsia="標楷體" w:hAnsi="標楷體" w:hint="eastAsia"/>
          <w:b/>
          <w:kern w:val="0"/>
          <w:szCs w:val="32"/>
          <w:shd w:val="clear" w:color="auto" w:fill="FFFFFF"/>
        </w:rPr>
        <w:t>國發基金舉辦設立</w:t>
      </w:r>
      <w:proofErr w:type="gramStart"/>
      <w:r w:rsidRPr="00142B53">
        <w:rPr>
          <w:rFonts w:ascii="標楷體" w:eastAsia="標楷體" w:hAnsi="標楷體" w:hint="eastAsia"/>
          <w:b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b/>
          <w:kern w:val="0"/>
          <w:szCs w:val="32"/>
          <w:shd w:val="clear" w:color="auto" w:fill="FFFFFF"/>
        </w:rPr>
        <w:t>購投資基金座談會</w:t>
      </w:r>
    </w:p>
    <w:p w:rsidR="00142B53" w:rsidRPr="00142B53" w:rsidRDefault="00142B53" w:rsidP="00142B53">
      <w:pPr>
        <w:spacing w:line="560" w:lineRule="exact"/>
        <w:jc w:val="center"/>
        <w:rPr>
          <w:rFonts w:ascii="標楷體" w:eastAsia="標楷體" w:hAnsi="標楷體"/>
          <w:b/>
          <w:kern w:val="0"/>
          <w:szCs w:val="32"/>
          <w:shd w:val="clear" w:color="auto" w:fill="FFFFFF"/>
        </w:rPr>
      </w:pPr>
      <w:bookmarkStart w:id="0" w:name="_GoBack"/>
      <w:bookmarkEnd w:id="0"/>
    </w:p>
    <w:p w:rsidR="006945C2" w:rsidRPr="00142B53" w:rsidRDefault="006945C2" w:rsidP="00142B53">
      <w:pPr>
        <w:spacing w:line="560" w:lineRule="exact"/>
        <w:ind w:firstLine="480"/>
        <w:jc w:val="both"/>
        <w:rPr>
          <w:rFonts w:ascii="標楷體" w:eastAsia="標楷體" w:hAnsi="標楷體"/>
          <w:kern w:val="0"/>
          <w:szCs w:val="32"/>
          <w:shd w:val="clear" w:color="auto" w:fill="FFFFFF"/>
        </w:rPr>
      </w:pP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行政院國家發展基金配合行政院「經濟強化體質措施」，規劃設立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購投資基金，今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>(20)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日舉辦座談會，說明相關規劃作法，廣徵投資相關業者意見，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俾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使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購投資基金運作機制能更符合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購投資實務需求，加速達成產業升級及改善產業結構的設立目的。</w:t>
      </w:r>
    </w:p>
    <w:p w:rsidR="006945C2" w:rsidRPr="00142B53" w:rsidRDefault="006945C2" w:rsidP="00142B53">
      <w:pPr>
        <w:spacing w:line="560" w:lineRule="exact"/>
        <w:ind w:firstLine="480"/>
        <w:jc w:val="both"/>
        <w:rPr>
          <w:rFonts w:ascii="標楷體" w:eastAsia="標楷體" w:hAnsi="標楷體"/>
          <w:kern w:val="0"/>
          <w:szCs w:val="32"/>
          <w:shd w:val="clear" w:color="auto" w:fill="FFFFFF"/>
        </w:rPr>
      </w:pP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國發基金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初步匡列新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臺幣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 xml:space="preserve"> 200 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億元，投資於民間主導之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購投資基金，對個別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購投資基金以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 xml:space="preserve"> 30%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為上限，其投資對象不限定任何產業。政府與民間合組之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購投資基金總規模約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>700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至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>800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億元，若加計除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購投資基金外之民間投資者共同投資，及搭配銀行融資財務槓桿，估計可帶動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>1,500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至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>2,000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億元投資動能。</w:t>
      </w:r>
    </w:p>
    <w:p w:rsidR="006945C2" w:rsidRPr="00142B53" w:rsidRDefault="006945C2" w:rsidP="00142B53">
      <w:pPr>
        <w:spacing w:line="560" w:lineRule="exact"/>
        <w:ind w:firstLine="480"/>
        <w:jc w:val="both"/>
        <w:rPr>
          <w:rFonts w:ascii="標楷體" w:eastAsia="標楷體" w:hAnsi="標楷體"/>
          <w:kern w:val="0"/>
          <w:szCs w:val="32"/>
          <w:shd w:val="clear" w:color="auto" w:fill="FFFFFF"/>
        </w:rPr>
      </w:pP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國發基金規劃投資之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購投資基金，須以透過企業整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等方式達成產業升級及轉型為主要投資策略，投資範圍包括整合國內企業，擴大規模及提升競爭力、助國內企業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購國外企業，以取得技術、品牌、市場及人才等關鍵資源；國外企業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購國內企業，進行企業重整或建立供應鏈，協助提升國內產業價值等。惟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購投資基金不允許以市場掠奪為目的，對國內企業造成傷害之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購。</w:t>
      </w:r>
    </w:p>
    <w:p w:rsidR="006945C2" w:rsidRPr="00142B53" w:rsidRDefault="006945C2" w:rsidP="00142B53">
      <w:pPr>
        <w:spacing w:line="560" w:lineRule="exact"/>
        <w:ind w:firstLine="480"/>
        <w:jc w:val="both"/>
        <w:rPr>
          <w:rFonts w:ascii="標楷體" w:eastAsia="標楷體" w:hAnsi="標楷體"/>
          <w:kern w:val="0"/>
          <w:szCs w:val="32"/>
          <w:shd w:val="clear" w:color="auto" w:fill="FFFFFF"/>
        </w:rPr>
      </w:pP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lastRenderedPageBreak/>
        <w:t>過去一個月以來，國發基金密集邀集專家及業者進行意見交流，獲得極大的廻響，並期望早日設立。今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>(20)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日國發基金邀請台灣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購與私募股權協會黃日燦理事長、中華民國創業投資商業同業公會黃翠慧理事長及相關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購投資業者參與座談，座談會應邀出席之投資業者皆為國內知名投資業者。國發基金向業者宣示政府設立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購投資基金之決心，並說明規劃作法，同時聽取投資業者意見，期使方案更切合市場運作實務及未來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併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購企業的需求。</w:t>
      </w:r>
    </w:p>
    <w:p w:rsidR="006945C2" w:rsidRPr="00142B53" w:rsidRDefault="006945C2" w:rsidP="00142B53">
      <w:pPr>
        <w:spacing w:line="560" w:lineRule="exact"/>
        <w:ind w:firstLine="480"/>
        <w:jc w:val="both"/>
        <w:rPr>
          <w:rFonts w:ascii="標楷體" w:eastAsia="標楷體" w:hAnsi="標楷體"/>
          <w:kern w:val="0"/>
          <w:szCs w:val="32"/>
          <w:shd w:val="clear" w:color="auto" w:fill="FFFFFF"/>
        </w:rPr>
      </w:pP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完整方案將於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 xml:space="preserve">104 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年</w:t>
      </w:r>
      <w:r w:rsidRPr="00142B53">
        <w:rPr>
          <w:rFonts w:ascii="標楷體" w:eastAsia="標楷體" w:hAnsi="標楷體"/>
          <w:kern w:val="0"/>
          <w:szCs w:val="32"/>
          <w:shd w:val="clear" w:color="auto" w:fill="FFFFFF"/>
        </w:rPr>
        <w:t xml:space="preserve"> 9 </w:t>
      </w:r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月提報國發基金管理會審議通過後，即可受理申請。本方案為目前國發會短期提振經濟具體可行</w:t>
      </w:r>
      <w:proofErr w:type="gramStart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措</w:t>
      </w:r>
      <w:proofErr w:type="gramEnd"/>
      <w:r w:rsidRPr="00142B53">
        <w:rPr>
          <w:rFonts w:ascii="標楷體" w:eastAsia="標楷體" w:hAnsi="標楷體" w:hint="eastAsia"/>
          <w:kern w:val="0"/>
          <w:szCs w:val="32"/>
          <w:shd w:val="clear" w:color="auto" w:fill="FFFFFF"/>
        </w:rPr>
        <w:t>施之一，可望為國內企業進軍國際市場提供堅強後援。</w:t>
      </w:r>
    </w:p>
    <w:sectPr w:rsidR="006945C2" w:rsidRPr="00142B53" w:rsidSect="00991242"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C" w:rsidRDefault="003920DC" w:rsidP="00267DD4">
      <w:r>
        <w:separator/>
      </w:r>
    </w:p>
  </w:endnote>
  <w:endnote w:type="continuationSeparator" w:id="0">
    <w:p w:rsidR="003920DC" w:rsidRDefault="003920DC" w:rsidP="0026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C2" w:rsidRDefault="000A610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0310" w:rsidRPr="00ED031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945C2" w:rsidRDefault="006945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C" w:rsidRDefault="003920DC" w:rsidP="00267DD4">
      <w:r>
        <w:separator/>
      </w:r>
    </w:p>
  </w:footnote>
  <w:footnote w:type="continuationSeparator" w:id="0">
    <w:p w:rsidR="003920DC" w:rsidRDefault="003920DC" w:rsidP="0026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0D3"/>
    <w:multiLevelType w:val="hybridMultilevel"/>
    <w:tmpl w:val="AC642344"/>
    <w:lvl w:ilvl="0" w:tplc="0409000F">
      <w:start w:val="1"/>
      <w:numFmt w:val="decimal"/>
      <w:lvlText w:val="%1."/>
      <w:lvlJc w:val="left"/>
      <w:pPr>
        <w:ind w:left="175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">
    <w:nsid w:val="075C137B"/>
    <w:multiLevelType w:val="hybridMultilevel"/>
    <w:tmpl w:val="0F1E5754"/>
    <w:lvl w:ilvl="0" w:tplc="E76262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C5318E"/>
    <w:multiLevelType w:val="hybridMultilevel"/>
    <w:tmpl w:val="ABEAB2E2"/>
    <w:lvl w:ilvl="0" w:tplc="3A9CE8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2A5E8">
      <w:start w:val="4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C0C6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26F1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B42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6E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1EE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CA90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0581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342BE"/>
    <w:multiLevelType w:val="hybridMultilevel"/>
    <w:tmpl w:val="84B0C36A"/>
    <w:lvl w:ilvl="0" w:tplc="64E4E6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A4F8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8798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DB3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6FED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B64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5BD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4C97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6C5B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C6634"/>
    <w:multiLevelType w:val="hybridMultilevel"/>
    <w:tmpl w:val="47B43286"/>
    <w:lvl w:ilvl="0" w:tplc="8608844E">
      <w:start w:val="1"/>
      <w:numFmt w:val="decimal"/>
      <w:lvlText w:val="(%1)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5">
    <w:nsid w:val="162F2D15"/>
    <w:multiLevelType w:val="hybridMultilevel"/>
    <w:tmpl w:val="567EB3D6"/>
    <w:lvl w:ilvl="0" w:tplc="CFF8D3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B581DE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0A9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6112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68AF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2A6B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50054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E44D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6639"/>
    <w:multiLevelType w:val="hybridMultilevel"/>
    <w:tmpl w:val="A9A81298"/>
    <w:lvl w:ilvl="0" w:tplc="5D76EB3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7">
    <w:nsid w:val="19EA6DF4"/>
    <w:multiLevelType w:val="hybridMultilevel"/>
    <w:tmpl w:val="B630F840"/>
    <w:lvl w:ilvl="0" w:tplc="44F031B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AA271FB"/>
    <w:multiLevelType w:val="hybridMultilevel"/>
    <w:tmpl w:val="331868D8"/>
    <w:lvl w:ilvl="0" w:tplc="0409000F">
      <w:start w:val="1"/>
      <w:numFmt w:val="decimal"/>
      <w:lvlText w:val="%1."/>
      <w:lvlJc w:val="left"/>
      <w:pPr>
        <w:ind w:left="1175" w:hanging="468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7" w:hanging="480"/>
      </w:pPr>
      <w:rPr>
        <w:rFonts w:cs="Times New Roman"/>
      </w:rPr>
    </w:lvl>
  </w:abstractNum>
  <w:abstractNum w:abstractNumId="9">
    <w:nsid w:val="26332938"/>
    <w:multiLevelType w:val="hybridMultilevel"/>
    <w:tmpl w:val="FC9453FA"/>
    <w:lvl w:ilvl="0" w:tplc="C7769FB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9C93640"/>
    <w:multiLevelType w:val="hybridMultilevel"/>
    <w:tmpl w:val="4202B0F0"/>
    <w:lvl w:ilvl="0" w:tplc="8608844E">
      <w:start w:val="1"/>
      <w:numFmt w:val="decimal"/>
      <w:lvlText w:val="(%1)"/>
      <w:lvlJc w:val="left"/>
      <w:pPr>
        <w:ind w:left="126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6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80"/>
      </w:pPr>
      <w:rPr>
        <w:rFonts w:cs="Times New Roman"/>
      </w:rPr>
    </w:lvl>
  </w:abstractNum>
  <w:abstractNum w:abstractNumId="11">
    <w:nsid w:val="2CB267D3"/>
    <w:multiLevelType w:val="hybridMultilevel"/>
    <w:tmpl w:val="69764BBE"/>
    <w:lvl w:ilvl="0" w:tplc="617C6978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>
    <w:nsid w:val="5AD4354F"/>
    <w:multiLevelType w:val="hybridMultilevel"/>
    <w:tmpl w:val="917E37FE"/>
    <w:lvl w:ilvl="0" w:tplc="617C6978">
      <w:start w:val="1"/>
      <w:numFmt w:val="taiwaneseCountingThousand"/>
      <w:lvlText w:val="(%1)"/>
      <w:lvlJc w:val="left"/>
      <w:pPr>
        <w:ind w:left="1175" w:hanging="468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7" w:hanging="480"/>
      </w:pPr>
      <w:rPr>
        <w:rFonts w:cs="Times New Roman"/>
      </w:rPr>
    </w:lvl>
  </w:abstractNum>
  <w:abstractNum w:abstractNumId="13">
    <w:nsid w:val="6B294F2E"/>
    <w:multiLevelType w:val="hybridMultilevel"/>
    <w:tmpl w:val="CF30F272"/>
    <w:lvl w:ilvl="0" w:tplc="AC502E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09B8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A951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63D8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0213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889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28E3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64077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2C34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FE44FB"/>
    <w:multiLevelType w:val="hybridMultilevel"/>
    <w:tmpl w:val="2138DEDA"/>
    <w:lvl w:ilvl="0" w:tplc="FD4881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22C38">
      <w:start w:val="8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7E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0F6C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0FEB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2613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0360A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E661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03DE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C3E0D"/>
    <w:multiLevelType w:val="hybridMultilevel"/>
    <w:tmpl w:val="D4DED11C"/>
    <w:lvl w:ilvl="0" w:tplc="6C86C046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38"/>
    <w:rsid w:val="00024EE3"/>
    <w:rsid w:val="00031B26"/>
    <w:rsid w:val="00053DFD"/>
    <w:rsid w:val="00055368"/>
    <w:rsid w:val="0007491A"/>
    <w:rsid w:val="000A6108"/>
    <w:rsid w:val="000D29C0"/>
    <w:rsid w:val="000E4986"/>
    <w:rsid w:val="000F16AA"/>
    <w:rsid w:val="00130571"/>
    <w:rsid w:val="00142B53"/>
    <w:rsid w:val="0017333A"/>
    <w:rsid w:val="00264523"/>
    <w:rsid w:val="00267DD4"/>
    <w:rsid w:val="002D21B9"/>
    <w:rsid w:val="00327554"/>
    <w:rsid w:val="00332FCB"/>
    <w:rsid w:val="00360D63"/>
    <w:rsid w:val="003724C0"/>
    <w:rsid w:val="0038777A"/>
    <w:rsid w:val="003920DC"/>
    <w:rsid w:val="003A5C2B"/>
    <w:rsid w:val="003B4CE8"/>
    <w:rsid w:val="004A0EFE"/>
    <w:rsid w:val="004B4938"/>
    <w:rsid w:val="004D4FA2"/>
    <w:rsid w:val="004E0CC5"/>
    <w:rsid w:val="004F0B8F"/>
    <w:rsid w:val="00525099"/>
    <w:rsid w:val="00583E76"/>
    <w:rsid w:val="005942E0"/>
    <w:rsid w:val="005D08CB"/>
    <w:rsid w:val="00675FBD"/>
    <w:rsid w:val="006945C2"/>
    <w:rsid w:val="00694A89"/>
    <w:rsid w:val="00696558"/>
    <w:rsid w:val="006B299E"/>
    <w:rsid w:val="00716927"/>
    <w:rsid w:val="00762BF1"/>
    <w:rsid w:val="00777FDE"/>
    <w:rsid w:val="007829AF"/>
    <w:rsid w:val="007F0A14"/>
    <w:rsid w:val="008723F0"/>
    <w:rsid w:val="009058E1"/>
    <w:rsid w:val="00991242"/>
    <w:rsid w:val="00995CA2"/>
    <w:rsid w:val="009E1D8C"/>
    <w:rsid w:val="00A12C00"/>
    <w:rsid w:val="00A15F22"/>
    <w:rsid w:val="00A17296"/>
    <w:rsid w:val="00A31A52"/>
    <w:rsid w:val="00A33825"/>
    <w:rsid w:val="00A42191"/>
    <w:rsid w:val="00B27BEC"/>
    <w:rsid w:val="00B8360B"/>
    <w:rsid w:val="00B910E4"/>
    <w:rsid w:val="00C1085F"/>
    <w:rsid w:val="00C23A6B"/>
    <w:rsid w:val="00C23F15"/>
    <w:rsid w:val="00C56FFB"/>
    <w:rsid w:val="00C83E8B"/>
    <w:rsid w:val="00C9642F"/>
    <w:rsid w:val="00CB6B17"/>
    <w:rsid w:val="00D2011A"/>
    <w:rsid w:val="00D47033"/>
    <w:rsid w:val="00D972C4"/>
    <w:rsid w:val="00E00824"/>
    <w:rsid w:val="00E40797"/>
    <w:rsid w:val="00E961D5"/>
    <w:rsid w:val="00ED0310"/>
    <w:rsid w:val="00ED4720"/>
    <w:rsid w:val="00F42B0E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AF"/>
    <w:pPr>
      <w:widowControl w:val="0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938"/>
    <w:pPr>
      <w:widowControl/>
      <w:ind w:leftChars="200" w:left="480"/>
    </w:pPr>
    <w:rPr>
      <w:rFonts w:ascii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B49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67D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267D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67D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267D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E0CC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3FFF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AF"/>
    <w:pPr>
      <w:widowControl w:val="0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938"/>
    <w:pPr>
      <w:widowControl/>
      <w:ind w:leftChars="200" w:left="480"/>
    </w:pPr>
    <w:rPr>
      <w:rFonts w:ascii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B49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67D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267D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67D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267D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E0CC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3FFF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9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2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91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2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2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2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92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92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2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3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3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932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3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D2BD-27DB-43FB-9753-A62264EB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640</Characters>
  <Application>Microsoft Office Word</Application>
  <DocSecurity>0</DocSecurity>
  <Lines>5</Lines>
  <Paragraphs>1</Paragraphs>
  <ScaleCrop>false</ScaleCrop>
  <Company>MSHOME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國發基金舉辦設立併購投資基金座談會</dc:title>
  <dc:subject/>
  <dc:creator>5 林宜輝 Sidney Lin</dc:creator>
  <cp:keywords/>
  <dc:description/>
  <cp:lastModifiedBy>user</cp:lastModifiedBy>
  <cp:revision>9</cp:revision>
  <cp:lastPrinted>2015-08-12T02:36:00Z</cp:lastPrinted>
  <dcterms:created xsi:type="dcterms:W3CDTF">2015-08-20T00:22:00Z</dcterms:created>
  <dcterms:modified xsi:type="dcterms:W3CDTF">2015-08-20T07:20:00Z</dcterms:modified>
</cp:coreProperties>
</file>