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="00EF7690">
        <w:rPr>
          <w:rFonts w:ascii="Calibri" w:eastAsia="標楷體" w:hAnsi="Calibri" w:cs="Times New Roman" w:hint="eastAsia"/>
          <w:b/>
          <w:bCs/>
          <w:sz w:val="36"/>
          <w:szCs w:val="36"/>
        </w:rPr>
        <w:t>新聞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326136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EA16CB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EA16CB"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401BFD">
                              <w:rPr>
                                <w:rFonts w:eastAsia="標楷體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A16CB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F7690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401BFD">
                              <w:rPr>
                                <w:rFonts w:eastAsia="標楷體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2011BC">
                              <w:rPr>
                                <w:rFonts w:eastAsia="標楷體" w:hint="eastAsia"/>
                              </w:rPr>
                              <w:t>莊</w:t>
                            </w:r>
                            <w:r w:rsidR="002011BC">
                              <w:rPr>
                                <w:rFonts w:eastAsia="標楷體"/>
                              </w:rPr>
                              <w:t>明芬副處長、</w:t>
                            </w:r>
                            <w:r w:rsidR="00401BFD">
                              <w:rPr>
                                <w:rFonts w:eastAsia="標楷體" w:hint="eastAsia"/>
                              </w:rPr>
                              <w:t>柯炳</w:t>
                            </w:r>
                            <w:r w:rsidR="00401BFD">
                              <w:rPr>
                                <w:rFonts w:eastAsia="標楷體"/>
                              </w:rPr>
                              <w:t>式</w:t>
                            </w:r>
                            <w:r w:rsidR="00401BFD">
                              <w:rPr>
                                <w:rFonts w:eastAsia="標楷體" w:hint="eastAsia"/>
                              </w:rPr>
                              <w:t>科</w:t>
                            </w:r>
                            <w:r w:rsidR="00401BFD">
                              <w:rPr>
                                <w:rFonts w:eastAsia="標楷體"/>
                              </w:rPr>
                              <w:t>長</w:t>
                            </w:r>
                          </w:p>
                          <w:p w:rsidR="004547B8" w:rsidRPr="000D71B8" w:rsidRDefault="004547B8" w:rsidP="00721A7C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721A7C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721A7C">
                              <w:rPr>
                                <w:rFonts w:eastAsia="標楷體"/>
                              </w:rPr>
                              <w:t>2-23165300#</w:t>
                            </w:r>
                            <w:r w:rsidR="002011BC">
                              <w:rPr>
                                <w:rFonts w:eastAsia="標楷體"/>
                              </w:rPr>
                              <w:t>6802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721A7C">
                              <w:rPr>
                                <w:rFonts w:eastAsia="標楷體" w:hint="eastAsia"/>
                              </w:rPr>
                              <w:t>#</w:t>
                            </w:r>
                            <w:r w:rsidR="00EF7690">
                              <w:rPr>
                                <w:rFonts w:eastAsia="標楷體"/>
                              </w:rPr>
                              <w:t>4</w:t>
                            </w:r>
                            <w:r w:rsidR="002011BC">
                              <w:rPr>
                                <w:rFonts w:eastAsia="標楷體"/>
                              </w:rPr>
                              <w:t>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in;margin-top:2.2pt;width:256.8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EA16CB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EA16CB"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401BFD">
                        <w:rPr>
                          <w:rFonts w:eastAsia="標楷體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A16CB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F7690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401BFD">
                        <w:rPr>
                          <w:rFonts w:eastAsia="標楷體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2011BC">
                        <w:rPr>
                          <w:rFonts w:eastAsia="標楷體" w:hint="eastAsia"/>
                        </w:rPr>
                        <w:t>莊</w:t>
                      </w:r>
                      <w:r w:rsidR="002011BC">
                        <w:rPr>
                          <w:rFonts w:eastAsia="標楷體"/>
                        </w:rPr>
                        <w:t>明芬副處長、</w:t>
                      </w:r>
                      <w:r w:rsidR="00401BFD">
                        <w:rPr>
                          <w:rFonts w:eastAsia="標楷體" w:hint="eastAsia"/>
                        </w:rPr>
                        <w:t>柯炳</w:t>
                      </w:r>
                      <w:r w:rsidR="00401BFD">
                        <w:rPr>
                          <w:rFonts w:eastAsia="標楷體"/>
                        </w:rPr>
                        <w:t>式</w:t>
                      </w:r>
                      <w:r w:rsidR="00401BFD">
                        <w:rPr>
                          <w:rFonts w:eastAsia="標楷體" w:hint="eastAsia"/>
                        </w:rPr>
                        <w:t>科</w:t>
                      </w:r>
                      <w:r w:rsidR="00401BFD">
                        <w:rPr>
                          <w:rFonts w:eastAsia="標楷體"/>
                        </w:rPr>
                        <w:t>長</w:t>
                      </w:r>
                    </w:p>
                    <w:p w:rsidR="004547B8" w:rsidRPr="000D71B8" w:rsidRDefault="004547B8" w:rsidP="00721A7C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721A7C">
                        <w:rPr>
                          <w:rFonts w:eastAsia="標楷體" w:hint="eastAsia"/>
                        </w:rPr>
                        <w:t>0</w:t>
                      </w:r>
                      <w:r w:rsidR="00721A7C">
                        <w:rPr>
                          <w:rFonts w:eastAsia="標楷體"/>
                        </w:rPr>
                        <w:t>2-23165300#</w:t>
                      </w:r>
                      <w:r w:rsidR="002011BC">
                        <w:rPr>
                          <w:rFonts w:eastAsia="標楷體"/>
                        </w:rPr>
                        <w:t>6802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721A7C">
                        <w:rPr>
                          <w:rFonts w:eastAsia="標楷體" w:hint="eastAsia"/>
                        </w:rPr>
                        <w:t>#</w:t>
                      </w:r>
                      <w:r w:rsidR="00EF7690">
                        <w:rPr>
                          <w:rFonts w:eastAsia="標楷體"/>
                        </w:rPr>
                        <w:t>4</w:t>
                      </w:r>
                      <w:r w:rsidR="002011BC">
                        <w:rPr>
                          <w:rFonts w:eastAsia="標楷體"/>
                        </w:rPr>
                        <w:t>987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B63D0E" w:rsidRPr="00F567DC" w:rsidRDefault="00B63D0E" w:rsidP="00F567DC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  <w:r w:rsidRPr="00F567DC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打造透明開放政府</w:t>
      </w:r>
      <w:r w:rsidRPr="00F567DC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 xml:space="preserve">  </w:t>
      </w:r>
      <w:r w:rsidRPr="00F567DC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提升政府治理效能</w:t>
      </w:r>
    </w:p>
    <w:p w:rsidR="00EF7690" w:rsidRPr="00F567DC" w:rsidRDefault="00EF7690" w:rsidP="00F567DC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</w:pPr>
      <w:r w:rsidRPr="00F567DC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國發會舉辦</w:t>
      </w:r>
      <w:r w:rsidRPr="00F567DC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 xml:space="preserve"> 10</w:t>
      </w:r>
      <w:r w:rsidR="003D70D7" w:rsidRPr="00F567DC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4</w:t>
      </w:r>
      <w:r w:rsidRPr="00F567DC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年資訊主管聯席會</w:t>
      </w:r>
      <w:r w:rsidRPr="00F567DC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-</w:t>
      </w:r>
      <w:r w:rsidRPr="00F567DC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地方分組第</w:t>
      </w:r>
      <w:r w:rsidRPr="00F567DC">
        <w:rPr>
          <w:rFonts w:ascii="Times New Roman" w:eastAsia="標楷體" w:hAnsi="Times New Roman"/>
          <w:b/>
          <w:color w:val="000000" w:themeColor="text1"/>
          <w:kern w:val="0"/>
          <w:sz w:val="32"/>
          <w:szCs w:val="32"/>
        </w:rPr>
        <w:t>1</w:t>
      </w:r>
      <w:r w:rsidRPr="00F567DC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2"/>
        </w:rPr>
        <w:t>次會議</w:t>
      </w:r>
    </w:p>
    <w:p w:rsidR="00EF7690" w:rsidRPr="00971804" w:rsidRDefault="00EF7690" w:rsidP="00EF7690">
      <w:pPr>
        <w:rPr>
          <w:rFonts w:ascii="新細明體" w:hAnsi="新細明體"/>
          <w:color w:val="000000" w:themeColor="text1"/>
        </w:rPr>
      </w:pPr>
    </w:p>
    <w:p w:rsidR="00176AA7" w:rsidRPr="00971804" w:rsidRDefault="00EF7690" w:rsidP="00207D4D">
      <w:pPr>
        <w:spacing w:line="540" w:lineRule="exact"/>
        <w:ind w:firstLineChars="200" w:firstLine="64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國家發展委員會於本</w:t>
      </w:r>
      <w:r w:rsidR="005D186A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</w:t>
      </w:r>
      <w:r w:rsidR="005D186A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5</w:t>
      </w:r>
      <w:r w:rsidR="005D186A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="005D186A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月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</w:t>
      </w:r>
      <w:r w:rsidR="00AD2D6C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3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日假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雲林縣政府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舉辦</w:t>
      </w:r>
      <w:bookmarkStart w:id="0" w:name="_GoBack"/>
      <w:bookmarkEnd w:id="0"/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「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4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年資訊主管聯席會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-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地方分組第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次會議」，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邀請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縣市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政府資訊</w:t>
      </w:r>
      <w:r w:rsidR="00C64F2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及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研考</w:t>
      </w:r>
      <w:r w:rsidR="00C64F2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主管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與會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，藉由機關實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際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</w:t>
      </w:r>
      <w:r w:rsidR="003D70D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資訊建設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成果與案例分享，</w:t>
      </w:r>
      <w:r w:rsidR="00F268ED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促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增彼此相互學習與進一步合作，以加強地方與中央</w:t>
      </w:r>
      <w:r w:rsidR="00F268ED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資訊業務</w:t>
      </w:r>
      <w:r w:rsidR="00F268ED">
        <w:rPr>
          <w:rFonts w:ascii="標楷體" w:eastAsia="標楷體" w:hAnsi="標楷體" w:hint="eastAsia"/>
          <w:color w:val="000000" w:themeColor="text1"/>
          <w:sz w:val="32"/>
          <w:szCs w:val="32"/>
        </w:rPr>
        <w:t>上</w:t>
      </w:r>
      <w:r w:rsidR="00176AA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的聯繫。</w:t>
      </w:r>
    </w:p>
    <w:p w:rsidR="002E0E9E" w:rsidRDefault="00EF7690" w:rsidP="00207D4D">
      <w:pPr>
        <w:spacing w:line="540" w:lineRule="exact"/>
        <w:ind w:firstLineChars="200" w:firstLine="640"/>
        <w:rPr>
          <w:rFonts w:ascii="Times New Roman" w:eastAsia="標楷體" w:hAnsi="Times New Roman"/>
          <w:color w:val="FF0000"/>
          <w:kern w:val="0"/>
          <w:sz w:val="32"/>
          <w:szCs w:val="32"/>
        </w:rPr>
      </w:pP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國發會</w:t>
      </w:r>
      <w:r w:rsidR="002135F6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高仙桂副主委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表示，</w:t>
      </w:r>
      <w:r w:rsidR="002E0E9E" w:rsidRPr="006032F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本會與地方政府的合作與互動一向密切，例如雲林縣政府即今年度參與本會基層機關行動資訊服務試辦計畫。此次會議就是希望中央與地方攜手合作，共同針對電子化政府各項計畫的推動策略與執行步驟提出建議，加強彼此聯繫，分享協同合作的經驗。</w:t>
      </w:r>
    </w:p>
    <w:p w:rsidR="00B314F2" w:rsidRDefault="00924557" w:rsidP="00207D4D">
      <w:pPr>
        <w:spacing w:line="540" w:lineRule="exact"/>
        <w:ind w:firstLineChars="200" w:firstLine="64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本次會議</w:t>
      </w:r>
      <w:r w:rsidR="008061E1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以</w:t>
      </w:r>
      <w:r w:rsidR="008061E1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「</w:t>
      </w:r>
      <w:r w:rsidR="008061E1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網路溝通與優化施政</w:t>
      </w:r>
      <w:r w:rsidR="008061E1" w:rsidRPr="0097180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」</w:t>
      </w:r>
      <w:r w:rsidR="008061E1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為主題，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討論議題</w:t>
      </w:r>
      <w:r w:rsidR="008061E1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即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行政院</w:t>
      </w:r>
      <w:r w:rsidR="00FF36E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毛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治國</w:t>
      </w:r>
      <w:r w:rsidR="00FF36E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院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長所</w:t>
      </w:r>
      <w:r w:rsidR="0097180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揭</w:t>
      </w:r>
      <w:r w:rsidR="003D696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示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「</w:t>
      </w:r>
      <w:r w:rsidR="00051BD4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大數據</w:t>
      </w:r>
      <w:r w:rsidR="008213F2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（</w:t>
      </w:r>
      <w:r w:rsidR="008213F2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Big data</w:t>
      </w:r>
      <w:r w:rsidR="008213F2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）</w:t>
      </w:r>
      <w:r w:rsidR="00051BD4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、開放資料</w:t>
      </w:r>
      <w:r w:rsidR="008213F2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（</w:t>
      </w:r>
      <w:r w:rsidR="008213F2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Open data</w:t>
      </w:r>
      <w:r w:rsidR="008213F2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）</w:t>
      </w:r>
      <w:r w:rsidR="00CC1A45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及</w:t>
      </w:r>
      <w:r w:rsidR="00051BD4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群眾</w:t>
      </w:r>
      <w:r w:rsidR="0026686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智慧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協力</w:t>
      </w:r>
      <w:r w:rsidR="008213F2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（</w:t>
      </w:r>
      <w:r w:rsidR="008213F2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crowd sourcing</w:t>
      </w:r>
      <w:r w:rsidR="008213F2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）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」</w:t>
      </w:r>
      <w:r w:rsidR="0007626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3</w:t>
      </w:r>
      <w:r w:rsidR="0007626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項工作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FF36E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將會是</w:t>
      </w:r>
      <w:r w:rsidR="00051BD4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</w:t>
      </w:r>
      <w:r w:rsidR="00FF36EB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「</w:t>
      </w:r>
      <w:r w:rsidR="00FF36E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精進公共服務，提升民眾福址</w:t>
      </w:r>
      <w:r w:rsidR="00FF36EB" w:rsidRPr="0097180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」，以及</w:t>
      </w:r>
      <w:r w:rsidR="00FF36EB" w:rsidRPr="00971804">
        <w:rPr>
          <w:rFonts w:ascii="新細明體" w:eastAsia="新細明體" w:hAnsi="新細明體" w:hint="eastAsia"/>
          <w:color w:val="000000" w:themeColor="text1"/>
          <w:kern w:val="0"/>
          <w:sz w:val="32"/>
          <w:szCs w:val="32"/>
        </w:rPr>
        <w:t>「</w:t>
      </w:r>
      <w:r w:rsidR="00FF36EB" w:rsidRPr="00971804">
        <w:rPr>
          <w:rFonts w:eastAsia="標楷體"/>
          <w:color w:val="000000" w:themeColor="text1"/>
          <w:sz w:val="32"/>
          <w:szCs w:val="32"/>
        </w:rPr>
        <w:t>強化政府治理效能</w:t>
      </w:r>
      <w:r w:rsidR="00FF36EB" w:rsidRPr="00971804">
        <w:rPr>
          <w:rFonts w:eastAsia="標楷體" w:hint="eastAsia"/>
          <w:color w:val="000000" w:themeColor="text1"/>
          <w:sz w:val="32"/>
          <w:szCs w:val="32"/>
        </w:rPr>
        <w:t>，</w:t>
      </w:r>
      <w:r w:rsidR="00FF36EB" w:rsidRPr="00971804">
        <w:rPr>
          <w:rFonts w:eastAsia="標楷體"/>
          <w:color w:val="000000" w:themeColor="text1"/>
          <w:sz w:val="32"/>
          <w:szCs w:val="32"/>
        </w:rPr>
        <w:t>推動</w:t>
      </w:r>
      <w:r w:rsidR="00FF36EB" w:rsidRPr="00971804">
        <w:rPr>
          <w:rFonts w:eastAsia="標楷體" w:hint="eastAsia"/>
          <w:color w:val="000000" w:themeColor="text1"/>
          <w:sz w:val="32"/>
          <w:szCs w:val="32"/>
        </w:rPr>
        <w:t>公共政策</w:t>
      </w:r>
      <w:r w:rsidR="00FF36EB" w:rsidRPr="00971804">
        <w:rPr>
          <w:rFonts w:eastAsia="標楷體"/>
          <w:color w:val="000000" w:themeColor="text1"/>
          <w:sz w:val="32"/>
          <w:szCs w:val="32"/>
        </w:rPr>
        <w:t>網路參與</w:t>
      </w:r>
      <w:r w:rsidR="00FF36EB" w:rsidRPr="0097180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」的利器，也</w:t>
      </w:r>
      <w:r w:rsidR="00E12342" w:rsidRPr="0097180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將</w:t>
      </w:r>
      <w:r w:rsidR="00FF36EB" w:rsidRPr="0097180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是</w:t>
      </w:r>
      <w:r w:rsidR="00E30113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加強與民眾溝通，</w:t>
      </w:r>
      <w:r w:rsidR="00CC1A45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打造</w:t>
      </w:r>
      <w:r w:rsidR="0032750A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透明、</w:t>
      </w:r>
      <w:r w:rsidR="0032750A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開放、新世代</w:t>
      </w:r>
      <w:r w:rsidR="006F6101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電子化</w:t>
      </w:r>
      <w:r w:rsidR="00CC1A45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</w:t>
      </w:r>
      <w:r w:rsidR="00FF36E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="0073087C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途徑</w:t>
      </w:r>
      <w:r w:rsidR="00FF36EB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</w:p>
    <w:p w:rsidR="00B17D05" w:rsidRPr="00971804" w:rsidRDefault="00B17D05" w:rsidP="00207D4D">
      <w:pPr>
        <w:spacing w:line="540" w:lineRule="exact"/>
        <w:ind w:firstLineChars="200" w:firstLine="64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會議</w:t>
      </w:r>
      <w:r w:rsidR="00B63D0E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首</w:t>
      </w:r>
      <w:r w:rsidR="00176AA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先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由臺南市政府</w:t>
      </w:r>
      <w:r w:rsidR="00876688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以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「推動開放政府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-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資料開放讓公民參與」</w:t>
      </w:r>
      <w:r w:rsidR="00876688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為題，分享政府機關實際推動開放資料經驗</w:t>
      </w:r>
      <w:r w:rsidR="005808C1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  <w:r w:rsidR="0043068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市</w:t>
      </w:r>
      <w:r w:rsidR="00942EF0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府以「整體規劃亮點服務先行」為推動策略，並就整體規劃方向、</w:t>
      </w:r>
      <w:r w:rsidR="00942EF0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lastRenderedPageBreak/>
        <w:t>內部整合機制、如何協調各業務單位開放資料，以及如何挑選亮點服務等詳加說明，提供確切可行的推動模式，可說是政府機關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因</w:t>
      </w:r>
      <w:r w:rsidR="00942EF0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</w:t>
      </w:r>
      <w:r w:rsidR="001C3782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開放資料，</w:t>
      </w:r>
      <w:r w:rsidR="00521315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轉化</w:t>
      </w:r>
      <w:r w:rsidR="001C3782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成開放政府，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進一步</w:t>
      </w:r>
      <w:r w:rsidR="001C3782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讓民眾共同參與公共事務</w:t>
      </w:r>
      <w:r w:rsidR="00942EF0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的標竿範例。</w:t>
      </w:r>
    </w:p>
    <w:p w:rsidR="00B17D05" w:rsidRPr="00971804" w:rsidRDefault="00566A76" w:rsidP="00207D4D">
      <w:pPr>
        <w:spacing w:line="54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國發會</w:t>
      </w:r>
      <w:r w:rsidR="0026686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亦邀請</w:t>
      </w:r>
      <w:r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政治大學公共行政學系蕭乃沂副教授</w:t>
      </w:r>
      <w:r w:rsidR="00266867" w:rsidRPr="0097180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主講</w:t>
      </w:r>
      <w:r w:rsidR="00266867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「運用巨量資料精進公共服務與政策分析」，</w:t>
      </w:r>
      <w:r w:rsidR="003D0EAD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介紹</w:t>
      </w:r>
      <w:r w:rsidR="00E12342" w:rsidRPr="00971804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大數據</w:t>
      </w:r>
      <w:r w:rsidR="003D0EAD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的內涵及應用，主要目的是要讓各縣市資訊主管瞭解，外在資訊科技日新月異，政府資訊機關/單位</w:t>
      </w:r>
      <w:r w:rsidR="00822115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應如何</w:t>
      </w:r>
      <w:r w:rsidR="00BD2668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因應</w:t>
      </w:r>
      <w:r w:rsidR="00822115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，才能</w:t>
      </w:r>
      <w:r w:rsidR="009068E2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趕上時代潮流，並</w:t>
      </w:r>
      <w:r w:rsidR="00822115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將科技新知轉化為新的動能，</w:t>
      </w:r>
      <w:r w:rsidR="009068E2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有效利用</w:t>
      </w:r>
      <w:r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政府巨量資料</w:t>
      </w:r>
      <w:r w:rsidR="009068E2"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作為政策分析及擬定，以</w:t>
      </w:r>
      <w:r w:rsidRPr="00971804">
        <w:rPr>
          <w:rFonts w:ascii="標楷體" w:eastAsia="標楷體" w:hAnsi="標楷體" w:hint="eastAsia"/>
          <w:color w:val="000000" w:themeColor="text1"/>
          <w:sz w:val="32"/>
          <w:szCs w:val="32"/>
        </w:rPr>
        <w:t>精進公共服務推動，提升民眾福址。</w:t>
      </w:r>
    </w:p>
    <w:p w:rsidR="00B63D0E" w:rsidRPr="00FF4779" w:rsidRDefault="00B63D0E" w:rsidP="00FF4779">
      <w:pPr>
        <w:spacing w:line="540" w:lineRule="exact"/>
        <w:ind w:firstLineChars="200" w:firstLine="640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群眾智慧協力部分，國發會於會議中說明「公共政策網路參與平</w:t>
      </w:r>
      <w:r w:rsidR="00EF1DC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臺</w:t>
      </w: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」</w:t>
      </w:r>
      <w:r w:rsidRPr="00FF4779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(</w:t>
      </w: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網址</w:t>
      </w:r>
      <w:hyperlink r:id="rId10" w:history="1">
        <w:r w:rsidRPr="00FF4779">
          <w:rPr>
            <w:rFonts w:ascii="Times New Roman" w:hAnsi="Times New Roman"/>
            <w:color w:val="000000" w:themeColor="text1"/>
            <w:kern w:val="0"/>
            <w:sz w:val="32"/>
            <w:szCs w:val="32"/>
          </w:rPr>
          <w:t>http://join.gov.tw</w:t>
        </w:r>
      </w:hyperlink>
      <w:r w:rsidRPr="00FF4779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)</w:t>
      </w: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建置及推動情形。</w:t>
      </w:r>
      <w:r w:rsidR="0019115D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本</w:t>
      </w: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平</w:t>
      </w:r>
      <w:r w:rsidR="00EF1DC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臺</w:t>
      </w: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為全民參與公共事務的常設管道，目的在實踐開放政府的理念，以利政府在政策研擬、執行及評估階段，就先廣納社會多元聲音</w:t>
      </w:r>
      <w:r w:rsidR="00FB6C6C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，徵集群眾智慧，協力擴大施政量能</w:t>
      </w:r>
      <w:r w:rsidR="0019115D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。民眾也可透過本平</w:t>
      </w:r>
      <w:r w:rsidR="00EF1DC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臺</w:t>
      </w:r>
      <w:r w:rsidR="0019115D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，主動發起公共政策議題</w:t>
      </w:r>
      <w:r w:rsidR="00FB6C6C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，透過討論、附議過程形成共識，</w:t>
      </w:r>
      <w:r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強化政策溝通及政策公開透明，讓政策制定更為精準，以提升政府治理效能。</w:t>
      </w:r>
    </w:p>
    <w:p w:rsidR="00540CB9" w:rsidRPr="00540CB9" w:rsidRDefault="00EF1DC1" w:rsidP="002E0E9E">
      <w:pPr>
        <w:spacing w:line="540" w:lineRule="exact"/>
        <w:ind w:firstLineChars="200" w:firstLine="640"/>
        <w:rPr>
          <w:rFonts w:eastAsia="標楷體"/>
          <w:color w:val="000000"/>
          <w:kern w:val="0"/>
          <w:sz w:val="32"/>
          <w:szCs w:val="32"/>
        </w:rPr>
      </w:pPr>
      <w:r w:rsidRPr="007F7D9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國發會定期召開資訊主管聯席會</w:t>
      </w:r>
      <w:r w:rsidRPr="007F7D9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-</w:t>
      </w:r>
      <w:r w:rsidRPr="007F7D9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地方分組會議，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以期</w:t>
      </w:r>
      <w:r w:rsidR="00B63D0E" w:rsidRPr="00FF477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透過地方與中央政府的互動交流，整合地方電子化政府的推動策略，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建立中央與地方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合作模式，進而帶動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地方資訊建設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及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社會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發展</w:t>
      </w:r>
      <w:r w:rsidRPr="00A42BB7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共同打造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能引起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民眾</w:t>
      </w:r>
      <w:r w:rsidR="00B314F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共鳴</w:t>
      </w:r>
      <w:r w:rsidRPr="00A42BB7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的電子化政府服務。</w:t>
      </w:r>
    </w:p>
    <w:sectPr w:rsidR="00540CB9" w:rsidRPr="00540CB9" w:rsidSect="002E0E9E">
      <w:footerReference w:type="defaul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5C" w:rsidRDefault="00B2685C" w:rsidP="00AD17CF">
      <w:r>
        <w:separator/>
      </w:r>
    </w:p>
  </w:endnote>
  <w:endnote w:type="continuationSeparator" w:id="0">
    <w:p w:rsidR="00B2685C" w:rsidRDefault="00B2685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99259"/>
      <w:docPartObj>
        <w:docPartGallery w:val="Page Numbers (Bottom of Page)"/>
        <w:docPartUnique/>
      </w:docPartObj>
    </w:sdtPr>
    <w:sdtContent>
      <w:p w:rsidR="00F567DC" w:rsidRDefault="00F567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F6" w:rsidRPr="00E634F6">
          <w:rPr>
            <w:noProof/>
            <w:lang w:val="zh-TW"/>
          </w:rPr>
          <w:t>2</w:t>
        </w:r>
        <w:r>
          <w:fldChar w:fldCharType="end"/>
        </w:r>
      </w:p>
    </w:sdtContent>
  </w:sdt>
  <w:p w:rsidR="005D186A" w:rsidRDefault="005D1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5C" w:rsidRDefault="00B2685C" w:rsidP="00AD17CF">
      <w:r>
        <w:separator/>
      </w:r>
    </w:p>
  </w:footnote>
  <w:footnote w:type="continuationSeparator" w:id="0">
    <w:p w:rsidR="00B2685C" w:rsidRDefault="00B2685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691"/>
    <w:multiLevelType w:val="hybridMultilevel"/>
    <w:tmpl w:val="7F5673B2"/>
    <w:lvl w:ilvl="0" w:tplc="9F3E904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55DB2"/>
    <w:multiLevelType w:val="hybridMultilevel"/>
    <w:tmpl w:val="D6AC0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590432"/>
    <w:multiLevelType w:val="hybridMultilevel"/>
    <w:tmpl w:val="15525738"/>
    <w:lvl w:ilvl="0" w:tplc="73B8D49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7104057A"/>
    <w:multiLevelType w:val="hybridMultilevel"/>
    <w:tmpl w:val="355C6706"/>
    <w:lvl w:ilvl="0" w:tplc="54D4E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4071A"/>
    <w:rsid w:val="000414E4"/>
    <w:rsid w:val="00051BD4"/>
    <w:rsid w:val="00076264"/>
    <w:rsid w:val="000B017B"/>
    <w:rsid w:val="000F26BB"/>
    <w:rsid w:val="00106AA5"/>
    <w:rsid w:val="00133E1E"/>
    <w:rsid w:val="001465B6"/>
    <w:rsid w:val="001469C4"/>
    <w:rsid w:val="00167CF8"/>
    <w:rsid w:val="00176AA7"/>
    <w:rsid w:val="0019115D"/>
    <w:rsid w:val="001C3782"/>
    <w:rsid w:val="001F7F76"/>
    <w:rsid w:val="002011BC"/>
    <w:rsid w:val="00207D4D"/>
    <w:rsid w:val="002135F6"/>
    <w:rsid w:val="00266867"/>
    <w:rsid w:val="00294E37"/>
    <w:rsid w:val="00296343"/>
    <w:rsid w:val="002A276C"/>
    <w:rsid w:val="002B2DA9"/>
    <w:rsid w:val="002D437D"/>
    <w:rsid w:val="002E0E9E"/>
    <w:rsid w:val="002E3B3B"/>
    <w:rsid w:val="00310245"/>
    <w:rsid w:val="0032750A"/>
    <w:rsid w:val="00377FCE"/>
    <w:rsid w:val="003805D9"/>
    <w:rsid w:val="003B1E3A"/>
    <w:rsid w:val="003C5EAF"/>
    <w:rsid w:val="003D0EAD"/>
    <w:rsid w:val="003D696B"/>
    <w:rsid w:val="003D70D7"/>
    <w:rsid w:val="003E5169"/>
    <w:rsid w:val="003F3254"/>
    <w:rsid w:val="00401BFD"/>
    <w:rsid w:val="00430682"/>
    <w:rsid w:val="004509E6"/>
    <w:rsid w:val="004547B8"/>
    <w:rsid w:val="004612F4"/>
    <w:rsid w:val="0049445E"/>
    <w:rsid w:val="004B60DF"/>
    <w:rsid w:val="004D03DE"/>
    <w:rsid w:val="004D5FAA"/>
    <w:rsid w:val="004F1560"/>
    <w:rsid w:val="004F1CD5"/>
    <w:rsid w:val="00500086"/>
    <w:rsid w:val="00521315"/>
    <w:rsid w:val="00540CB9"/>
    <w:rsid w:val="00566A76"/>
    <w:rsid w:val="005808C1"/>
    <w:rsid w:val="005C6813"/>
    <w:rsid w:val="005D186A"/>
    <w:rsid w:val="006032F1"/>
    <w:rsid w:val="006127F4"/>
    <w:rsid w:val="006229AA"/>
    <w:rsid w:val="0062612B"/>
    <w:rsid w:val="00657A28"/>
    <w:rsid w:val="00660713"/>
    <w:rsid w:val="006A3A56"/>
    <w:rsid w:val="006E4851"/>
    <w:rsid w:val="006F6101"/>
    <w:rsid w:val="006F7B7F"/>
    <w:rsid w:val="00721A7C"/>
    <w:rsid w:val="0073087C"/>
    <w:rsid w:val="00731806"/>
    <w:rsid w:val="00740FC1"/>
    <w:rsid w:val="00751E1F"/>
    <w:rsid w:val="00752D94"/>
    <w:rsid w:val="008061E1"/>
    <w:rsid w:val="00815AAF"/>
    <w:rsid w:val="008213F2"/>
    <w:rsid w:val="00822115"/>
    <w:rsid w:val="00826C9D"/>
    <w:rsid w:val="008319A3"/>
    <w:rsid w:val="00844A14"/>
    <w:rsid w:val="00865949"/>
    <w:rsid w:val="00876688"/>
    <w:rsid w:val="008B2E96"/>
    <w:rsid w:val="009068E2"/>
    <w:rsid w:val="0091584F"/>
    <w:rsid w:val="00923655"/>
    <w:rsid w:val="00924557"/>
    <w:rsid w:val="0092523F"/>
    <w:rsid w:val="009253E3"/>
    <w:rsid w:val="009319BE"/>
    <w:rsid w:val="00942EF0"/>
    <w:rsid w:val="00954A13"/>
    <w:rsid w:val="00971804"/>
    <w:rsid w:val="00975F8A"/>
    <w:rsid w:val="00980D6C"/>
    <w:rsid w:val="009E1D36"/>
    <w:rsid w:val="00A10A60"/>
    <w:rsid w:val="00A26638"/>
    <w:rsid w:val="00A5186F"/>
    <w:rsid w:val="00A8724D"/>
    <w:rsid w:val="00AD17CF"/>
    <w:rsid w:val="00AD2D6C"/>
    <w:rsid w:val="00AF5B98"/>
    <w:rsid w:val="00AF6559"/>
    <w:rsid w:val="00B13BEC"/>
    <w:rsid w:val="00B17D05"/>
    <w:rsid w:val="00B2685C"/>
    <w:rsid w:val="00B314F2"/>
    <w:rsid w:val="00B32588"/>
    <w:rsid w:val="00B50ED6"/>
    <w:rsid w:val="00B63D0E"/>
    <w:rsid w:val="00B67D30"/>
    <w:rsid w:val="00B849E9"/>
    <w:rsid w:val="00B95841"/>
    <w:rsid w:val="00BD2668"/>
    <w:rsid w:val="00BD6B8C"/>
    <w:rsid w:val="00C21321"/>
    <w:rsid w:val="00C357F3"/>
    <w:rsid w:val="00C410FC"/>
    <w:rsid w:val="00C47710"/>
    <w:rsid w:val="00C64F27"/>
    <w:rsid w:val="00CA1C8F"/>
    <w:rsid w:val="00CB4519"/>
    <w:rsid w:val="00CC1A45"/>
    <w:rsid w:val="00CC3FFD"/>
    <w:rsid w:val="00CF037C"/>
    <w:rsid w:val="00D33D94"/>
    <w:rsid w:val="00D3711E"/>
    <w:rsid w:val="00D42625"/>
    <w:rsid w:val="00D4474C"/>
    <w:rsid w:val="00DB4959"/>
    <w:rsid w:val="00DF0015"/>
    <w:rsid w:val="00E12342"/>
    <w:rsid w:val="00E30113"/>
    <w:rsid w:val="00E31F40"/>
    <w:rsid w:val="00E5550B"/>
    <w:rsid w:val="00E60EA5"/>
    <w:rsid w:val="00E634F6"/>
    <w:rsid w:val="00EA16CB"/>
    <w:rsid w:val="00EE7F4E"/>
    <w:rsid w:val="00EF1DC1"/>
    <w:rsid w:val="00EF598A"/>
    <w:rsid w:val="00EF7690"/>
    <w:rsid w:val="00F268ED"/>
    <w:rsid w:val="00F34FF3"/>
    <w:rsid w:val="00F567DC"/>
    <w:rsid w:val="00F63F7E"/>
    <w:rsid w:val="00F81ADB"/>
    <w:rsid w:val="00F9762C"/>
    <w:rsid w:val="00FA1A49"/>
    <w:rsid w:val="00FB6C6C"/>
    <w:rsid w:val="00FF36EB"/>
    <w:rsid w:val="00FF477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980D6C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nhideWhenUsed/>
    <w:rsid w:val="00942EF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rsid w:val="00540CB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540CB9"/>
    <w:pPr>
      <w:suppressAutoHyphens/>
      <w:autoSpaceDE w:val="0"/>
      <w:autoSpaceDN w:val="0"/>
      <w:spacing w:line="360" w:lineRule="auto"/>
      <w:textAlignment w:val="baseline"/>
    </w:pPr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ae">
    <w:name w:val="本文 字元"/>
    <w:basedOn w:val="a0"/>
    <w:link w:val="ad"/>
    <w:rsid w:val="00540CB9"/>
    <w:rPr>
      <w:rFonts w:ascii="Times New Roman" w:eastAsia="新細明體" w:hAnsi="Times New Roman" w:cs="Times New Roman"/>
      <w:kern w:val="3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980D6C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nhideWhenUsed/>
    <w:rsid w:val="00942EF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rsid w:val="00540CB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540CB9"/>
    <w:pPr>
      <w:suppressAutoHyphens/>
      <w:autoSpaceDE w:val="0"/>
      <w:autoSpaceDN w:val="0"/>
      <w:spacing w:line="360" w:lineRule="auto"/>
      <w:textAlignment w:val="baseline"/>
    </w:pPr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ae">
    <w:name w:val="本文 字元"/>
    <w:basedOn w:val="a0"/>
    <w:link w:val="ad"/>
    <w:rsid w:val="00540CB9"/>
    <w:rPr>
      <w:rFonts w:ascii="Times New Roman" w:eastAsia="新細明體" w:hAnsi="Times New Roman" w:cs="Times New Roman"/>
      <w:kern w:val="3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join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F498-8234-4316-9B1F-B31E94F2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2014-05-14T09:45:00Z</cp:lastPrinted>
  <dcterms:created xsi:type="dcterms:W3CDTF">2015-05-12T23:33:00Z</dcterms:created>
  <dcterms:modified xsi:type="dcterms:W3CDTF">2015-05-12T23:33:00Z</dcterms:modified>
</cp:coreProperties>
</file>