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0" w:rsidRPr="00CB01AD" w:rsidRDefault="00DC2CDC" w:rsidP="00DC2CDC">
      <w:pPr>
        <w:widowControl/>
        <w:overflowPunct w:val="0"/>
        <w:spacing w:beforeLines="100" w:before="360" w:line="500" w:lineRule="exact"/>
        <w:jc w:val="center"/>
        <w:textAlignment w:val="top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-234950</wp:posOffset>
            </wp:positionV>
            <wp:extent cx="1132840" cy="226060"/>
            <wp:effectExtent l="0" t="0" r="0" b="254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00">
        <w:rPr>
          <w:rFonts w:ascii="Times New Roman" w:eastAsia="標楷體" w:hAnsi="Times New Roman"/>
          <w:b/>
          <w:color w:val="000000"/>
          <w:sz w:val="36"/>
          <w:szCs w:val="36"/>
        </w:rPr>
        <w:t>2014</w:t>
      </w:r>
      <w:r w:rsidR="009F0300">
        <w:rPr>
          <w:rFonts w:ascii="Times New Roman" w:eastAsia="標楷體" w:hAnsi="Times New Roman" w:hint="eastAsia"/>
          <w:b/>
          <w:color w:val="000000"/>
          <w:sz w:val="36"/>
          <w:szCs w:val="36"/>
        </w:rPr>
        <w:t>年</w:t>
      </w:r>
      <w:r w:rsidR="00DE4A7B">
        <w:rPr>
          <w:rFonts w:ascii="Times New Roman" w:eastAsia="標楷體" w:hAnsi="Times New Roman" w:hint="eastAsia"/>
          <w:b/>
          <w:color w:val="000000"/>
          <w:sz w:val="36"/>
          <w:szCs w:val="36"/>
        </w:rPr>
        <w:t>我國</w:t>
      </w:r>
      <w:r w:rsidR="009F0300">
        <w:rPr>
          <w:rFonts w:ascii="Times New Roman" w:eastAsia="標楷體" w:hAnsi="Times New Roman" w:hint="eastAsia"/>
          <w:b/>
          <w:color w:val="000000"/>
          <w:sz w:val="36"/>
          <w:szCs w:val="36"/>
        </w:rPr>
        <w:t>經濟成長率重回</w:t>
      </w:r>
      <w:r w:rsidR="009F0300" w:rsidRPr="00CB01AD">
        <w:rPr>
          <w:rFonts w:ascii="Times New Roman" w:eastAsia="標楷體" w:hAnsi="Times New Roman" w:hint="eastAsia"/>
          <w:b/>
          <w:color w:val="000000"/>
          <w:sz w:val="36"/>
          <w:szCs w:val="36"/>
        </w:rPr>
        <w:t>亞洲四小龍</w:t>
      </w:r>
      <w:r w:rsidR="009F0300">
        <w:rPr>
          <w:rFonts w:ascii="Times New Roman" w:eastAsia="標楷體" w:hAnsi="Times New Roman" w:hint="eastAsia"/>
          <w:b/>
          <w:color w:val="000000"/>
          <w:sz w:val="36"/>
          <w:szCs w:val="36"/>
        </w:rPr>
        <w:t>之首</w:t>
      </w:r>
    </w:p>
    <w:p w:rsidR="009F0300" w:rsidRDefault="009F0300" w:rsidP="00861FFA">
      <w:pPr>
        <w:widowControl/>
        <w:overflowPunct w:val="0"/>
        <w:snapToGrid w:val="0"/>
        <w:spacing w:beforeLines="50" w:before="180" w:line="440" w:lineRule="exact"/>
        <w:ind w:leftChars="2598" w:left="6235"/>
        <w:jc w:val="distribute"/>
        <w:textAlignment w:val="top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國家發展委員會</w:t>
      </w:r>
    </w:p>
    <w:p w:rsidR="009F0300" w:rsidRDefault="009F0300" w:rsidP="00861FFA">
      <w:pPr>
        <w:widowControl/>
        <w:overflowPunct w:val="0"/>
        <w:snapToGrid w:val="0"/>
        <w:spacing w:line="360" w:lineRule="exact"/>
        <w:ind w:leftChars="2598" w:left="6235"/>
        <w:jc w:val="distribute"/>
        <w:textAlignment w:val="top"/>
        <w:rPr>
          <w:rFonts w:ascii="Times New Roman" w:eastAsia="標楷體" w:hAnsi="Times New Roman"/>
          <w:bCs/>
          <w:color w:val="000000"/>
          <w:sz w:val="28"/>
          <w:szCs w:val="28"/>
        </w:rPr>
      </w:pPr>
      <w:smartTag w:uri="urn:schemas-microsoft-com:office:smarttags" w:element="chsdate">
        <w:smartTagPr>
          <w:attr w:name="Year" w:val="2015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bCs/>
            <w:color w:val="000000"/>
            <w:sz w:val="28"/>
            <w:szCs w:val="28"/>
          </w:rPr>
          <w:t>2015</w:t>
        </w:r>
        <w:r w:rsidRPr="00CB01AD">
          <w:rPr>
            <w:rFonts w:ascii="Times New Roman" w:eastAsia="標楷體" w:hAnsi="Times New Roman" w:hint="eastAsia"/>
            <w:bCs/>
            <w:color w:val="000000"/>
            <w:sz w:val="28"/>
            <w:szCs w:val="28"/>
          </w:rPr>
          <w:t>年</w:t>
        </w:r>
        <w:r w:rsidRPr="00CB01AD">
          <w:rPr>
            <w:rFonts w:ascii="Times New Roman" w:eastAsia="標楷體" w:hAnsi="Times New Roman"/>
            <w:bCs/>
            <w:color w:val="000000"/>
            <w:sz w:val="28"/>
            <w:szCs w:val="28"/>
          </w:rPr>
          <w:t>3</w:t>
        </w:r>
        <w:r w:rsidRPr="00CB01AD">
          <w:rPr>
            <w:rFonts w:ascii="Times New Roman" w:eastAsia="標楷體" w:hAnsi="Times New Roman" w:hint="eastAsia"/>
            <w:bCs/>
            <w:color w:val="000000"/>
            <w:sz w:val="28"/>
            <w:szCs w:val="28"/>
          </w:rPr>
          <w:t>月</w:t>
        </w:r>
        <w:r>
          <w:rPr>
            <w:rFonts w:ascii="Times New Roman" w:eastAsia="標楷體" w:hAnsi="Times New Roman"/>
            <w:bCs/>
            <w:color w:val="000000"/>
            <w:sz w:val="28"/>
            <w:szCs w:val="28"/>
          </w:rPr>
          <w:t>23</w:t>
        </w:r>
        <w:r w:rsidRPr="00CB01AD">
          <w:rPr>
            <w:rFonts w:ascii="Times New Roman" w:eastAsia="標楷體" w:hAnsi="Times New Roman" w:hint="eastAsia"/>
            <w:bCs/>
            <w:color w:val="000000"/>
            <w:sz w:val="28"/>
            <w:szCs w:val="28"/>
          </w:rPr>
          <w:t>日</w:t>
        </w:r>
      </w:smartTag>
    </w:p>
    <w:p w:rsidR="00A013C8" w:rsidRPr="00861FFA" w:rsidRDefault="00A013C8" w:rsidP="00861FFA">
      <w:pPr>
        <w:widowControl/>
        <w:overflowPunct w:val="0"/>
        <w:snapToGrid w:val="0"/>
        <w:spacing w:beforeLines="50" w:before="180" w:line="440" w:lineRule="exact"/>
        <w:ind w:firstLine="721"/>
        <w:jc w:val="center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 w:rsidRPr="00861FF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摘　　要</w:t>
      </w:r>
    </w:p>
    <w:p w:rsidR="009F0300" w:rsidRDefault="00DE4A7B" w:rsidP="00861FFA">
      <w:pPr>
        <w:widowControl/>
        <w:overflowPunct w:val="0"/>
        <w:snapToGrid w:val="0"/>
        <w:spacing w:beforeLines="50" w:before="180" w:line="440" w:lineRule="exact"/>
        <w:ind w:firstLineChars="200" w:firstLine="64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與</w:t>
      </w:r>
      <w:r w:rsidR="009F0300" w:rsidRPr="00CB01AD">
        <w:rPr>
          <w:rFonts w:ascii="Times New Roman" w:eastAsia="標楷體" w:hAnsi="Times New Roman" w:hint="eastAsia"/>
          <w:bCs/>
          <w:kern w:val="0"/>
          <w:sz w:val="32"/>
          <w:szCs w:val="32"/>
        </w:rPr>
        <w:t>韓國、新加坡、香港</w:t>
      </w:r>
      <w:r w:rsidR="009F0300">
        <w:rPr>
          <w:rFonts w:ascii="Times New Roman" w:eastAsia="標楷體" w:hAnsi="Times New Roman" w:hint="eastAsia"/>
          <w:bCs/>
          <w:kern w:val="0"/>
          <w:sz w:val="32"/>
          <w:szCs w:val="32"/>
        </w:rPr>
        <w:t>並稱</w:t>
      </w:r>
      <w:r w:rsidR="009F0300" w:rsidRPr="00CB01AD">
        <w:rPr>
          <w:rFonts w:ascii="Times New Roman" w:eastAsia="標楷體" w:hAnsi="Times New Roman" w:hint="eastAsia"/>
          <w:bCs/>
          <w:kern w:val="0"/>
          <w:sz w:val="32"/>
          <w:szCs w:val="32"/>
        </w:rPr>
        <w:t>亞洲四小龍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，在經濟表現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上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各擅勝場，值得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相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互借鏡，在競爭中追求進步。綜觀</w:t>
      </w:r>
      <w:r w:rsidR="009F0300" w:rsidRPr="00CB01AD">
        <w:rPr>
          <w:rFonts w:ascii="Times New Roman" w:eastAsia="標楷體" w:hAnsi="Times New Roman"/>
          <w:bCs/>
          <w:kern w:val="0"/>
          <w:sz w:val="32"/>
          <w:szCs w:val="32"/>
        </w:rPr>
        <w:t>2000</w:t>
      </w:r>
      <w:r w:rsidR="009F0300" w:rsidRPr="00CB01AD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9F0300">
        <w:rPr>
          <w:rFonts w:ascii="Times New Roman" w:eastAsia="標楷體" w:hAnsi="Times New Roman" w:hint="eastAsia"/>
          <w:bCs/>
          <w:kern w:val="0"/>
          <w:sz w:val="32"/>
          <w:szCs w:val="32"/>
        </w:rPr>
        <w:t>以來各項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經濟指標，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與</w:t>
      </w:r>
      <w:r w:rsidR="009F0300" w:rsidRPr="00CB01AD">
        <w:rPr>
          <w:rFonts w:ascii="Times New Roman" w:eastAsia="標楷體" w:hAnsi="Times New Roman" w:hint="eastAsia"/>
          <w:bCs/>
          <w:kern w:val="0"/>
          <w:sz w:val="32"/>
          <w:szCs w:val="32"/>
        </w:rPr>
        <w:t>韓國、新加坡與香港</w:t>
      </w:r>
      <w:r w:rsidR="009F0300">
        <w:rPr>
          <w:rFonts w:ascii="Times New Roman" w:eastAsia="標楷體" w:hAnsi="Times New Roman" w:hint="eastAsia"/>
          <w:bCs/>
          <w:kern w:val="0"/>
          <w:sz w:val="32"/>
          <w:szCs w:val="32"/>
        </w:rPr>
        <w:t>比較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並不遜色。</w:t>
      </w:r>
    </w:p>
    <w:p w:rsidR="00222A92" w:rsidRDefault="00EC31AB" w:rsidP="00861FFA">
      <w:pPr>
        <w:widowControl/>
        <w:overflowPunct w:val="0"/>
        <w:snapToGrid w:val="0"/>
        <w:spacing w:beforeLines="20" w:before="72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15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年來，</w:t>
      </w:r>
      <w:r w:rsidR="00DE4A7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國經濟成長率</w:t>
      </w:r>
      <w:r w:rsidR="00003A5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或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為四小龍之</w:t>
      </w:r>
      <w:r w:rsidR="00DE4A7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末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2007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年平均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）或第三名（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2008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年平均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），但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年在暌違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16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年後，重回四小龍之首。</w:t>
      </w:r>
    </w:p>
    <w:p w:rsidR="00222A92" w:rsidRDefault="00EC31AB" w:rsidP="00861FFA">
      <w:pPr>
        <w:widowControl/>
        <w:overflowPunct w:val="0"/>
        <w:snapToGrid w:val="0"/>
        <w:spacing w:beforeLines="20" w:before="72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在物價方面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，我國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為四小龍第二低（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2007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年平均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）或最低（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2008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年平均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</w:t>
      </w:r>
      <w:r w:rsidR="00222A92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則回到第二低。</w:t>
      </w:r>
    </w:p>
    <w:p w:rsidR="00222A92" w:rsidRDefault="00EC31AB" w:rsidP="00861FFA">
      <w:pPr>
        <w:widowControl/>
        <w:overflowPunct w:val="0"/>
        <w:snapToGrid w:val="0"/>
        <w:spacing w:beforeLines="20" w:before="72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如以</w:t>
      </w:r>
      <w:proofErr w:type="gramEnd"/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實質購買力計算</w:t>
      </w:r>
      <w:r w:rsidR="00003A5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1F1F22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每人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國內生產毛額，</w:t>
      </w:r>
      <w:r w:rsidR="00222A92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2014</w:t>
      </w:r>
      <w:r w:rsidR="00222A92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年我國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四小龍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第三名，優於韓國，而輸給新加坡與香港。</w:t>
      </w:r>
      <w:r w:rsidR="00222A92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值得一提的是，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43,600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美元）除高於韓國（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35,485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美元）外，亦超過日本，英國、法國、義大利等九個經濟合作發展組織（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OECD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）的國家。</w:t>
      </w:r>
    </w:p>
    <w:p w:rsidR="00222A92" w:rsidRDefault="00EC31AB" w:rsidP="00861FFA">
      <w:pPr>
        <w:widowControl/>
        <w:overflowPunct w:val="0"/>
        <w:snapToGrid w:val="0"/>
        <w:spacing w:beforeLines="20" w:before="72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在所得分配方面，我國無論家戶或個人所得分配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情況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proofErr w:type="gramStart"/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均較其他</w:t>
      </w:r>
      <w:proofErr w:type="gramEnd"/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三小龍為佳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，且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2013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年我國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每戶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及每人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五</w:t>
      </w:r>
      <w:r w:rsidR="008148A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分位所得分配差距倍數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分別</w:t>
      </w:r>
      <w:r w:rsidR="00E042C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4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年及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14</w:t>
      </w:r>
      <w:r w:rsidR="0011700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年以來新低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A013C8" w:rsidRDefault="00EC31AB" w:rsidP="00861FFA">
      <w:pPr>
        <w:widowControl/>
        <w:overflowPunct w:val="0"/>
        <w:snapToGrid w:val="0"/>
        <w:spacing w:beforeLines="20" w:before="72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="009F0300"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2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014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平均失業率雖高於韓國、新加坡，但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非典型就業人口比重明顯為低，</w:t>
      </w:r>
      <w:r w:rsidR="009F0300"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顯示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我就業品質相對較佳。同時，</w:t>
      </w:r>
      <w:r w:rsidR="009F0300"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失業率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4.0</w:t>
      </w:r>
      <w:r w:rsidR="009F0300"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%</w:t>
      </w:r>
      <w:r w:rsidR="009F0300"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較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2009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年失業率高點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5.9%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，降幅達</w:t>
      </w:r>
      <w:r w:rsidR="009F0300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1.9</w:t>
      </w:r>
      <w:r w:rsidR="009F030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個百分點，優於韓國及新加坡。</w:t>
      </w:r>
    </w:p>
    <w:p w:rsidR="00EC31AB" w:rsidRDefault="00EC31AB" w:rsidP="00861FFA">
      <w:pPr>
        <w:widowControl/>
        <w:overflowPunct w:val="0"/>
        <w:adjustRightInd w:val="0"/>
        <w:snapToGrid w:val="0"/>
        <w:spacing w:beforeLines="20" w:before="72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平均實質薪資增幅雖不如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韓國、新加坡，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惟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就業市場轉趨活絡，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實質薪資增幅為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2.4%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高於新加坡、韓國及香港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6A22B4" w:rsidRPr="006A22B4" w:rsidRDefault="006A22B4" w:rsidP="006A22B4">
      <w:pPr>
        <w:widowControl/>
        <w:overflowPunct w:val="0"/>
        <w:snapToGrid w:val="0"/>
        <w:spacing w:beforeLines="50" w:before="180" w:line="440" w:lineRule="exact"/>
        <w:ind w:firstLine="721"/>
        <w:jc w:val="center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lastRenderedPageBreak/>
        <w:t>本　　文</w:t>
      </w:r>
    </w:p>
    <w:p w:rsidR="009F0300" w:rsidRPr="00CB01AD" w:rsidRDefault="009F0300" w:rsidP="00DC2CDC">
      <w:pPr>
        <w:widowControl/>
        <w:overflowPunct w:val="0"/>
        <w:snapToGrid w:val="0"/>
        <w:spacing w:beforeLines="50" w:before="180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1.</w:t>
      </w:r>
      <w:r w:rsidR="00363521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經濟成長率</w:t>
      </w:r>
      <w:r w:rsidRPr="0058040A">
        <w:rPr>
          <w:rFonts w:ascii="Times New Roman" w:eastAsia="標楷體" w:hAnsi="Times New Roman"/>
          <w:b/>
          <w:bCs/>
          <w:color w:val="000000"/>
          <w:kern w:val="0"/>
          <w:position w:val="2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居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四小龍首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位</w:t>
      </w:r>
    </w:p>
    <w:p w:rsidR="009F0300" w:rsidRPr="00B97812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240" w:firstLineChars="200" w:firstLine="640"/>
        <w:jc w:val="both"/>
        <w:textAlignment w:val="top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2000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年以來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，網路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泡沫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化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(2001)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、美國金融海嘯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(2008)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與歐債危機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(2009)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相繼爆發，衝擊四小龍經濟表現。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2000</w:t>
      </w:r>
      <w:r w:rsidR="00CF2049">
        <w:rPr>
          <w:rFonts w:ascii="Times New Roman" w:eastAsia="標楷體" w:hAnsi="Times New Roman" w:hint="eastAsia"/>
          <w:bCs/>
          <w:kern w:val="0"/>
          <w:sz w:val="32"/>
          <w:szCs w:val="32"/>
        </w:rPr>
        <w:t>至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2014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年間，</w:t>
      </w:r>
      <w:r w:rsidR="00363521">
        <w:rPr>
          <w:rFonts w:ascii="Times New Roman" w:eastAsia="標楷體" w:hAnsi="Times New Roman" w:hint="eastAsia"/>
          <w:bCs/>
          <w:kern w:val="0"/>
          <w:sz w:val="32"/>
          <w:szCs w:val="32"/>
        </w:rPr>
        <w:t>我國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平均經濟成長率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4.0%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，與香港相當，低於韓國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4.4%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、新加坡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5.6%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，排名第三。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惟近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3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年來</w:t>
      </w:r>
      <w:r w:rsidR="00363521">
        <w:rPr>
          <w:rFonts w:ascii="Times New Roman" w:eastAsia="標楷體" w:hAnsi="Times New Roman" w:hint="eastAsia"/>
          <w:bCs/>
          <w:kern w:val="0"/>
          <w:sz w:val="32"/>
          <w:szCs w:val="32"/>
        </w:rPr>
        <w:t>我國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經濟穩健復甦，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2014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年經濟成長率達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3.7%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，重回四小龍之首。</w:t>
      </w:r>
    </w:p>
    <w:p w:rsidR="009F0300" w:rsidRPr="00B97812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－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2000</w:t>
      </w:r>
      <w:r w:rsidR="0094178B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2007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年間，</w:t>
      </w:r>
      <w:r w:rsidR="00CF2049">
        <w:rPr>
          <w:rFonts w:ascii="Times New Roman" w:eastAsia="標楷體" w:hAnsi="Times New Roman" w:hint="eastAsia"/>
          <w:bCs/>
          <w:kern w:val="0"/>
          <w:sz w:val="32"/>
          <w:szCs w:val="32"/>
        </w:rPr>
        <w:t>我國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經濟成長率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4.8%</w:t>
      </w:r>
      <w:r w:rsidR="00003A51"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，居四小龍之末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，落後於韓國的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5.4%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、新加坡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6.4%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及香港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5.3%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9F0300" w:rsidRPr="00B97812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－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2008</w:t>
      </w:r>
      <w:r w:rsidR="003C4BC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2014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年間，</w:t>
      </w:r>
      <w:r w:rsidR="00363521">
        <w:rPr>
          <w:rFonts w:ascii="Times New Roman" w:eastAsia="標楷體" w:hAnsi="Times New Roman" w:hint="eastAsia"/>
          <w:bCs/>
          <w:kern w:val="0"/>
          <w:sz w:val="32"/>
          <w:szCs w:val="32"/>
        </w:rPr>
        <w:t>我國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平均經濟成長率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3.0%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排名第三，低於新加坡</w:t>
      </w:r>
      <w:r>
        <w:rPr>
          <w:rFonts w:ascii="Times New Roman" w:eastAsia="標楷體" w:hAnsi="Times New Roman"/>
          <w:bCs/>
          <w:kern w:val="0"/>
          <w:sz w:val="32"/>
          <w:szCs w:val="32"/>
        </w:rPr>
        <w:t>4.7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%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高於香港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2.6%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，略低於韓國</w:t>
      </w:r>
      <w:r w:rsidRPr="00B97812">
        <w:rPr>
          <w:rFonts w:ascii="Times New Roman" w:eastAsia="標楷體" w:hAnsi="Times New Roman"/>
          <w:bCs/>
          <w:kern w:val="0"/>
          <w:sz w:val="32"/>
          <w:szCs w:val="32"/>
        </w:rPr>
        <w:t>3.2%</w:t>
      </w:r>
      <w:r w:rsidRPr="00B97812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9F0300" w:rsidRPr="00CB01AD" w:rsidRDefault="009F0300" w:rsidP="00DC2CDC">
      <w:pPr>
        <w:pStyle w:val="a9"/>
        <w:overflowPunct w:val="0"/>
        <w:spacing w:beforeLines="100" w:before="360" w:line="360" w:lineRule="exact"/>
        <w:ind w:leftChars="0" w:left="482"/>
        <w:jc w:val="center"/>
        <w:rPr>
          <w:rFonts w:ascii="Times New Roman" w:eastAsia="標楷體" w:hAnsi="Times New Roman"/>
          <w:sz w:val="28"/>
        </w:rPr>
      </w:pPr>
      <w:r w:rsidRPr="00CB01AD">
        <w:rPr>
          <w:rFonts w:ascii="Times New Roman" w:eastAsia="標楷體" w:hAnsi="Times New Roman" w:hint="eastAsia"/>
          <w:sz w:val="28"/>
        </w:rPr>
        <w:t>表</w:t>
      </w:r>
      <w:r w:rsidRPr="00CB01AD">
        <w:rPr>
          <w:rFonts w:ascii="Times New Roman" w:eastAsia="標楷體" w:hAnsi="Times New Roman"/>
          <w:sz w:val="28"/>
        </w:rPr>
        <w:t xml:space="preserve">1 </w:t>
      </w:r>
      <w:r w:rsidRPr="00CB01AD">
        <w:rPr>
          <w:rFonts w:ascii="Times New Roman" w:eastAsia="標楷體" w:hAnsi="Times New Roman" w:hint="eastAsia"/>
          <w:sz w:val="28"/>
        </w:rPr>
        <w:t>亞洲四小龍經濟成長率</w:t>
      </w:r>
    </w:p>
    <w:p w:rsidR="009F0300" w:rsidRPr="00606FFA" w:rsidRDefault="009F0300" w:rsidP="00C93497">
      <w:pPr>
        <w:pStyle w:val="a9"/>
        <w:overflowPunct w:val="0"/>
        <w:spacing w:line="240" w:lineRule="exact"/>
        <w:ind w:leftChars="0" w:left="482"/>
        <w:jc w:val="right"/>
        <w:rPr>
          <w:rFonts w:ascii="Times New Roman" w:eastAsia="標楷體" w:hAnsi="Times New Roman"/>
          <w:color w:val="000000"/>
          <w:szCs w:val="24"/>
        </w:rPr>
      </w:pPr>
      <w:r w:rsidRPr="00606FFA">
        <w:rPr>
          <w:rFonts w:ascii="Times New Roman" w:eastAsia="標楷體" w:hAnsi="Times New Roman" w:hint="eastAsia"/>
          <w:color w:val="000000"/>
          <w:szCs w:val="24"/>
        </w:rPr>
        <w:t>單位：</w:t>
      </w:r>
      <w:r w:rsidRPr="00606FFA">
        <w:rPr>
          <w:rFonts w:ascii="Times New Roman" w:eastAsia="標楷體" w:hAnsi="Times New Roman"/>
          <w:color w:val="000000"/>
          <w:szCs w:val="24"/>
        </w:rPr>
        <w:t>%</w:t>
      </w:r>
    </w:p>
    <w:tbl>
      <w:tblPr>
        <w:tblW w:w="8582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8"/>
        <w:gridCol w:w="1696"/>
        <w:gridCol w:w="1696"/>
        <w:gridCol w:w="1696"/>
        <w:gridCol w:w="1696"/>
      </w:tblGrid>
      <w:tr w:rsidR="009F0300" w:rsidRPr="00B47D7B" w:rsidTr="00E13401">
        <w:trPr>
          <w:trHeight w:hRule="exact" w:val="454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606FFA" w:rsidRDefault="009F0300" w:rsidP="00C93497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93FB1" w:rsidP="00C93497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C93497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韓國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C93497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新加坡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606FFA" w:rsidRDefault="009F0300" w:rsidP="00C93497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香港</w:t>
            </w:r>
          </w:p>
        </w:tc>
      </w:tr>
      <w:tr w:rsidR="009F0300" w:rsidRPr="00B47D7B" w:rsidTr="00E13401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300" w:rsidRPr="0094761B" w:rsidRDefault="009F0300" w:rsidP="007C0835">
            <w:pPr>
              <w:widowControl/>
              <w:overflowPunct w:val="0"/>
              <w:ind w:firstLineChars="50" w:firstLine="14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2000-2014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4.4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5.6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4.0 </w:t>
            </w:r>
          </w:p>
        </w:tc>
      </w:tr>
      <w:tr w:rsidR="009F0300" w:rsidRPr="00B47D7B" w:rsidTr="00E13401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94761B" w:rsidRDefault="009F0300" w:rsidP="007C0835">
            <w:pPr>
              <w:widowControl/>
              <w:overflowPunct w:val="0"/>
              <w:ind w:leftChars="118" w:left="283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2000-2007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5.4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6.4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5.3</w:t>
            </w:r>
          </w:p>
        </w:tc>
      </w:tr>
      <w:tr w:rsidR="009F0300" w:rsidRPr="00B47D7B" w:rsidTr="00E13401">
        <w:tc>
          <w:tcPr>
            <w:tcW w:w="1798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9F0300" w:rsidRPr="0094761B" w:rsidRDefault="009F0300" w:rsidP="007C0835">
            <w:pPr>
              <w:widowControl/>
              <w:overflowPunct w:val="0"/>
              <w:ind w:leftChars="118" w:left="283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2008-2014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3.0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3.2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2.6</w:t>
            </w:r>
          </w:p>
        </w:tc>
      </w:tr>
      <w:tr w:rsidR="009F0300" w:rsidRPr="00B47D7B" w:rsidTr="00D615AB"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94761B" w:rsidRDefault="009F0300" w:rsidP="007C0835">
            <w:pPr>
              <w:widowControl/>
              <w:overflowPunct w:val="0"/>
              <w:ind w:leftChars="118" w:left="283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2014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3.7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3.3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2.9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94761B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9476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2.3</w:t>
            </w:r>
          </w:p>
        </w:tc>
      </w:tr>
    </w:tbl>
    <w:p w:rsidR="009F0300" w:rsidRPr="00606FFA" w:rsidRDefault="009F0300" w:rsidP="00C93497">
      <w:pPr>
        <w:overflowPunct w:val="0"/>
        <w:spacing w:line="300" w:lineRule="exact"/>
        <w:ind w:left="1071" w:hangingChars="510" w:hanging="1071"/>
        <w:rPr>
          <w:rFonts w:ascii="Times New Roman" w:eastAsia="標楷體" w:hAnsi="Times New Roman"/>
          <w:color w:val="000000"/>
          <w:sz w:val="21"/>
        </w:rPr>
      </w:pPr>
      <w:r w:rsidRPr="00606FFA">
        <w:rPr>
          <w:rFonts w:ascii="Times New Roman" w:eastAsia="標楷體" w:hAnsi="Times New Roman" w:hint="eastAsia"/>
          <w:color w:val="000000"/>
          <w:sz w:val="21"/>
        </w:rPr>
        <w:t>註：各期間平均成長率係依幾何平均計算。</w:t>
      </w:r>
    </w:p>
    <w:p w:rsidR="009F0300" w:rsidRDefault="009F0300" w:rsidP="005A2129">
      <w:pPr>
        <w:overflowPunct w:val="0"/>
        <w:spacing w:line="300" w:lineRule="exact"/>
        <w:ind w:left="1071" w:hangingChars="510" w:hanging="1071"/>
        <w:rPr>
          <w:rFonts w:ascii="Times New Roman" w:eastAsia="標楷體" w:hAnsi="Times New Roman"/>
          <w:color w:val="000000"/>
          <w:sz w:val="21"/>
        </w:rPr>
      </w:pPr>
      <w:r w:rsidRPr="00606FFA">
        <w:rPr>
          <w:rFonts w:ascii="Times New Roman" w:eastAsia="標楷體" w:hAnsi="Times New Roman" w:hint="eastAsia"/>
          <w:color w:val="000000"/>
          <w:sz w:val="21"/>
        </w:rPr>
        <w:t>資料來源：行政院主計總處</w:t>
      </w:r>
      <w:r>
        <w:rPr>
          <w:rFonts w:ascii="Times New Roman" w:eastAsia="標楷體" w:hAnsi="Times New Roman" w:hint="eastAsia"/>
          <w:color w:val="000000"/>
          <w:sz w:val="21"/>
        </w:rPr>
        <w:t>、</w:t>
      </w:r>
      <w:r w:rsidRPr="00606FFA">
        <w:rPr>
          <w:rFonts w:ascii="Times New Roman" w:eastAsia="標楷體" w:hAnsi="Times New Roman" w:hint="eastAsia"/>
          <w:color w:val="000000"/>
          <w:sz w:val="21"/>
        </w:rPr>
        <w:t>各國官方網站。</w:t>
      </w:r>
    </w:p>
    <w:p w:rsidR="009F0300" w:rsidRDefault="009F0300" w:rsidP="00DB7C08">
      <w:pPr>
        <w:overflowPunct w:val="0"/>
        <w:spacing w:line="300" w:lineRule="exact"/>
        <w:ind w:left="1071" w:hangingChars="510" w:hanging="1071"/>
        <w:rPr>
          <w:rFonts w:ascii="Times New Roman" w:eastAsia="標楷體" w:hAnsi="Times New Roman"/>
          <w:color w:val="000000"/>
          <w:sz w:val="21"/>
        </w:rPr>
      </w:pPr>
    </w:p>
    <w:p w:rsidR="009F0300" w:rsidRDefault="009F0300" w:rsidP="00DB7C08">
      <w:pPr>
        <w:overflowPunct w:val="0"/>
        <w:spacing w:line="300" w:lineRule="exact"/>
        <w:ind w:left="1071" w:hangingChars="510" w:hanging="1071"/>
        <w:rPr>
          <w:rFonts w:ascii="Times New Roman" w:eastAsia="標楷體" w:hAnsi="Times New Roman"/>
          <w:color w:val="000000"/>
          <w:sz w:val="21"/>
        </w:rPr>
      </w:pPr>
    </w:p>
    <w:p w:rsidR="009F0300" w:rsidRDefault="009F0300" w:rsidP="00DB7C08">
      <w:pPr>
        <w:overflowPunct w:val="0"/>
        <w:spacing w:line="300" w:lineRule="exact"/>
        <w:ind w:left="1632" w:hangingChars="510" w:hanging="1632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2.</w:t>
      </w:r>
      <w:r w:rsidR="00363521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物價情勢相對平穩</w:t>
      </w:r>
    </w:p>
    <w:p w:rsidR="009F0300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240" w:firstLineChars="200" w:firstLine="64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E13E55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Pr="00E13E55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年以來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物價表現相對其他亞洲三小龍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平穩，</w:t>
      </w:r>
      <w:proofErr w:type="gramEnd"/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8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年間平均消費者物價指數</w:t>
      </w:r>
      <w:r w:rsidR="00CF2049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（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CPI</w:t>
      </w:r>
      <w:r w:rsidR="00CF2049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上漲率為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1.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，為四小龍最低，維持在經建目標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以下，且無通貨緊縮之虞。</w:t>
      </w:r>
    </w:p>
    <w:p w:rsidR="009F0300" w:rsidRDefault="009F0300" w:rsidP="00DC2CDC">
      <w:pPr>
        <w:widowControl/>
        <w:overflowPunct w:val="0"/>
        <w:snapToGrid w:val="0"/>
        <w:spacing w:beforeLines="20" w:before="72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000</w:t>
      </w:r>
      <w:r w:rsidR="003C4BC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2007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CPI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上漲率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雖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低至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0.9%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為四小龍第二低，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但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2003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年時</w:t>
      </w:r>
      <w:r w:rsidR="00CF2049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國際貨幣基金（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IMF</w:t>
      </w:r>
      <w:r w:rsidR="00CF2049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的研究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lastRenderedPageBreak/>
        <w:t>指出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BA26AF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CPI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上漲率偏低，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潛存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通縮</w:t>
      </w:r>
      <w:proofErr w:type="gramEnd"/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風險，適度的物價漲幅有助於營造經濟活力。</w:t>
      </w:r>
    </w:p>
    <w:p w:rsidR="009F0300" w:rsidRDefault="009F0300" w:rsidP="00DC2CDC">
      <w:pPr>
        <w:widowControl/>
        <w:overflowPunct w:val="0"/>
        <w:snapToGrid w:val="0"/>
        <w:spacing w:beforeLines="20" w:before="72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雖</w:t>
      </w:r>
      <w:proofErr w:type="gramStart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因仔豬疫情推</w:t>
      </w:r>
      <w:proofErr w:type="gramEnd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升食物類物價，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惟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CPI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上漲率為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1.2%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為四小龍第二低，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物價情勢仍屬溫和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Pr="00CB01AD" w:rsidRDefault="009F0300" w:rsidP="00DC2CDC">
      <w:pPr>
        <w:pStyle w:val="a9"/>
        <w:overflowPunct w:val="0"/>
        <w:spacing w:beforeLines="100" w:before="360" w:line="360" w:lineRule="exact"/>
        <w:ind w:leftChars="0" w:left="482"/>
        <w:jc w:val="center"/>
        <w:rPr>
          <w:rFonts w:ascii="Times New Roman" w:eastAsia="標楷體" w:hAnsi="Times New Roman"/>
          <w:sz w:val="28"/>
        </w:rPr>
      </w:pPr>
      <w:r w:rsidRPr="00CB01AD">
        <w:rPr>
          <w:rFonts w:ascii="Times New Roman" w:eastAsia="標楷體" w:hAnsi="Times New Roman" w:hint="eastAsia"/>
          <w:sz w:val="28"/>
        </w:rPr>
        <w:t>表</w:t>
      </w:r>
      <w:r w:rsidRPr="00CB01AD">
        <w:rPr>
          <w:rFonts w:ascii="Times New Roman" w:eastAsia="標楷體" w:hAnsi="Times New Roman"/>
          <w:sz w:val="28"/>
        </w:rPr>
        <w:t xml:space="preserve">2 </w:t>
      </w:r>
      <w:r w:rsidRPr="00CB01AD">
        <w:rPr>
          <w:rFonts w:ascii="Times New Roman" w:eastAsia="標楷體" w:hAnsi="Times New Roman" w:hint="eastAsia"/>
          <w:sz w:val="28"/>
        </w:rPr>
        <w:t>亞洲四小龍消費者物價指數上漲率</w:t>
      </w:r>
    </w:p>
    <w:p w:rsidR="009F0300" w:rsidRPr="00CB01AD" w:rsidRDefault="009F0300" w:rsidP="00C93497">
      <w:pPr>
        <w:pStyle w:val="a9"/>
        <w:overflowPunct w:val="0"/>
        <w:spacing w:line="240" w:lineRule="exact"/>
        <w:ind w:leftChars="0" w:left="482"/>
        <w:jc w:val="right"/>
        <w:rPr>
          <w:rFonts w:ascii="Times New Roman" w:eastAsia="標楷體" w:hAnsi="Times New Roman"/>
          <w:sz w:val="28"/>
        </w:rPr>
      </w:pPr>
      <w:r w:rsidRPr="00375FF8">
        <w:rPr>
          <w:rFonts w:ascii="Times New Roman" w:eastAsia="標楷體" w:hAnsi="Times New Roman" w:hint="eastAsia"/>
        </w:rPr>
        <w:t>單位：</w:t>
      </w:r>
      <w:r w:rsidR="00EC31AB">
        <w:rPr>
          <w:rFonts w:ascii="Times New Roman" w:eastAsia="標楷體" w:hAnsi="Times New Roman" w:hint="eastAsia"/>
        </w:rPr>
        <w:t>％</w:t>
      </w:r>
    </w:p>
    <w:tbl>
      <w:tblPr>
        <w:tblW w:w="8582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8"/>
        <w:gridCol w:w="1696"/>
        <w:gridCol w:w="1696"/>
        <w:gridCol w:w="1696"/>
        <w:gridCol w:w="1696"/>
      </w:tblGrid>
      <w:tr w:rsidR="009F0300" w:rsidRPr="00B47D7B" w:rsidTr="00B627FF">
        <w:trPr>
          <w:trHeight w:hRule="exact" w:val="454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861FFA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93FB1" w:rsidP="00861FFA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韓國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新加坡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香港</w:t>
            </w:r>
          </w:p>
        </w:tc>
      </w:tr>
      <w:tr w:rsidR="009F0300" w:rsidRPr="00B47D7B" w:rsidTr="00B627FF">
        <w:trPr>
          <w:trHeight w:val="388"/>
        </w:trPr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ind w:firstLineChars="50" w:firstLine="140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2000-2014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2.9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2.1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1.3 </w:t>
            </w:r>
          </w:p>
        </w:tc>
      </w:tr>
      <w:tr w:rsidR="009F0300" w:rsidRPr="00B47D7B" w:rsidTr="00B627FF">
        <w:trPr>
          <w:trHeight w:val="388"/>
        </w:trPr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ind w:leftChars="118" w:left="283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2000-2007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0.9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3.0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1.0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-0.8 </w:t>
            </w:r>
          </w:p>
        </w:tc>
      </w:tr>
      <w:tr w:rsidR="009F0300" w:rsidRPr="00B47D7B" w:rsidTr="00B627FF">
        <w:trPr>
          <w:trHeight w:val="388"/>
        </w:trPr>
        <w:tc>
          <w:tcPr>
            <w:tcW w:w="1798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ind w:leftChars="118" w:left="283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2008-2014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1.3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2.7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3.3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3.6 </w:t>
            </w:r>
          </w:p>
        </w:tc>
      </w:tr>
      <w:tr w:rsidR="009F0300" w:rsidRPr="00B47D7B" w:rsidTr="00875C68">
        <w:trPr>
          <w:trHeight w:val="388"/>
        </w:trPr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ind w:leftChars="118" w:left="283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2014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1.2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1.3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1.0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CB01AD" w:rsidRDefault="009F0300" w:rsidP="00861FFA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4.4 </w:t>
            </w:r>
          </w:p>
        </w:tc>
      </w:tr>
    </w:tbl>
    <w:p w:rsidR="009F0300" w:rsidRPr="00CB01AD" w:rsidRDefault="009F0300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r w:rsidRPr="00CB01AD">
        <w:rPr>
          <w:rFonts w:ascii="Times New Roman" w:eastAsia="標楷體" w:hAnsi="Times New Roman" w:hint="eastAsia"/>
          <w:sz w:val="21"/>
        </w:rPr>
        <w:t>資料來源：行政院主計總處、各國官方網站。</w:t>
      </w:r>
    </w:p>
    <w:p w:rsidR="009F0300" w:rsidRPr="00CB01AD" w:rsidRDefault="009F0300" w:rsidP="00DC2CDC">
      <w:pPr>
        <w:widowControl/>
        <w:overflowPunct w:val="0"/>
        <w:snapToGrid w:val="0"/>
        <w:spacing w:beforeLines="100" w:before="360" w:line="40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3.</w:t>
      </w:r>
      <w:r w:rsidR="00363521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每人實質購買力優於韓國</w:t>
      </w:r>
      <w:r w:rsidRPr="00CB01AD"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 xml:space="preserve"> </w:t>
      </w:r>
    </w:p>
    <w:p w:rsidR="009F0300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240" w:firstLineChars="200" w:firstLine="64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依國際貨幣基金</w:t>
      </w:r>
      <w:r w:rsidR="0069136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（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IMF</w:t>
      </w:r>
      <w:r w:rsidR="0069136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估計，</w:t>
      </w:r>
      <w:r w:rsidRPr="00E13E55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Pr="00E13E55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年以來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四小龍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以購買力平價</w:t>
      </w:r>
      <w:r w:rsidR="0069136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（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去除物價因素</w:t>
      </w:r>
      <w:r w:rsidR="0069136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計算的每人</w:t>
      </w:r>
      <w:r w:rsidR="0068411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國內生產毛額（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GDP</w:t>
      </w:r>
      <w:r w:rsidR="0068411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均顯著成長，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="00691360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每人</w:t>
      </w:r>
      <w:r w:rsidRPr="00EB2432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實質購買力</w:t>
      </w:r>
      <w:r w:rsidRPr="00BA26AF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優於韓國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Pr="00E13E55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3C4BC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年間，比較四小龍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以購買力平價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計算之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每人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GDP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增幅，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達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105.6%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，居四小龍第三，高於新加坡的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99.3%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，約與香港相當，略低於韓國。</w:t>
      </w:r>
    </w:p>
    <w:p w:rsidR="009F0300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以購買力平價計算的每人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GDP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達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43,600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美元，高於韓國的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35,485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，但低於新加坡的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81,436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美元，香港的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55,167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美元，在四小龍居第三。與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OECD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國家相比，我國的每人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GDP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超過冰島（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42,630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美元）、比利時（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41,741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美元）、芬蘭（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40,455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美元）、法國（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40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,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445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）、英國（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7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,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744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）、日本（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7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,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683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）、紐西蘭（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34,975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美元）、義大利（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34,455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美元）、以色列（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33,352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美元）。</w:t>
      </w:r>
    </w:p>
    <w:p w:rsidR="00EC31AB" w:rsidRDefault="00EC31AB" w:rsidP="00C32979">
      <w:pPr>
        <w:widowControl/>
        <w:overflowPunct w:val="0"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9F0300" w:rsidRDefault="009F0300" w:rsidP="00DC2CDC">
      <w:pPr>
        <w:overflowPunct w:val="0"/>
        <w:spacing w:beforeLines="50" w:before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表</w:t>
      </w:r>
      <w:r>
        <w:rPr>
          <w:rFonts w:ascii="Times New Roman" w:eastAsia="標楷體" w:hAnsi="Times New Roman"/>
          <w:sz w:val="28"/>
        </w:rPr>
        <w:t xml:space="preserve">3 </w:t>
      </w:r>
      <w:r>
        <w:rPr>
          <w:rFonts w:ascii="Times New Roman" w:eastAsia="標楷體" w:hAnsi="Times New Roman" w:hint="eastAsia"/>
          <w:sz w:val="28"/>
        </w:rPr>
        <w:t>亞洲四小龍每人</w:t>
      </w:r>
      <w:r>
        <w:rPr>
          <w:rFonts w:ascii="Times New Roman" w:eastAsia="標楷體" w:hAnsi="Times New Roman"/>
          <w:sz w:val="28"/>
        </w:rPr>
        <w:t>GDP</w:t>
      </w:r>
      <w:r>
        <w:rPr>
          <w:rFonts w:ascii="Times New Roman" w:eastAsia="標楷體" w:hAnsi="Times New Roman" w:hint="eastAsia"/>
          <w:sz w:val="28"/>
        </w:rPr>
        <w:t>（</w:t>
      </w:r>
      <w:r>
        <w:rPr>
          <w:rFonts w:ascii="Times New Roman" w:eastAsia="標楷體" w:hAnsi="Times New Roman"/>
          <w:sz w:val="28"/>
        </w:rPr>
        <w:t>PPP</w:t>
      </w:r>
      <w:r>
        <w:rPr>
          <w:rFonts w:ascii="Times New Roman" w:eastAsia="標楷體" w:hAnsi="Times New Roman" w:hint="eastAsia"/>
          <w:sz w:val="28"/>
        </w:rPr>
        <w:t>）</w:t>
      </w:r>
    </w:p>
    <w:p w:rsidR="009F0300" w:rsidRDefault="009F0300" w:rsidP="00C93497">
      <w:pPr>
        <w:overflowPunct w:val="0"/>
        <w:spacing w:line="240" w:lineRule="exact"/>
        <w:ind w:left="482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單位：美元；</w:t>
      </w:r>
      <w:r>
        <w:rPr>
          <w:rFonts w:ascii="Times New Roman" w:eastAsia="標楷體" w:hAnsi="Times New Roman"/>
          <w:szCs w:val="24"/>
        </w:rPr>
        <w:t>%</w:t>
      </w:r>
    </w:p>
    <w:tbl>
      <w:tblPr>
        <w:tblW w:w="8582" w:type="dxa"/>
        <w:tblInd w:w="-1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9"/>
        <w:gridCol w:w="1578"/>
        <w:gridCol w:w="1578"/>
        <w:gridCol w:w="1578"/>
        <w:gridCol w:w="1579"/>
      </w:tblGrid>
      <w:tr w:rsidR="009F0300" w:rsidRPr="00B47D7B" w:rsidTr="00861FFA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B47D7B" w:rsidRDefault="009F0300" w:rsidP="00C53147">
            <w:pPr>
              <w:widowControl/>
              <w:overflowPunct w:val="0"/>
              <w:spacing w:line="360" w:lineRule="exact"/>
              <w:rPr>
                <w:rFonts w:cs="新細明體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93FB1" w:rsidP="00C531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F0300" w:rsidP="00C531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韓國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F0300" w:rsidP="00C531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新加坡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0300" w:rsidRDefault="009F0300" w:rsidP="00C531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香港</w:t>
            </w:r>
          </w:p>
        </w:tc>
      </w:tr>
      <w:tr w:rsidR="009F0300" w:rsidRPr="00B47D7B" w:rsidTr="00861FFA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21,207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16,452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40,813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26,783</w:t>
            </w:r>
          </w:p>
        </w:tc>
      </w:tr>
      <w:tr w:rsidR="009F0300" w:rsidRPr="00B47D7B" w:rsidTr="00861FFA">
        <w:trPr>
          <w:trHeight w:hRule="exact" w:val="39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2008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33,384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27,523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63,183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44,773</w:t>
            </w:r>
          </w:p>
        </w:tc>
      </w:tr>
      <w:tr w:rsidR="009F0300" w:rsidRPr="00B47D7B" w:rsidTr="00861FFA">
        <w:trPr>
          <w:trHeight w:hRule="exact" w:val="39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2014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43,600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35,485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81,346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55,167</w:t>
            </w:r>
          </w:p>
        </w:tc>
      </w:tr>
      <w:tr w:rsidR="009F0300" w:rsidRPr="00B47D7B" w:rsidTr="00861FFA">
        <w:trPr>
          <w:trHeight w:hRule="exact" w:val="39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2000-2014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增幅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105.6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F0300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115.7</w:t>
            </w:r>
          </w:p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28.9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99.3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0300" w:rsidRDefault="009F0300" w:rsidP="00861FFA">
            <w:pPr>
              <w:widowControl/>
              <w:overflowPunct w:val="0"/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106.0</w:t>
            </w:r>
          </w:p>
        </w:tc>
      </w:tr>
    </w:tbl>
    <w:p w:rsidR="009F0300" w:rsidRDefault="009F0300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r>
        <w:rPr>
          <w:rFonts w:ascii="Times New Roman" w:eastAsia="標楷體" w:hAnsi="Times New Roman" w:hint="eastAsia"/>
          <w:sz w:val="21"/>
        </w:rPr>
        <w:t>資料來源：國際貨幣基金（</w:t>
      </w:r>
      <w:r>
        <w:rPr>
          <w:rFonts w:ascii="Times New Roman" w:eastAsia="標楷體" w:hAnsi="Times New Roman"/>
          <w:sz w:val="21"/>
        </w:rPr>
        <w:t>IMF</w:t>
      </w:r>
      <w:r>
        <w:rPr>
          <w:rFonts w:ascii="Times New Roman" w:eastAsia="標楷體" w:hAnsi="Times New Roman" w:hint="eastAsia"/>
          <w:sz w:val="21"/>
        </w:rPr>
        <w:t>）。</w:t>
      </w:r>
    </w:p>
    <w:p w:rsidR="009F0300" w:rsidRPr="00CB01AD" w:rsidRDefault="009F0300" w:rsidP="00DC2CDC">
      <w:pPr>
        <w:widowControl/>
        <w:overflowPunct w:val="0"/>
        <w:snapToGrid w:val="0"/>
        <w:spacing w:beforeLines="50" w:before="180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</w:t>
      </w:r>
      <w:r w:rsidR="00363521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所得分配相對其他三小龍為佳</w:t>
      </w:r>
    </w:p>
    <w:p w:rsidR="009F0300" w:rsidRDefault="009F0300" w:rsidP="00DC2CDC">
      <w:pPr>
        <w:widowControl/>
        <w:overflowPunct w:val="0"/>
        <w:snapToGrid w:val="0"/>
        <w:spacing w:beforeLines="20" w:before="72" w:line="440" w:lineRule="exact"/>
        <w:ind w:leftChars="100" w:left="240" w:firstLineChars="200" w:firstLine="64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年以來，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所得分配情況雖因網路泡沫化與美國金融海嘯而二度惡化，惟不論是以每戶或每人所得衡量的五等</w:t>
      </w:r>
      <w:r w:rsidR="008148A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分位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所得差距倍數，皆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明顯低於香港、新加坡與韓國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，為四小龍最低。</w:t>
      </w:r>
    </w:p>
    <w:p w:rsidR="00EC31AB" w:rsidRDefault="00EC31AB" w:rsidP="00EC31AB">
      <w:pPr>
        <w:widowControl/>
        <w:overflowPunct w:val="0"/>
        <w:snapToGrid w:val="0"/>
        <w:spacing w:beforeLines="20" w:before="72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proofErr w:type="gramStart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以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每</w:t>
      </w:r>
      <w:proofErr w:type="gramEnd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戶五</w:t>
      </w:r>
      <w:r w:rsidR="008148A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分位所得分配差距倍數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觀察，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2001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2009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分別為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6.39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6.34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，為歷史高峰，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惟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2013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已降至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6.08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連續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年下降。</w:t>
      </w:r>
    </w:p>
    <w:p w:rsidR="00EC31AB" w:rsidRPr="00CB01AD" w:rsidRDefault="00EC31AB" w:rsidP="00EC31AB">
      <w:pPr>
        <w:widowControl/>
        <w:overflowPunct w:val="0"/>
        <w:snapToGrid w:val="0"/>
        <w:spacing w:beforeLines="20" w:before="72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proofErr w:type="gramStart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以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每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人</w:t>
      </w:r>
      <w:proofErr w:type="gramEnd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五</w:t>
      </w:r>
      <w:r w:rsidR="008148AE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分位所得分配差距倍數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觀察，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2002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2009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分別為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4.59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4.35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惟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2013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年已降至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4.08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，為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</w:t>
      </w:r>
      <w:r w:rsidR="00F21048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年以來新低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Pr="00CB01AD" w:rsidRDefault="009F0300" w:rsidP="004A0B46">
      <w:pPr>
        <w:overflowPunct w:val="0"/>
        <w:adjustRightInd w:val="0"/>
        <w:spacing w:before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 w:rsidRPr="00CB01AD">
        <w:rPr>
          <w:rFonts w:ascii="Times New Roman" w:eastAsia="標楷體" w:hAnsi="Times New Roman" w:hint="eastAsia"/>
          <w:sz w:val="28"/>
        </w:rPr>
        <w:t>表</w:t>
      </w:r>
      <w:r w:rsidRPr="00CB01AD">
        <w:rPr>
          <w:rFonts w:ascii="Times New Roman" w:eastAsia="標楷體" w:hAnsi="Times New Roman"/>
          <w:sz w:val="28"/>
        </w:rPr>
        <w:t xml:space="preserve">4 </w:t>
      </w:r>
      <w:r w:rsidRPr="00CB01AD">
        <w:rPr>
          <w:rFonts w:ascii="Times New Roman" w:eastAsia="標楷體" w:hAnsi="Times New Roman" w:hint="eastAsia"/>
          <w:sz w:val="28"/>
        </w:rPr>
        <w:t>亞洲四小龍之所得</w:t>
      </w:r>
      <w:r w:rsidRPr="00CB01AD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五等分位差距倍數</w:t>
      </w:r>
    </w:p>
    <w:p w:rsidR="009F0300" w:rsidRDefault="009F0300" w:rsidP="00C93497">
      <w:pPr>
        <w:overflowPunct w:val="0"/>
        <w:spacing w:line="240" w:lineRule="exact"/>
        <w:ind w:left="482"/>
        <w:jc w:val="right"/>
        <w:rPr>
          <w:rFonts w:ascii="Times New Roman" w:eastAsia="標楷體" w:hAnsi="Times New Roman"/>
          <w:szCs w:val="24"/>
        </w:rPr>
      </w:pPr>
      <w:r w:rsidRPr="00CB01AD">
        <w:rPr>
          <w:rFonts w:ascii="Times New Roman" w:eastAsia="標楷體" w:hAnsi="Times New Roman" w:hint="eastAsia"/>
          <w:szCs w:val="24"/>
        </w:rPr>
        <w:t>單位：美元</w:t>
      </w:r>
    </w:p>
    <w:tbl>
      <w:tblPr>
        <w:tblW w:w="8410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3"/>
        <w:gridCol w:w="1245"/>
        <w:gridCol w:w="1737"/>
        <w:gridCol w:w="1147"/>
        <w:gridCol w:w="802"/>
        <w:gridCol w:w="816"/>
        <w:gridCol w:w="734"/>
        <w:gridCol w:w="736"/>
      </w:tblGrid>
      <w:tr w:rsidR="009F0300" w:rsidRPr="00B47D7B" w:rsidTr="00C53147">
        <w:trPr>
          <w:trHeight w:val="297"/>
        </w:trPr>
        <w:tc>
          <w:tcPr>
            <w:tcW w:w="11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每戶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00" w:rsidRPr="00CB01AD" w:rsidRDefault="009F0300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每人</w:t>
            </w:r>
          </w:p>
        </w:tc>
      </w:tr>
      <w:tr w:rsidR="009F0300" w:rsidRPr="00B47D7B" w:rsidTr="00861FFA">
        <w:trPr>
          <w:trHeight w:val="490"/>
        </w:trPr>
        <w:tc>
          <w:tcPr>
            <w:tcW w:w="1193" w:type="dxa"/>
            <w:vMerge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7C0835">
            <w:pPr>
              <w:widowControl/>
              <w:overflowPunct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0300" w:rsidRPr="00CB01AD" w:rsidRDefault="00993FB1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0300" w:rsidRPr="00CB01AD" w:rsidRDefault="009F0300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香港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0300" w:rsidRPr="00CB01AD" w:rsidRDefault="00993FB1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韓國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00" w:rsidRPr="00CB01AD" w:rsidRDefault="009F0300" w:rsidP="007C0835">
            <w:pPr>
              <w:widowControl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新加坡</w:t>
            </w:r>
          </w:p>
        </w:tc>
      </w:tr>
      <w:tr w:rsidR="009F0300" w:rsidRPr="00B47D7B" w:rsidTr="00861FFA">
        <w:trPr>
          <w:trHeight w:val="391"/>
        </w:trPr>
        <w:tc>
          <w:tcPr>
            <w:tcW w:w="119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9F0300" w:rsidRPr="004D6E1B" w:rsidRDefault="009F0300" w:rsidP="007F4088">
            <w:pPr>
              <w:widowControl/>
              <w:overflowPunct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D6E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4D6E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家庭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300" w:rsidRPr="004D6E1B" w:rsidRDefault="009F0300" w:rsidP="007F4088">
            <w:pPr>
              <w:widowControl/>
              <w:overflowPunct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D6E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都市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4D6E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家庭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300" w:rsidRPr="004D6E1B" w:rsidRDefault="009F0300" w:rsidP="007F4088">
            <w:pPr>
              <w:widowControl/>
              <w:overflowPunct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D6E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全體家庭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300" w:rsidRPr="004D6E1B" w:rsidRDefault="009F0300" w:rsidP="007F4088">
            <w:pPr>
              <w:widowControl/>
              <w:overflowPunct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D6E1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就業家庭</w:t>
            </w:r>
          </w:p>
        </w:tc>
      </w:tr>
      <w:tr w:rsidR="009F0300" w:rsidRPr="00B47D7B" w:rsidTr="00861FFA">
        <w:trPr>
          <w:trHeight w:val="391"/>
        </w:trPr>
        <w:tc>
          <w:tcPr>
            <w:tcW w:w="119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5.55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17.22</w:t>
            </w:r>
            <w:r w:rsidRPr="004D6E1B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( 2001</w:t>
            </w:r>
            <w:r w:rsidRPr="004D6E1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4D6E1B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4.05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20.9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10.1</w:t>
            </w:r>
          </w:p>
        </w:tc>
      </w:tr>
      <w:tr w:rsidR="009F0300" w:rsidRPr="00B47D7B" w:rsidTr="00861FFA">
        <w:trPr>
          <w:trHeight w:val="391"/>
        </w:trPr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5.98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18.66</w:t>
            </w:r>
            <w:r w:rsidRPr="004D6E1B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( 2006</w:t>
            </w:r>
            <w:r w:rsidRPr="004D6E1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4D6E1B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4.16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5.60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4.84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13.0</w:t>
            </w:r>
          </w:p>
        </w:tc>
      </w:tr>
      <w:tr w:rsidR="009F0300" w:rsidRPr="00B47D7B" w:rsidTr="00861FFA">
        <w:trPr>
          <w:trHeight w:val="391"/>
        </w:trPr>
        <w:tc>
          <w:tcPr>
            <w:tcW w:w="1193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6.05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4.23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5.71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4.88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12.8</w:t>
            </w:r>
          </w:p>
        </w:tc>
      </w:tr>
      <w:tr w:rsidR="009F0300" w:rsidRPr="00B47D7B" w:rsidTr="00861FFA">
        <w:trPr>
          <w:trHeight w:val="391"/>
        </w:trPr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2013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6.08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20.70 </w:t>
            </w:r>
            <w:r w:rsidRPr="004D6E1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( 2011</w:t>
            </w:r>
            <w:r w:rsidRPr="004D6E1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4D6E1B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4.08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5.43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4.56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9F0300" w:rsidRPr="004D6E1B" w:rsidRDefault="009F0300" w:rsidP="007C0835">
            <w:pPr>
              <w:widowControl/>
              <w:overflowPunct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D6E1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12.1</w:t>
            </w:r>
          </w:p>
        </w:tc>
      </w:tr>
    </w:tbl>
    <w:p w:rsidR="009F0300" w:rsidRPr="004D6E1B" w:rsidRDefault="009F0300" w:rsidP="004D6E1B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r w:rsidRPr="004D6E1B">
        <w:rPr>
          <w:rFonts w:ascii="Times New Roman" w:eastAsia="標楷體" w:hAnsi="Times New Roman" w:hint="eastAsia"/>
          <w:sz w:val="21"/>
        </w:rPr>
        <w:t>說明：</w:t>
      </w:r>
      <w:r w:rsidRPr="004D6E1B">
        <w:rPr>
          <w:rFonts w:ascii="Times New Roman" w:eastAsia="標楷體" w:hAnsi="Times New Roman"/>
          <w:sz w:val="21"/>
        </w:rPr>
        <w:t>1.</w:t>
      </w:r>
      <w:r w:rsidRPr="004D6E1B">
        <w:rPr>
          <w:rFonts w:ascii="Times New Roman" w:eastAsia="標楷體" w:hAnsi="Times New Roman" w:hint="eastAsia"/>
          <w:sz w:val="21"/>
        </w:rPr>
        <w:t>五等分位差距倍數係最高</w:t>
      </w:r>
      <w:r w:rsidRPr="004D6E1B">
        <w:rPr>
          <w:rFonts w:ascii="Times New Roman" w:eastAsia="標楷體" w:hAnsi="Times New Roman"/>
          <w:sz w:val="21"/>
        </w:rPr>
        <w:t>20%</w:t>
      </w:r>
      <w:r w:rsidRPr="004D6E1B">
        <w:rPr>
          <w:rFonts w:ascii="Times New Roman" w:eastAsia="標楷體" w:hAnsi="Times New Roman" w:hint="eastAsia"/>
          <w:sz w:val="21"/>
        </w:rPr>
        <w:t>家庭所得為最低</w:t>
      </w:r>
      <w:r w:rsidRPr="004D6E1B">
        <w:rPr>
          <w:rFonts w:ascii="Times New Roman" w:eastAsia="標楷體" w:hAnsi="Times New Roman"/>
          <w:sz w:val="21"/>
        </w:rPr>
        <w:t>20%</w:t>
      </w:r>
      <w:r w:rsidRPr="004D6E1B">
        <w:rPr>
          <w:rFonts w:ascii="Times New Roman" w:eastAsia="標楷體" w:hAnsi="Times New Roman" w:hint="eastAsia"/>
          <w:sz w:val="21"/>
        </w:rPr>
        <w:t>家庭所得之倍數；</w:t>
      </w:r>
    </w:p>
    <w:p w:rsidR="009F0300" w:rsidRPr="004D6E1B" w:rsidRDefault="009F0300" w:rsidP="004D6E1B">
      <w:pPr>
        <w:overflowPunct w:val="0"/>
        <w:spacing w:line="300" w:lineRule="exact"/>
        <w:ind w:left="777" w:hangingChars="370" w:hanging="777"/>
        <w:rPr>
          <w:rFonts w:ascii="Times New Roman" w:eastAsia="標楷體" w:hAnsi="Times New Roman"/>
          <w:sz w:val="21"/>
        </w:rPr>
      </w:pPr>
      <w:r w:rsidRPr="004D6E1B">
        <w:rPr>
          <w:rFonts w:ascii="Times New Roman" w:eastAsia="標楷體" w:hAnsi="Times New Roman"/>
          <w:sz w:val="21"/>
        </w:rPr>
        <w:t xml:space="preserve">      2.</w:t>
      </w:r>
      <w:r w:rsidRPr="004D6E1B">
        <w:rPr>
          <w:rFonts w:ascii="Times New Roman" w:eastAsia="標楷體" w:hAnsi="Times New Roman" w:hint="eastAsia"/>
          <w:sz w:val="21"/>
        </w:rPr>
        <w:t>南韓數據分別為都市家庭（不含單人戶及農漁家），</w:t>
      </w:r>
      <w:r w:rsidR="00414C6D">
        <w:rPr>
          <w:rFonts w:ascii="Times New Roman" w:eastAsia="標楷體" w:hAnsi="Times New Roman" w:hint="eastAsia"/>
          <w:sz w:val="21"/>
        </w:rPr>
        <w:t>以</w:t>
      </w:r>
      <w:r w:rsidRPr="004D6E1B">
        <w:rPr>
          <w:rFonts w:ascii="Times New Roman" w:eastAsia="標楷體" w:hAnsi="Times New Roman" w:hint="eastAsia"/>
          <w:sz w:val="21"/>
        </w:rPr>
        <w:t>及全體家庭（含單人戶及農家）之每人可支配所得。</w:t>
      </w:r>
    </w:p>
    <w:p w:rsidR="009F0300" w:rsidRPr="00CB01AD" w:rsidRDefault="009F0300" w:rsidP="004D6E1B">
      <w:pPr>
        <w:overflowPunct w:val="0"/>
        <w:spacing w:line="300" w:lineRule="exact"/>
        <w:ind w:left="777" w:hangingChars="370" w:hanging="777"/>
        <w:rPr>
          <w:rFonts w:ascii="Times New Roman" w:eastAsia="標楷體" w:hAnsi="Times New Roman"/>
          <w:sz w:val="21"/>
        </w:rPr>
      </w:pPr>
      <w:r w:rsidRPr="00795E4D">
        <w:rPr>
          <w:rFonts w:ascii="Times New Roman" w:eastAsia="標楷體" w:hAnsi="Times New Roman"/>
          <w:color w:val="FF0000"/>
          <w:sz w:val="21"/>
        </w:rPr>
        <w:t xml:space="preserve">   </w:t>
      </w:r>
      <w:r w:rsidRPr="004D6E1B">
        <w:rPr>
          <w:rFonts w:ascii="Times New Roman" w:eastAsia="標楷體" w:hAnsi="Times New Roman"/>
          <w:sz w:val="21"/>
        </w:rPr>
        <w:t xml:space="preserve">   3.</w:t>
      </w:r>
      <w:r w:rsidRPr="004D6E1B">
        <w:rPr>
          <w:rFonts w:ascii="Times New Roman" w:eastAsia="標楷體" w:hAnsi="Times New Roman" w:hint="eastAsia"/>
          <w:sz w:val="21"/>
        </w:rPr>
        <w:t>新加坡之全體家庭及就業家庭之工作所得，不含社福移轉收入及繳稅支出，因此倍數及係數較高。</w:t>
      </w:r>
    </w:p>
    <w:p w:rsidR="009F0300" w:rsidRPr="00CB01AD" w:rsidRDefault="009F0300" w:rsidP="004D6E1B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r w:rsidRPr="00CB01AD">
        <w:rPr>
          <w:rFonts w:ascii="Times New Roman" w:eastAsia="標楷體" w:hAnsi="Times New Roman" w:hint="eastAsia"/>
          <w:sz w:val="21"/>
        </w:rPr>
        <w:t>資料來源：行政院主計總處「</w:t>
      </w:r>
      <w:r w:rsidRPr="00CB01AD">
        <w:rPr>
          <w:rFonts w:ascii="Times New Roman" w:eastAsia="標楷體" w:hAnsi="Times New Roman"/>
          <w:sz w:val="21"/>
        </w:rPr>
        <w:t>102</w:t>
      </w:r>
      <w:r w:rsidRPr="00CB01AD">
        <w:rPr>
          <w:rFonts w:ascii="Times New Roman" w:eastAsia="標楷體" w:hAnsi="Times New Roman" w:hint="eastAsia"/>
          <w:sz w:val="21"/>
        </w:rPr>
        <w:t>年家庭收支調查報告」。</w:t>
      </w:r>
    </w:p>
    <w:p w:rsidR="009F0300" w:rsidRPr="00CB01AD" w:rsidRDefault="009F0300" w:rsidP="00DC2CDC">
      <w:pPr>
        <w:widowControl/>
        <w:overflowPunct w:val="0"/>
        <w:snapToGrid w:val="0"/>
        <w:spacing w:beforeLines="50" w:before="180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lastRenderedPageBreak/>
        <w:t>5.</w:t>
      </w:r>
      <w:r w:rsidR="00363521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失業率</w:t>
      </w:r>
      <w:r w:rsidRPr="005A5CD0">
        <w:rPr>
          <w:rFonts w:ascii="Times New Roman" w:eastAsia="標楷體" w:hAnsi="Times New Roman"/>
          <w:b/>
          <w:bCs/>
          <w:color w:val="000000"/>
          <w:kern w:val="0"/>
          <w:position w:val="2"/>
          <w:sz w:val="32"/>
          <w:szCs w:val="32"/>
        </w:rPr>
        <w:t>2009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年</w:t>
      </w:r>
      <w:proofErr w:type="gramStart"/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以來降</w:t>
      </w:r>
      <w:proofErr w:type="gramEnd"/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幅顯著</w:t>
      </w:r>
    </w:p>
    <w:p w:rsidR="009F0300" w:rsidRPr="00CB01AD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240" w:firstLineChars="200" w:firstLine="64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平均失業率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雖高於韓國、新加坡，但觀察各國就業型態，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非典型就業人口比重明顯為低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 xml:space="preserve"> (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詳附圖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)</w:t>
      </w:r>
      <w:r w:rsidRPr="00033767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2013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我國部分工時就業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比重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 w:rsidRPr="00313021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3.2%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，遠低於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韓國的</w:t>
      </w:r>
      <w:r w:rsidRPr="00313021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11.1%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、新加坡</w:t>
      </w:r>
      <w:r w:rsidRPr="00313021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10.0%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，顯示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我國就業品質相對較佳。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此外，</w:t>
      </w:r>
      <w:proofErr w:type="gramEnd"/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失業率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續降至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4.0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為近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7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年來新低；比較四小龍於金融海嘯期間失業率表現，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改善幅度優於韓國與新加坡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Default="009F0300" w:rsidP="00DC2CDC">
      <w:pPr>
        <w:widowControl/>
        <w:overflowPunct w:val="0"/>
        <w:snapToGrid w:val="0"/>
        <w:spacing w:beforeLines="50" w:before="180" w:line="440" w:lineRule="exact"/>
        <w:ind w:leftChars="99" w:left="564" w:hangingChars="102" w:hanging="326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3C4BC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2007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的失業率從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3.0%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增至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3.9%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，平均失業率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4.3%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，低於香港的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5.8%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，但高於韓國的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3.7%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、新加坡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3.0%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Pr="00FE4F0C" w:rsidRDefault="009F0300" w:rsidP="00DC2CDC">
      <w:pPr>
        <w:widowControl/>
        <w:overflowPunct w:val="0"/>
        <w:snapToGrid w:val="0"/>
        <w:spacing w:beforeLines="50" w:before="180" w:line="440" w:lineRule="exact"/>
        <w:ind w:leftChars="99" w:left="564" w:hangingChars="102" w:hanging="326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2008</w:t>
      </w:r>
      <w:r w:rsidR="003C4BC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年間，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失業率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4.0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較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2009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年失業率高點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5.9%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，降幅達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1.9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個百分點，優於韓國</w:t>
      </w:r>
      <w:r w:rsidR="00414C6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0.</w:t>
      </w:r>
      <w:r w:rsidR="00414C6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個百分點及新加坡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1.0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個百分點。</w:t>
      </w:r>
    </w:p>
    <w:p w:rsidR="009F0300" w:rsidRPr="00CB01AD" w:rsidRDefault="009F0300" w:rsidP="00861FFA">
      <w:pPr>
        <w:pStyle w:val="a9"/>
        <w:overflowPunct w:val="0"/>
        <w:spacing w:beforeLines="50" w:before="180" w:line="360" w:lineRule="exact"/>
        <w:ind w:leftChars="0"/>
        <w:jc w:val="center"/>
        <w:rPr>
          <w:rFonts w:ascii="Times New Roman" w:eastAsia="標楷體" w:hAnsi="Times New Roman"/>
          <w:sz w:val="28"/>
        </w:rPr>
      </w:pPr>
      <w:r w:rsidRPr="00CB01AD">
        <w:rPr>
          <w:rFonts w:ascii="Times New Roman" w:eastAsia="標楷體" w:hAnsi="Times New Roman" w:hint="eastAsia"/>
          <w:sz w:val="28"/>
        </w:rPr>
        <w:t>表</w:t>
      </w:r>
      <w:r w:rsidRPr="00CB01AD">
        <w:rPr>
          <w:rFonts w:ascii="Times New Roman" w:eastAsia="標楷體" w:hAnsi="Times New Roman"/>
          <w:sz w:val="28"/>
        </w:rPr>
        <w:t xml:space="preserve">5 </w:t>
      </w:r>
      <w:r w:rsidRPr="00CB01AD">
        <w:rPr>
          <w:rFonts w:ascii="Times New Roman" w:eastAsia="標楷體" w:hAnsi="Times New Roman" w:hint="eastAsia"/>
          <w:sz w:val="28"/>
        </w:rPr>
        <w:t>亞洲四小龍失業率</w:t>
      </w:r>
    </w:p>
    <w:p w:rsidR="009F0300" w:rsidRDefault="009F0300" w:rsidP="009638DA">
      <w:pPr>
        <w:pStyle w:val="a9"/>
        <w:wordWrap w:val="0"/>
        <w:overflowPunct w:val="0"/>
        <w:spacing w:line="240" w:lineRule="exact"/>
        <w:ind w:leftChars="0" w:left="482"/>
        <w:jc w:val="right"/>
        <w:rPr>
          <w:rFonts w:ascii="Times New Roman" w:eastAsia="標楷體" w:hAnsi="Times New Roman"/>
          <w:szCs w:val="24"/>
        </w:rPr>
      </w:pPr>
      <w:r w:rsidRPr="00CB01AD">
        <w:rPr>
          <w:rFonts w:ascii="Times New Roman" w:eastAsia="標楷體" w:hAnsi="Times New Roman" w:hint="eastAsia"/>
          <w:szCs w:val="24"/>
        </w:rPr>
        <w:t>單位：</w:t>
      </w:r>
      <w:r>
        <w:rPr>
          <w:rFonts w:ascii="Times New Roman" w:eastAsia="標楷體" w:hAnsi="Times New Roman"/>
          <w:szCs w:val="24"/>
        </w:rPr>
        <w:t xml:space="preserve">%  </w:t>
      </w:r>
    </w:p>
    <w:tbl>
      <w:tblPr>
        <w:tblW w:w="7938" w:type="dxa"/>
        <w:tblInd w:w="3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1523"/>
        <w:gridCol w:w="1524"/>
        <w:gridCol w:w="1524"/>
        <w:gridCol w:w="1524"/>
      </w:tblGrid>
      <w:tr w:rsidR="009F0300" w:rsidRPr="00B47D7B" w:rsidTr="00861FF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606FFA" w:rsidRDefault="009F0300" w:rsidP="007C0835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363521" w:rsidP="007C0835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中華民國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7C0835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韓國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7C0835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新加坡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606FFA" w:rsidRDefault="009F0300" w:rsidP="007C0835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香港</w:t>
            </w:r>
          </w:p>
        </w:tc>
      </w:tr>
      <w:tr w:rsidR="009F0300" w:rsidRPr="00B47D7B" w:rsidTr="00861FFA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355D4F">
            <w:pPr>
              <w:widowControl/>
              <w:spacing w:line="340" w:lineRule="exact"/>
              <w:ind w:firstLineChars="50" w:firstLine="140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2000-2014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414C6D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="009F0300"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2.6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9F0300" w:rsidRPr="00CB01AD" w:rsidRDefault="00414C6D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9</w:t>
            </w:r>
            <w:r w:rsidR="009F0300"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 w:rsidR="009F0300" w:rsidRPr="00B47D7B" w:rsidTr="00861FFA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355D4F">
            <w:pPr>
              <w:widowControl/>
              <w:spacing w:line="340" w:lineRule="exact"/>
              <w:ind w:leftChars="118" w:left="283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2000-2007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4.3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3.7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3.0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5.8 </w:t>
            </w:r>
          </w:p>
        </w:tc>
      </w:tr>
      <w:tr w:rsidR="009F0300" w:rsidRPr="00B47D7B" w:rsidTr="00861FFA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3.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2.7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9</w:t>
            </w:r>
          </w:p>
        </w:tc>
      </w:tr>
      <w:tr w:rsidR="009F0300" w:rsidRPr="00B47D7B" w:rsidTr="00861FFA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Default="009F0300" w:rsidP="00355D4F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3.9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414C6D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3.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2.1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4.0</w:t>
            </w:r>
          </w:p>
        </w:tc>
      </w:tr>
      <w:tr w:rsidR="009F0300" w:rsidRPr="00B47D7B" w:rsidTr="00861FFA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CB01AD" w:rsidRDefault="009F0300" w:rsidP="00355D4F">
            <w:pPr>
              <w:widowControl/>
              <w:spacing w:line="340" w:lineRule="exact"/>
              <w:ind w:leftChars="118" w:left="283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2008-2014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3.4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2.2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CB01AD" w:rsidRDefault="009F0300" w:rsidP="00355D4F">
            <w:pPr>
              <w:widowControl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B01AD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3.8 </w:t>
            </w:r>
          </w:p>
        </w:tc>
      </w:tr>
      <w:tr w:rsidR="009F0300" w:rsidRPr="00B47D7B" w:rsidTr="00861FFA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3.2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2.2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3.5</w:t>
            </w:r>
          </w:p>
        </w:tc>
      </w:tr>
      <w:tr w:rsidR="009F0300" w:rsidRPr="00B47D7B" w:rsidTr="00861FFA">
        <w:tc>
          <w:tcPr>
            <w:tcW w:w="1843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200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5.9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3.</w:t>
            </w:r>
            <w:r w:rsidR="00414C6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3.0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5.3</w:t>
            </w:r>
          </w:p>
        </w:tc>
      </w:tr>
      <w:tr w:rsidR="009F0300" w:rsidRPr="00B47D7B" w:rsidTr="00861FFA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2014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4.0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</w:t>
            </w:r>
            <w:r w:rsidRPr="00606FFA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0300" w:rsidRPr="00606FFA" w:rsidRDefault="009F0300" w:rsidP="00355D4F">
            <w:pPr>
              <w:widowControl/>
              <w:overflowPunct w:val="0"/>
              <w:spacing w:line="340" w:lineRule="exact"/>
              <w:ind w:rightChars="32" w:right="7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    3.2</w:t>
            </w:r>
          </w:p>
        </w:tc>
      </w:tr>
    </w:tbl>
    <w:p w:rsidR="009F0300" w:rsidRPr="00CB01AD" w:rsidRDefault="009F0300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r w:rsidRPr="00CB01AD">
        <w:rPr>
          <w:rFonts w:ascii="Times New Roman" w:eastAsia="標楷體" w:hAnsi="Times New Roman" w:hint="eastAsia"/>
          <w:sz w:val="21"/>
        </w:rPr>
        <w:t>資料來源：行政院主計總處、各國官方網站。</w:t>
      </w:r>
    </w:p>
    <w:p w:rsidR="009F0300" w:rsidRPr="00CB01AD" w:rsidRDefault="009F0300" w:rsidP="00DC2CDC">
      <w:pPr>
        <w:widowControl/>
        <w:overflowPunct w:val="0"/>
        <w:snapToGrid w:val="0"/>
        <w:spacing w:beforeLines="50" w:before="180" w:line="440" w:lineRule="exact"/>
        <w:ind w:left="320" w:hangingChars="100" w:hanging="320"/>
        <w:jc w:val="both"/>
        <w:textAlignment w:val="top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6.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去年</w:t>
      </w:r>
      <w:r w:rsidR="00363521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實質薪資增幅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相對顯著</w:t>
      </w:r>
    </w:p>
    <w:p w:rsidR="009F0300" w:rsidRPr="00CB01AD" w:rsidRDefault="009F0300" w:rsidP="00DC2CDC">
      <w:pPr>
        <w:widowControl/>
        <w:overflowPunct w:val="0"/>
        <w:snapToGrid w:val="0"/>
        <w:spacing w:beforeLines="50" w:before="180" w:line="440" w:lineRule="exact"/>
        <w:ind w:leftChars="100" w:left="240" w:firstLineChars="200" w:firstLine="64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年間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平均實質薪資增幅雖不如</w:t>
      </w:r>
      <w:r w:rsidRPr="003130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韓國、新加坡，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惟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就業市場轉趨活絡，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實質薪資增幅為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2.4%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高於新加坡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(1.6%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，前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季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)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、韓國</w:t>
      </w:r>
      <w:r w:rsidR="00414C6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(1.</w:t>
      </w:r>
      <w:r w:rsidR="00414C6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3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%)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及香港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(-0.9%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，前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季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)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Default="009F0300" w:rsidP="00DC2CDC">
      <w:pPr>
        <w:widowControl/>
        <w:overflowPunct w:val="0"/>
        <w:snapToGrid w:val="0"/>
        <w:spacing w:beforeLines="20" w:before="72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lastRenderedPageBreak/>
        <w:t>－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2000</w:t>
      </w:r>
      <w:r w:rsidR="003C4BC6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至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2007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DD53A8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間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平均實質薪資成長率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為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0.2%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不及其他三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小龍。</w:t>
      </w:r>
    </w:p>
    <w:p w:rsidR="009F0300" w:rsidRPr="00CB01AD" w:rsidRDefault="009F0300" w:rsidP="00DC2CDC">
      <w:pPr>
        <w:widowControl/>
        <w:overflowPunct w:val="0"/>
        <w:snapToGrid w:val="0"/>
        <w:spacing w:beforeLines="20" w:before="72" w:line="440" w:lineRule="exact"/>
        <w:ind w:leftChars="100" w:left="560" w:hangingChars="100" w:hanging="320"/>
        <w:jc w:val="both"/>
        <w:textAlignment w:val="top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proofErr w:type="gramStart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－受全球</w:t>
      </w:r>
      <w:proofErr w:type="gramEnd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金融海嘯</w:t>
      </w:r>
      <w:proofErr w:type="gramStart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及歐債危機</w:t>
      </w:r>
      <w:proofErr w:type="gramEnd"/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等衝擊，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2008</w:t>
      </w:r>
      <w:r w:rsidR="0094178B" w:rsidRPr="00B97812">
        <w:rPr>
          <w:rFonts w:ascii="Times New Roman" w:eastAsia="標楷體" w:hAnsi="Times New Roman"/>
          <w:bCs/>
          <w:kern w:val="0"/>
          <w:sz w:val="32"/>
          <w:szCs w:val="32"/>
        </w:rPr>
        <w:t>-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2014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年</w:t>
      </w:r>
      <w:r w:rsidR="00363521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我國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平均實質薪資成長率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雖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減緩為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-0.4</w:t>
      </w:r>
      <w:r w:rsidRPr="00CB01AD"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%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但與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韓國、新加坡</w:t>
      </w:r>
      <w:r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及香港的差距已經大幅縮小</w:t>
      </w:r>
      <w:r w:rsidRPr="00CB01AD">
        <w:rPr>
          <w:rFonts w:ascii="Times New Roman" w:eastAsia="標楷體" w:hAnsi="Times New Roman" w:hint="eastAsia"/>
          <w:bCs/>
          <w:color w:val="000000"/>
          <w:kern w:val="0"/>
          <w:sz w:val="32"/>
          <w:szCs w:val="32"/>
        </w:rPr>
        <w:t>。</w:t>
      </w:r>
    </w:p>
    <w:p w:rsidR="009F0300" w:rsidRPr="00EC117A" w:rsidRDefault="009F0300" w:rsidP="00DC2CDC">
      <w:pPr>
        <w:overflowPunct w:val="0"/>
        <w:adjustRightInd w:val="0"/>
        <w:snapToGrid w:val="0"/>
        <w:spacing w:beforeLines="50" w:before="18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 w:rsidRPr="00EC117A">
        <w:rPr>
          <w:rFonts w:ascii="Times New Roman" w:eastAsia="標楷體" w:hAnsi="Times New Roman" w:hint="eastAsia"/>
          <w:sz w:val="28"/>
        </w:rPr>
        <w:t>表</w:t>
      </w:r>
      <w:r w:rsidRPr="00CB01AD">
        <w:rPr>
          <w:rFonts w:ascii="Times New Roman" w:eastAsia="標楷體" w:hAnsi="Times New Roman"/>
          <w:sz w:val="28"/>
        </w:rPr>
        <w:t xml:space="preserve">6 </w:t>
      </w:r>
      <w:r w:rsidRPr="00EC117A">
        <w:rPr>
          <w:rFonts w:ascii="Times New Roman" w:eastAsia="標楷體" w:hAnsi="Times New Roman" w:hint="eastAsia"/>
          <w:sz w:val="28"/>
        </w:rPr>
        <w:t>亞洲四小龍</w:t>
      </w:r>
      <w:r>
        <w:rPr>
          <w:rFonts w:ascii="Times New Roman" w:eastAsia="標楷體" w:hAnsi="Times New Roman" w:hint="eastAsia"/>
          <w:sz w:val="28"/>
        </w:rPr>
        <w:t>實質</w:t>
      </w:r>
      <w:r w:rsidRPr="00EC117A">
        <w:rPr>
          <w:rFonts w:ascii="Times New Roman" w:eastAsia="標楷體" w:hAnsi="Times New Roman" w:hint="eastAsia"/>
          <w:sz w:val="28"/>
        </w:rPr>
        <w:t>薪資成長率</w:t>
      </w:r>
    </w:p>
    <w:p w:rsidR="009F0300" w:rsidRPr="00CB01AD" w:rsidRDefault="009F0300" w:rsidP="005F5718">
      <w:pPr>
        <w:overflowPunct w:val="0"/>
        <w:spacing w:line="240" w:lineRule="exact"/>
        <w:ind w:left="482" w:rightChars="212" w:right="509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</w:t>
      </w:r>
      <w:r w:rsidRPr="00CB01AD">
        <w:rPr>
          <w:rFonts w:ascii="Times New Roman" w:eastAsia="標楷體" w:hAnsi="Times New Roman" w:hint="eastAsia"/>
          <w:szCs w:val="24"/>
        </w:rPr>
        <w:t>單位：</w:t>
      </w:r>
      <w:r w:rsidRPr="00CB01AD">
        <w:rPr>
          <w:rFonts w:ascii="Times New Roman" w:eastAsia="標楷體" w:hAnsi="Times New Roman"/>
          <w:szCs w:val="24"/>
        </w:rPr>
        <w:t>%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630"/>
        <w:gridCol w:w="1630"/>
        <w:gridCol w:w="1630"/>
        <w:gridCol w:w="1630"/>
      </w:tblGrid>
      <w:tr w:rsidR="009F0300" w:rsidRPr="00B47D7B" w:rsidTr="00861FFA">
        <w:trPr>
          <w:jc w:val="center"/>
        </w:trPr>
        <w:tc>
          <w:tcPr>
            <w:tcW w:w="1702" w:type="dxa"/>
            <w:tcBorders>
              <w:left w:val="nil"/>
            </w:tcBorders>
          </w:tcPr>
          <w:p w:rsidR="009F0300" w:rsidRPr="00B47D7B" w:rsidRDefault="009F0300" w:rsidP="00B47D7B">
            <w:pPr>
              <w:overflowPunct w:val="0"/>
              <w:spacing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0" w:type="dxa"/>
          </w:tcPr>
          <w:p w:rsidR="009F0300" w:rsidRPr="00B47D7B" w:rsidRDefault="00363521" w:rsidP="00B47D7B">
            <w:pPr>
              <w:overflowPunct w:val="0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中華民國</w:t>
            </w:r>
          </w:p>
        </w:tc>
        <w:tc>
          <w:tcPr>
            <w:tcW w:w="1630" w:type="dxa"/>
          </w:tcPr>
          <w:p w:rsidR="009F0300" w:rsidRPr="00B47D7B" w:rsidRDefault="009F0300" w:rsidP="00B47D7B">
            <w:pPr>
              <w:overflowPunct w:val="0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B47D7B">
              <w:rPr>
                <w:rFonts w:ascii="Times New Roman" w:eastAsia="標楷體" w:hAnsi="Times New Roman" w:hint="eastAsia"/>
                <w:szCs w:val="24"/>
              </w:rPr>
              <w:t>韓國</w:t>
            </w:r>
          </w:p>
        </w:tc>
        <w:tc>
          <w:tcPr>
            <w:tcW w:w="1630" w:type="dxa"/>
          </w:tcPr>
          <w:p w:rsidR="009F0300" w:rsidRPr="00B47D7B" w:rsidRDefault="009F0300" w:rsidP="00B47D7B">
            <w:pPr>
              <w:overflowPunct w:val="0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B47D7B">
              <w:rPr>
                <w:rFonts w:ascii="Times New Roman" w:eastAsia="標楷體" w:hAnsi="Times New Roman" w:hint="eastAsia"/>
                <w:szCs w:val="24"/>
              </w:rPr>
              <w:t>新加坡</w:t>
            </w:r>
          </w:p>
        </w:tc>
        <w:tc>
          <w:tcPr>
            <w:tcW w:w="1630" w:type="dxa"/>
            <w:tcBorders>
              <w:right w:val="nil"/>
            </w:tcBorders>
          </w:tcPr>
          <w:p w:rsidR="009F0300" w:rsidRPr="00B47D7B" w:rsidRDefault="009F0300" w:rsidP="00B47D7B">
            <w:pPr>
              <w:overflowPunct w:val="0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B47D7B">
              <w:rPr>
                <w:rFonts w:ascii="Times New Roman" w:eastAsia="標楷體" w:hAnsi="Times New Roman" w:hint="eastAsia"/>
                <w:szCs w:val="24"/>
              </w:rPr>
              <w:t>香港</w:t>
            </w:r>
          </w:p>
        </w:tc>
      </w:tr>
      <w:tr w:rsidR="009F0300" w:rsidRPr="00B47D7B" w:rsidTr="00861FFA">
        <w:trPr>
          <w:jc w:val="center"/>
        </w:trPr>
        <w:tc>
          <w:tcPr>
            <w:tcW w:w="1702" w:type="dxa"/>
            <w:tcBorders>
              <w:left w:val="nil"/>
              <w:bottom w:val="nil"/>
            </w:tcBorders>
            <w:vAlign w:val="center"/>
          </w:tcPr>
          <w:p w:rsidR="009F0300" w:rsidRPr="00B47D7B" w:rsidRDefault="009F0300" w:rsidP="00B47D7B">
            <w:pPr>
              <w:widowControl/>
              <w:overflowPunct w:val="0"/>
              <w:spacing w:line="276" w:lineRule="auto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2000-2014</w:t>
            </w:r>
          </w:p>
        </w:tc>
        <w:tc>
          <w:tcPr>
            <w:tcW w:w="1630" w:type="dxa"/>
            <w:tcBorders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65" w:right="63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-0.1</w:t>
            </w:r>
          </w:p>
        </w:tc>
        <w:tc>
          <w:tcPr>
            <w:tcW w:w="1630" w:type="dxa"/>
            <w:tcBorders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40" w:right="57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2.0</w:t>
            </w:r>
          </w:p>
        </w:tc>
        <w:tc>
          <w:tcPr>
            <w:tcW w:w="1630" w:type="dxa"/>
            <w:tcBorders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42" w:right="581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1.3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39" w:right="574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1.3</w:t>
            </w:r>
          </w:p>
        </w:tc>
      </w:tr>
      <w:tr w:rsidR="009F0300" w:rsidRPr="00B47D7B" w:rsidTr="00861FFA">
        <w:trPr>
          <w:jc w:val="center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9F0300" w:rsidRPr="00B47D7B" w:rsidRDefault="009F0300" w:rsidP="00B47D7B">
            <w:pPr>
              <w:widowControl/>
              <w:overflowPunct w:val="0"/>
              <w:spacing w:line="276" w:lineRule="auto"/>
              <w:ind w:leftChars="73" w:left="175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2000-2007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65" w:right="63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0.2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40" w:right="57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4.1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42" w:right="581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2.8 </w:t>
            </w: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39" w:right="574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1.9 </w:t>
            </w:r>
          </w:p>
        </w:tc>
      </w:tr>
      <w:tr w:rsidR="009F0300" w:rsidRPr="00B47D7B" w:rsidTr="00861FFA">
        <w:trPr>
          <w:jc w:val="center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9F0300" w:rsidRPr="00B47D7B" w:rsidRDefault="009F0300" w:rsidP="00B47D7B">
            <w:pPr>
              <w:widowControl/>
              <w:overflowPunct w:val="0"/>
              <w:spacing w:line="276" w:lineRule="auto"/>
              <w:ind w:leftChars="73" w:left="175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2008-2014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65" w:right="63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-0.4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40" w:right="57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-0.4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42" w:right="581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-0.4 </w:t>
            </w: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  <w:tcMar>
              <w:left w:w="227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rightChars="239" w:right="574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0.7 </w:t>
            </w:r>
          </w:p>
        </w:tc>
      </w:tr>
      <w:tr w:rsidR="009F0300" w:rsidRPr="00B47D7B" w:rsidTr="00861FFA">
        <w:trPr>
          <w:jc w:val="center"/>
        </w:trPr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leftChars="73" w:left="175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2014</w:t>
            </w:r>
          </w:p>
          <w:p w:rsidR="009F0300" w:rsidRPr="00B47D7B" w:rsidRDefault="009F0300" w:rsidP="00B47D7B">
            <w:pPr>
              <w:widowControl/>
              <w:overflowPunct w:val="0"/>
              <w:ind w:leftChars="73" w:left="175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leftChars="-23" w:left="-55" w:rightChars="265" w:right="63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>2.4</w:t>
            </w:r>
          </w:p>
          <w:p w:rsidR="009F0300" w:rsidRPr="00B47D7B" w:rsidRDefault="009F0300" w:rsidP="00B47D7B">
            <w:pPr>
              <w:widowControl/>
              <w:overflowPunct w:val="0"/>
              <w:ind w:leftChars="-23" w:left="-55" w:rightChars="265" w:right="636"/>
              <w:jc w:val="righ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F0300" w:rsidRPr="00B47D7B" w:rsidRDefault="00414C6D" w:rsidP="00B47D7B">
            <w:pPr>
              <w:widowControl/>
              <w:overflowPunct w:val="0"/>
              <w:ind w:leftChars="-23" w:left="-55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1.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3</w:t>
            </w:r>
          </w:p>
          <w:p w:rsidR="009F0300" w:rsidRPr="00B47D7B" w:rsidRDefault="009F0300" w:rsidP="00B47D7B">
            <w:pPr>
              <w:widowControl/>
              <w:overflowPunct w:val="0"/>
              <w:ind w:leftChars="-23" w:left="-55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leftChars="-23" w:left="-55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1.6</w:t>
            </w:r>
          </w:p>
          <w:p w:rsidR="009F0300" w:rsidRPr="00B47D7B" w:rsidRDefault="009F0300" w:rsidP="00B47D7B">
            <w:pPr>
              <w:widowControl/>
              <w:overflowPunct w:val="0"/>
              <w:ind w:leftChars="-23" w:left="-55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47D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B47D7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至第</w:t>
            </w:r>
            <w:r w:rsidRPr="00B47D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B47D7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季</w:t>
            </w:r>
            <w:r w:rsidRPr="00B47D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300" w:rsidRPr="00B47D7B" w:rsidRDefault="009F0300" w:rsidP="00B47D7B">
            <w:pPr>
              <w:widowControl/>
              <w:overflowPunct w:val="0"/>
              <w:ind w:leftChars="-23" w:left="-55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B47D7B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-0.9</w:t>
            </w:r>
          </w:p>
          <w:p w:rsidR="009F0300" w:rsidRPr="00B47D7B" w:rsidRDefault="009F0300" w:rsidP="00B47D7B">
            <w:pPr>
              <w:widowControl/>
              <w:overflowPunct w:val="0"/>
              <w:ind w:leftChars="-23" w:left="-55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47D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B47D7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至第</w:t>
            </w:r>
            <w:r w:rsidRPr="00B47D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B47D7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季</w:t>
            </w:r>
            <w:r w:rsidRPr="00B47D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</w:tr>
    </w:tbl>
    <w:p w:rsidR="009F0300" w:rsidRPr="00EC117A" w:rsidRDefault="00414C6D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proofErr w:type="gramStart"/>
      <w:r>
        <w:rPr>
          <w:rFonts w:ascii="Times New Roman" w:eastAsia="標楷體" w:hAnsi="Times New Roman" w:hint="eastAsia"/>
          <w:sz w:val="21"/>
        </w:rPr>
        <w:t>註</w:t>
      </w:r>
      <w:proofErr w:type="gramEnd"/>
      <w:r>
        <w:rPr>
          <w:rFonts w:ascii="Times New Roman" w:eastAsia="標楷體" w:hAnsi="Times New Roman" w:hint="eastAsia"/>
          <w:sz w:val="21"/>
        </w:rPr>
        <w:t>：</w:t>
      </w:r>
      <w:r w:rsidR="009F0300" w:rsidRPr="00EC117A">
        <w:rPr>
          <w:rFonts w:ascii="Times New Roman" w:eastAsia="標楷體" w:hAnsi="Times New Roman" w:hint="eastAsia"/>
          <w:sz w:val="21"/>
        </w:rPr>
        <w:t>新加坡、香港</w:t>
      </w:r>
      <w:r w:rsidRPr="00EC117A">
        <w:rPr>
          <w:rFonts w:ascii="Times New Roman" w:eastAsia="標楷體" w:hAnsi="Times New Roman" w:hint="eastAsia"/>
          <w:sz w:val="21"/>
        </w:rPr>
        <w:t>薪資</w:t>
      </w:r>
      <w:r w:rsidR="009F0300" w:rsidRPr="00EC117A">
        <w:rPr>
          <w:rFonts w:ascii="Times New Roman" w:eastAsia="標楷體" w:hAnsi="Times New Roman" w:hint="eastAsia"/>
          <w:sz w:val="21"/>
        </w:rPr>
        <w:t>僅發布至</w:t>
      </w:r>
      <w:r w:rsidR="009F0300" w:rsidRPr="00EC117A">
        <w:rPr>
          <w:rFonts w:ascii="Times New Roman" w:eastAsia="標楷體" w:hAnsi="Times New Roman"/>
          <w:sz w:val="21"/>
        </w:rPr>
        <w:t>2014</w:t>
      </w:r>
      <w:r w:rsidR="009F0300" w:rsidRPr="00EC117A">
        <w:rPr>
          <w:rFonts w:ascii="Times New Roman" w:eastAsia="標楷體" w:hAnsi="Times New Roman" w:hint="eastAsia"/>
          <w:sz w:val="21"/>
        </w:rPr>
        <w:t>年第</w:t>
      </w:r>
      <w:r w:rsidR="009F0300" w:rsidRPr="00EC117A">
        <w:rPr>
          <w:rFonts w:ascii="Times New Roman" w:eastAsia="標楷體" w:hAnsi="Times New Roman"/>
          <w:sz w:val="21"/>
        </w:rPr>
        <w:t>3</w:t>
      </w:r>
      <w:r w:rsidR="009F0300" w:rsidRPr="00EC117A">
        <w:rPr>
          <w:rFonts w:ascii="Times New Roman" w:eastAsia="標楷體" w:hAnsi="Times New Roman" w:hint="eastAsia"/>
          <w:sz w:val="21"/>
        </w:rPr>
        <w:t>季。</w:t>
      </w:r>
    </w:p>
    <w:p w:rsidR="009F0300" w:rsidRDefault="009F0300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  <w:r w:rsidRPr="00EC117A">
        <w:rPr>
          <w:rFonts w:ascii="Times New Roman" w:eastAsia="標楷體" w:hAnsi="Times New Roman" w:hint="eastAsia"/>
          <w:sz w:val="21"/>
        </w:rPr>
        <w:t>資料來源：行政院主計總處，</w:t>
      </w:r>
      <w:smartTag w:uri="urn:schemas-microsoft-com:office:smarttags" w:element="chsdate">
        <w:smartTagPr>
          <w:attr w:name="Year" w:val="2015"/>
          <w:attr w:name="Month" w:val="2"/>
          <w:attr w:name="Day" w:val="26"/>
          <w:attr w:name="IsLunarDate" w:val="False"/>
          <w:attr w:name="IsROCDate" w:val="False"/>
        </w:smartTagPr>
        <w:r w:rsidRPr="00EC117A">
          <w:rPr>
            <w:rFonts w:ascii="Times New Roman" w:eastAsia="標楷體" w:hAnsi="Times New Roman"/>
            <w:sz w:val="21"/>
          </w:rPr>
          <w:t>2015</w:t>
        </w:r>
        <w:r w:rsidRPr="00EC117A">
          <w:rPr>
            <w:rFonts w:ascii="Times New Roman" w:eastAsia="標楷體" w:hAnsi="Times New Roman" w:hint="eastAsia"/>
            <w:sz w:val="21"/>
          </w:rPr>
          <w:t>年</w:t>
        </w:r>
        <w:r w:rsidRPr="00EC117A">
          <w:rPr>
            <w:rFonts w:ascii="Times New Roman" w:eastAsia="標楷體" w:hAnsi="Times New Roman"/>
            <w:sz w:val="21"/>
          </w:rPr>
          <w:t>2</w:t>
        </w:r>
        <w:r w:rsidRPr="00EC117A">
          <w:rPr>
            <w:rFonts w:ascii="Times New Roman" w:eastAsia="標楷體" w:hAnsi="Times New Roman" w:hint="eastAsia"/>
            <w:sz w:val="21"/>
          </w:rPr>
          <w:t>月</w:t>
        </w:r>
        <w:r w:rsidRPr="00EC117A">
          <w:rPr>
            <w:rFonts w:ascii="Times New Roman" w:eastAsia="標楷體" w:hAnsi="Times New Roman"/>
            <w:sz w:val="21"/>
          </w:rPr>
          <w:t>26</w:t>
        </w:r>
        <w:r w:rsidRPr="00EC117A">
          <w:rPr>
            <w:rFonts w:ascii="Times New Roman" w:eastAsia="標楷體" w:hAnsi="Times New Roman" w:hint="eastAsia"/>
            <w:sz w:val="21"/>
          </w:rPr>
          <w:t>日</w:t>
        </w:r>
      </w:smartTag>
      <w:r w:rsidRPr="00EC117A">
        <w:rPr>
          <w:rFonts w:ascii="Times New Roman" w:eastAsia="標楷體" w:hAnsi="Times New Roman" w:hint="eastAsia"/>
          <w:sz w:val="21"/>
        </w:rPr>
        <w:t>；</w:t>
      </w:r>
      <w:r w:rsidRPr="00EC117A">
        <w:rPr>
          <w:rFonts w:ascii="Times New Roman" w:eastAsia="標楷體" w:hAnsi="Times New Roman"/>
          <w:sz w:val="21"/>
        </w:rPr>
        <w:t>CEIC</w:t>
      </w:r>
      <w:r w:rsidRPr="00EC117A">
        <w:rPr>
          <w:rFonts w:ascii="Times New Roman" w:eastAsia="標楷體" w:hAnsi="Times New Roman" w:hint="eastAsia"/>
          <w:sz w:val="21"/>
        </w:rPr>
        <w:t>資料庫。</w:t>
      </w:r>
    </w:p>
    <w:p w:rsidR="009F0300" w:rsidRDefault="009F0300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</w:p>
    <w:p w:rsidR="00EC31AB" w:rsidRDefault="00EC31AB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</w:p>
    <w:p w:rsidR="00EC31AB" w:rsidRPr="00EC117A" w:rsidRDefault="00EC31AB" w:rsidP="00C93497">
      <w:pPr>
        <w:overflowPunct w:val="0"/>
        <w:spacing w:line="300" w:lineRule="exact"/>
        <w:rPr>
          <w:rFonts w:ascii="Times New Roman" w:eastAsia="標楷體" w:hAnsi="Times New Roman"/>
          <w:sz w:val="21"/>
        </w:rPr>
      </w:pPr>
    </w:p>
    <w:p w:rsidR="009F0300" w:rsidRDefault="00DC2CDC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191770</wp:posOffset>
                </wp:positionV>
                <wp:extent cx="368300" cy="320040"/>
                <wp:effectExtent l="0" t="0" r="0" b="381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00" w:rsidRDefault="009F0300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15pt;margin-top:15.1pt;width:29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2OygIAALw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" filled="f" stroked="f">
                <v:textbox style="mso-fit-shape-to-text:t">
                  <w:txbxContent>
                    <w:p w:rsidR="009F0300" w:rsidRDefault="009F0300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F0300">
        <w:rPr>
          <w:rFonts w:ascii="Times New Roman" w:eastAsia="標楷體" w:hAnsi="Times New Roman" w:hint="eastAsia"/>
          <w:sz w:val="28"/>
        </w:rPr>
        <w:t>附圖</w:t>
      </w:r>
      <w:r w:rsidR="009F0300">
        <w:rPr>
          <w:rFonts w:ascii="Times New Roman" w:eastAsia="標楷體" w:hAnsi="Times New Roman"/>
          <w:sz w:val="28"/>
        </w:rPr>
        <w:t xml:space="preserve"> </w:t>
      </w:r>
      <w:r w:rsidR="009F0300">
        <w:rPr>
          <w:rFonts w:ascii="Times New Roman" w:eastAsia="標楷體" w:hAnsi="Times New Roman" w:hint="eastAsia"/>
          <w:sz w:val="28"/>
        </w:rPr>
        <w:t>非典型就業比率之國際比較</w:t>
      </w:r>
    </w:p>
    <w:p w:rsidR="009F0300" w:rsidRDefault="00DC2CDC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73660</wp:posOffset>
            </wp:positionV>
            <wp:extent cx="5149850" cy="234315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t="10503" r="1852" b="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00" w:rsidRDefault="009F0300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</w:p>
    <w:p w:rsidR="009F0300" w:rsidRDefault="009F0300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</w:p>
    <w:p w:rsidR="009F0300" w:rsidRDefault="009F0300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</w:p>
    <w:p w:rsidR="009F0300" w:rsidRDefault="009F0300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</w:p>
    <w:p w:rsidR="009F0300" w:rsidRDefault="00DC2CDC" w:rsidP="00DC2CDC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02C109" wp14:editId="63B4787E">
                <wp:simplePos x="0" y="0"/>
                <wp:positionH relativeFrom="column">
                  <wp:posOffset>1688465</wp:posOffset>
                </wp:positionH>
                <wp:positionV relativeFrom="paragraph">
                  <wp:posOffset>262890</wp:posOffset>
                </wp:positionV>
                <wp:extent cx="323850" cy="1981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00" w:rsidRPr="00427402" w:rsidRDefault="009F0300" w:rsidP="00327B30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spacing w:val="-24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B47D7B">
                              <w:rPr>
                                <w:rFonts w:ascii="Times New Roman" w:hAnsi="Times New Roman" w:cs="Times New Roman"/>
                                <w:color w:val="000000"/>
                                <w:spacing w:val="-24"/>
                                <w:kern w:val="16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132.95pt;margin-top:20.7pt;width:25.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" stroked="f">
                <v:textbox>
                  <w:txbxContent>
                    <w:p w:rsidR="009F0300" w:rsidRPr="00427402" w:rsidRDefault="009F0300" w:rsidP="00327B30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textAlignment w:val="baseline"/>
                        <w:rPr>
                          <w:spacing w:val="-24"/>
                          <w:kern w:val="16"/>
                          <w:sz w:val="16"/>
                          <w:szCs w:val="16"/>
                        </w:rPr>
                      </w:pPr>
                      <w:r w:rsidRPr="00B47D7B">
                        <w:rPr>
                          <w:rFonts w:ascii="Times New Roman" w:hAnsi="Times New Roman" w:cs="Times New Roman"/>
                          <w:color w:val="000000"/>
                          <w:spacing w:val="-24"/>
                          <w:kern w:val="16"/>
                          <w:sz w:val="16"/>
                          <w:szCs w:val="16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9F0300" w:rsidRPr="00C235CA" w:rsidRDefault="004C4158" w:rsidP="00DE4A7B">
      <w:pPr>
        <w:overflowPunct w:val="0"/>
        <w:spacing w:afterLines="50" w:after="180" w:line="360" w:lineRule="exact"/>
        <w:ind w:left="482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8646F" wp14:editId="0601C946">
                <wp:simplePos x="0" y="0"/>
                <wp:positionH relativeFrom="column">
                  <wp:posOffset>2794953</wp:posOffset>
                </wp:positionH>
                <wp:positionV relativeFrom="paragraph">
                  <wp:posOffset>140335</wp:posOffset>
                </wp:positionV>
                <wp:extent cx="361950" cy="19812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58" w:rsidRPr="004C4158" w:rsidRDefault="004C4158" w:rsidP="004C4158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rFonts w:ascii="Times New Roman" w:eastAsia="Arial Unicode MS" w:hAnsi="Times New Roman" w:cs="Times New Roman"/>
                                <w:spacing w:val="-24"/>
                                <w:kern w:val="16"/>
                                <w:sz w:val="22"/>
                                <w:szCs w:val="16"/>
                              </w:rPr>
                            </w:pPr>
                            <w:r w:rsidRPr="004C4158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pacing w:val="-24"/>
                                <w:kern w:val="16"/>
                                <w:sz w:val="22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color w:val="000000"/>
                                <w:spacing w:val="-24"/>
                                <w:kern w:val="16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4C4158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pacing w:val="-24"/>
                                <w:kern w:val="16"/>
                                <w:sz w:val="2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left:0;text-align:left;margin-left:220.1pt;margin-top:11.0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" stroked="f">
                <v:textbox>
                  <w:txbxContent>
                    <w:p w:rsidR="004C4158" w:rsidRPr="004C4158" w:rsidRDefault="004C4158" w:rsidP="004C4158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textAlignment w:val="baseline"/>
                        <w:rPr>
                          <w:rFonts w:ascii="Times New Roman" w:eastAsia="Arial Unicode MS" w:hAnsi="Times New Roman" w:cs="Times New Roman"/>
                          <w:spacing w:val="-24"/>
                          <w:kern w:val="16"/>
                          <w:sz w:val="22"/>
                          <w:szCs w:val="16"/>
                        </w:rPr>
                      </w:pPr>
                      <w:r w:rsidRPr="004C4158">
                        <w:rPr>
                          <w:rFonts w:ascii="Times New Roman" w:eastAsia="Arial Unicode MS" w:hAnsi="Times New Roman" w:cs="Times New Roman"/>
                          <w:color w:val="000000"/>
                          <w:spacing w:val="-24"/>
                          <w:kern w:val="16"/>
                          <w:sz w:val="22"/>
                          <w:szCs w:val="16"/>
                        </w:rPr>
                        <w:t>6.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color w:val="000000"/>
                          <w:spacing w:val="-24"/>
                          <w:kern w:val="16"/>
                          <w:sz w:val="22"/>
                          <w:szCs w:val="16"/>
                        </w:rPr>
                        <w:t xml:space="preserve"> </w:t>
                      </w:r>
                      <w:r w:rsidRPr="004C4158">
                        <w:rPr>
                          <w:rFonts w:ascii="Times New Roman" w:eastAsia="Arial Unicode MS" w:hAnsi="Times New Roman" w:cs="Times New Roman"/>
                          <w:color w:val="000000"/>
                          <w:spacing w:val="-24"/>
                          <w:kern w:val="16"/>
                          <w:sz w:val="22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2C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300990</wp:posOffset>
                </wp:positionV>
                <wp:extent cx="323850" cy="198120"/>
                <wp:effectExtent l="0" t="0" r="0" b="0"/>
                <wp:wrapNone/>
                <wp:docPr id="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00" w:rsidRPr="00427402" w:rsidRDefault="009F0300" w:rsidP="00327B30">
                            <w:pPr>
                              <w:pStyle w:val="a3"/>
                              <w:spacing w:line="200" w:lineRule="exact"/>
                              <w:jc w:val="center"/>
                              <w:textAlignment w:val="baseline"/>
                              <w:rPr>
                                <w:spacing w:val="-24"/>
                                <w:kern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4"/>
                                <w:kern w:val="1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-14.05pt;margin-top:23.7pt;width:25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HxmwIAABk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" stroked="f">
                <v:textbox>
                  <w:txbxContent>
                    <w:p w:rsidR="009F0300" w:rsidRPr="00427402" w:rsidRDefault="009F0300" w:rsidP="00327B30">
                      <w:pPr>
                        <w:pStyle w:val="a3"/>
                        <w:spacing w:line="200" w:lineRule="exact"/>
                        <w:jc w:val="center"/>
                        <w:textAlignment w:val="baseline"/>
                        <w:rPr>
                          <w:spacing w:val="-24"/>
                          <w:kern w:val="16"/>
                          <w:sz w:val="16"/>
                          <w:szCs w:val="16"/>
                        </w:rPr>
                      </w:pPr>
                      <w:r>
                        <w:rPr>
                          <w:spacing w:val="-24"/>
                          <w:kern w:val="16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94686" w:rsidRDefault="009F0300" w:rsidP="003B4778">
      <w:pPr>
        <w:overflowPunct w:val="0"/>
        <w:spacing w:before="180" w:line="300" w:lineRule="exact"/>
        <w:ind w:left="284"/>
        <w:rPr>
          <w:rFonts w:ascii="Times New Roman" w:eastAsia="標楷體" w:hAnsi="Times New Roman"/>
          <w:sz w:val="22"/>
        </w:rPr>
      </w:pPr>
      <w:proofErr w:type="gramStart"/>
      <w:r>
        <w:rPr>
          <w:rFonts w:ascii="Times New Roman" w:eastAsia="標楷體" w:hAnsi="Times New Roman" w:hint="eastAsia"/>
          <w:sz w:val="22"/>
        </w:rPr>
        <w:t>註</w:t>
      </w:r>
      <w:proofErr w:type="gramEnd"/>
      <w:r>
        <w:rPr>
          <w:rFonts w:ascii="Times New Roman" w:eastAsia="標楷體" w:hAnsi="Times New Roman" w:hint="eastAsia"/>
          <w:sz w:val="22"/>
        </w:rPr>
        <w:t>：</w:t>
      </w:r>
      <w:r w:rsidR="00A94686">
        <w:rPr>
          <w:rFonts w:ascii="Times New Roman" w:eastAsia="標楷體" w:hAnsi="Times New Roman" w:hint="eastAsia"/>
          <w:sz w:val="22"/>
        </w:rPr>
        <w:t xml:space="preserve">1. </w:t>
      </w:r>
      <w:r w:rsidR="003B4778">
        <w:rPr>
          <w:rFonts w:ascii="Times New Roman" w:eastAsia="標楷體" w:hAnsi="Times New Roman" w:hint="eastAsia"/>
          <w:sz w:val="22"/>
        </w:rPr>
        <w:t>圖中數據</w:t>
      </w:r>
      <w:r>
        <w:rPr>
          <w:rFonts w:ascii="Times New Roman" w:eastAsia="標楷體" w:hAnsi="Times New Roman" w:hint="eastAsia"/>
          <w:sz w:val="22"/>
        </w:rPr>
        <w:t>為各類型就業人數占總就業人數之比率。</w:t>
      </w:r>
    </w:p>
    <w:p w:rsidR="00A94686" w:rsidRDefault="00A94686" w:rsidP="0081733F">
      <w:pPr>
        <w:overflowPunct w:val="0"/>
        <w:spacing w:beforeLines="20" w:before="72" w:line="240" w:lineRule="exact"/>
        <w:ind w:left="284" w:rightChars="212" w:right="509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   2.</w:t>
      </w:r>
      <w:r w:rsidR="003B4778">
        <w:rPr>
          <w:rFonts w:ascii="Times New Roman" w:eastAsia="標楷體" w:hAnsi="Times New Roman" w:hint="eastAsia"/>
          <w:sz w:val="22"/>
        </w:rPr>
        <w:t xml:space="preserve"> </w:t>
      </w:r>
      <w:r w:rsidR="003B4778">
        <w:rPr>
          <w:rFonts w:ascii="新細明體" w:hAnsi="新細明體" w:hint="eastAsia"/>
          <w:sz w:val="22"/>
        </w:rPr>
        <w:t>「</w:t>
      </w:r>
      <w:r w:rsidR="003B4778">
        <w:rPr>
          <w:rFonts w:ascii="Times New Roman" w:eastAsia="標楷體" w:hAnsi="Times New Roman" w:hint="eastAsia"/>
          <w:sz w:val="22"/>
        </w:rPr>
        <w:t>部分工時</w:t>
      </w:r>
      <w:r w:rsidR="003B4778">
        <w:rPr>
          <w:rFonts w:ascii="新細明體" w:hAnsi="新細明體" w:hint="eastAsia"/>
          <w:sz w:val="22"/>
        </w:rPr>
        <w:t>」</w:t>
      </w:r>
      <w:proofErr w:type="gramStart"/>
      <w:r>
        <w:rPr>
          <w:rFonts w:ascii="Times New Roman" w:eastAsia="標楷體" w:hAnsi="Times New Roman" w:hint="eastAsia"/>
          <w:sz w:val="22"/>
        </w:rPr>
        <w:t>均為</w:t>
      </w:r>
      <w:r>
        <w:rPr>
          <w:rFonts w:ascii="Times New Roman" w:eastAsia="標楷體" w:hAnsi="Times New Roman" w:hint="eastAsia"/>
          <w:sz w:val="22"/>
        </w:rPr>
        <w:t>2013</w:t>
      </w:r>
      <w:r>
        <w:rPr>
          <w:rFonts w:ascii="Times New Roman" w:eastAsia="標楷體" w:hAnsi="Times New Roman" w:hint="eastAsia"/>
          <w:sz w:val="22"/>
        </w:rPr>
        <w:t>年</w:t>
      </w:r>
      <w:proofErr w:type="gramEnd"/>
      <w:r>
        <w:rPr>
          <w:rFonts w:ascii="Times New Roman" w:eastAsia="標楷體" w:hAnsi="Times New Roman" w:hint="eastAsia"/>
          <w:sz w:val="22"/>
        </w:rPr>
        <w:t>資料；</w:t>
      </w:r>
      <w:r w:rsidR="003B4778">
        <w:rPr>
          <w:rFonts w:ascii="新細明體" w:hAnsi="新細明體" w:hint="eastAsia"/>
          <w:sz w:val="22"/>
        </w:rPr>
        <w:t>「</w:t>
      </w:r>
      <w:r>
        <w:rPr>
          <w:rFonts w:ascii="Times New Roman" w:eastAsia="標楷體" w:hAnsi="Times New Roman" w:hint="eastAsia"/>
          <w:sz w:val="22"/>
        </w:rPr>
        <w:t>派遣勞工</w:t>
      </w:r>
      <w:r w:rsidR="003B4778">
        <w:rPr>
          <w:rFonts w:ascii="新細明體" w:hAnsi="新細明體" w:hint="eastAsia"/>
          <w:sz w:val="22"/>
        </w:rPr>
        <w:t>」</w:t>
      </w:r>
      <w:r>
        <w:rPr>
          <w:rFonts w:ascii="Times New Roman" w:eastAsia="標楷體" w:hAnsi="Times New Roman" w:hint="eastAsia"/>
          <w:sz w:val="22"/>
        </w:rPr>
        <w:t>部分，除</w:t>
      </w:r>
      <w:r w:rsidR="00A85B69">
        <w:rPr>
          <w:rFonts w:ascii="Times New Roman" w:eastAsia="標楷體" w:hAnsi="Times New Roman" w:hint="eastAsia"/>
          <w:sz w:val="22"/>
        </w:rPr>
        <w:t>臺灣</w:t>
      </w:r>
      <w:r>
        <w:rPr>
          <w:rFonts w:ascii="Times New Roman" w:eastAsia="標楷體" w:hAnsi="Times New Roman" w:hint="eastAsia"/>
          <w:sz w:val="22"/>
        </w:rPr>
        <w:t>為</w:t>
      </w:r>
      <w:r>
        <w:rPr>
          <w:rFonts w:ascii="Times New Roman" w:eastAsia="標楷體" w:hAnsi="Times New Roman" w:hint="eastAsia"/>
          <w:sz w:val="22"/>
        </w:rPr>
        <w:t>2013</w:t>
      </w:r>
      <w:r>
        <w:rPr>
          <w:rFonts w:ascii="Times New Roman" w:eastAsia="標楷體" w:hAnsi="Times New Roman" w:hint="eastAsia"/>
          <w:sz w:val="22"/>
        </w:rPr>
        <w:t>年</w:t>
      </w:r>
      <w:r>
        <w:rPr>
          <w:rFonts w:ascii="Times New Roman" w:eastAsia="標楷體" w:hAnsi="Times New Roman" w:hint="eastAsia"/>
          <w:sz w:val="22"/>
        </w:rPr>
        <w:t xml:space="preserve">   </w:t>
      </w:r>
    </w:p>
    <w:p w:rsidR="00A85B69" w:rsidRDefault="00A94686" w:rsidP="0081733F">
      <w:pPr>
        <w:overflowPunct w:val="0"/>
        <w:spacing w:beforeLines="20" w:before="72" w:line="240" w:lineRule="exact"/>
        <w:ind w:left="567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   </w:t>
      </w:r>
      <w:r>
        <w:rPr>
          <w:rFonts w:ascii="Times New Roman" w:eastAsia="標楷體" w:hAnsi="Times New Roman" w:hint="eastAsia"/>
          <w:sz w:val="22"/>
        </w:rPr>
        <w:t>外，其餘</w:t>
      </w:r>
      <w:proofErr w:type="gramStart"/>
      <w:r>
        <w:rPr>
          <w:rFonts w:ascii="Times New Roman" w:eastAsia="標楷體" w:hAnsi="Times New Roman" w:hint="eastAsia"/>
          <w:sz w:val="22"/>
        </w:rPr>
        <w:t>國家均為</w:t>
      </w:r>
      <w:r>
        <w:rPr>
          <w:rFonts w:ascii="Times New Roman" w:eastAsia="標楷體" w:hAnsi="Times New Roman" w:hint="eastAsia"/>
          <w:sz w:val="22"/>
        </w:rPr>
        <w:t>2011</w:t>
      </w:r>
      <w:r>
        <w:rPr>
          <w:rFonts w:ascii="Times New Roman" w:eastAsia="標楷體" w:hAnsi="Times New Roman" w:hint="eastAsia"/>
          <w:sz w:val="22"/>
        </w:rPr>
        <w:t>年</w:t>
      </w:r>
      <w:proofErr w:type="gramEnd"/>
      <w:r>
        <w:rPr>
          <w:rFonts w:ascii="Times New Roman" w:eastAsia="標楷體" w:hAnsi="Times New Roman" w:hint="eastAsia"/>
          <w:sz w:val="22"/>
        </w:rPr>
        <w:t>資料；</w:t>
      </w:r>
      <w:r w:rsidR="003B4778">
        <w:rPr>
          <w:rFonts w:ascii="新細明體" w:hAnsi="新細明體" w:hint="eastAsia"/>
          <w:sz w:val="22"/>
        </w:rPr>
        <w:t>「</w:t>
      </w:r>
      <w:r>
        <w:rPr>
          <w:rFonts w:ascii="Times New Roman" w:eastAsia="標楷體" w:hAnsi="Times New Roman" w:hint="eastAsia"/>
          <w:sz w:val="22"/>
        </w:rPr>
        <w:t>臨時性勞工</w:t>
      </w:r>
      <w:r w:rsidR="003B4778">
        <w:rPr>
          <w:rFonts w:ascii="新細明體" w:hAnsi="新細明體" w:hint="eastAsia"/>
          <w:sz w:val="22"/>
        </w:rPr>
        <w:t>」</w:t>
      </w:r>
      <w:r>
        <w:rPr>
          <w:rFonts w:ascii="Times New Roman" w:eastAsia="標楷體" w:hAnsi="Times New Roman" w:hint="eastAsia"/>
          <w:sz w:val="22"/>
        </w:rPr>
        <w:t>部分，除美國為</w:t>
      </w:r>
      <w:r>
        <w:rPr>
          <w:rFonts w:ascii="Times New Roman" w:eastAsia="標楷體" w:hAnsi="Times New Roman" w:hint="eastAsia"/>
          <w:sz w:val="22"/>
        </w:rPr>
        <w:t>2005</w:t>
      </w:r>
    </w:p>
    <w:p w:rsidR="00A94686" w:rsidRDefault="00A85B69" w:rsidP="0081733F">
      <w:pPr>
        <w:overflowPunct w:val="0"/>
        <w:spacing w:beforeLines="20" w:before="72" w:line="240" w:lineRule="exact"/>
        <w:ind w:left="567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   </w:t>
      </w:r>
      <w:r w:rsidR="00A94686">
        <w:rPr>
          <w:rFonts w:ascii="Times New Roman" w:eastAsia="標楷體" w:hAnsi="Times New Roman" w:hint="eastAsia"/>
          <w:sz w:val="22"/>
        </w:rPr>
        <w:t>年</w:t>
      </w:r>
      <w:r>
        <w:rPr>
          <w:rFonts w:ascii="Times New Roman" w:eastAsia="標楷體" w:hAnsi="Times New Roman" w:hint="eastAsia"/>
          <w:sz w:val="22"/>
        </w:rPr>
        <w:t>資料</w:t>
      </w:r>
      <w:r w:rsidR="00A94686">
        <w:rPr>
          <w:rFonts w:ascii="Times New Roman" w:eastAsia="標楷體" w:hAnsi="Times New Roman" w:hint="eastAsia"/>
          <w:sz w:val="22"/>
        </w:rPr>
        <w:t>、</w:t>
      </w:r>
      <w:r>
        <w:rPr>
          <w:rFonts w:ascii="Times New Roman" w:eastAsia="標楷體" w:hAnsi="Times New Roman" w:hint="eastAsia"/>
          <w:sz w:val="22"/>
        </w:rPr>
        <w:t>臺灣</w:t>
      </w:r>
      <w:r w:rsidR="003B4778">
        <w:rPr>
          <w:rFonts w:ascii="Times New Roman" w:eastAsia="標楷體" w:hAnsi="Times New Roman" w:hint="eastAsia"/>
          <w:sz w:val="22"/>
        </w:rPr>
        <w:t>與</w:t>
      </w:r>
      <w:r w:rsidR="00A94686">
        <w:rPr>
          <w:rFonts w:ascii="Times New Roman" w:eastAsia="標楷體" w:hAnsi="Times New Roman" w:hint="eastAsia"/>
          <w:sz w:val="22"/>
        </w:rPr>
        <w:t>日本為</w:t>
      </w:r>
      <w:r w:rsidR="00A94686">
        <w:rPr>
          <w:rFonts w:ascii="Times New Roman" w:eastAsia="標楷體" w:hAnsi="Times New Roman" w:hint="eastAsia"/>
          <w:sz w:val="22"/>
        </w:rPr>
        <w:t>2012</w:t>
      </w:r>
      <w:r w:rsidR="00A94686">
        <w:rPr>
          <w:rFonts w:ascii="Times New Roman" w:eastAsia="標楷體" w:hAnsi="Times New Roman" w:hint="eastAsia"/>
          <w:sz w:val="22"/>
        </w:rPr>
        <w:t>年</w:t>
      </w:r>
      <w:r w:rsidR="003B4778">
        <w:rPr>
          <w:rFonts w:ascii="Times New Roman" w:eastAsia="標楷體" w:hAnsi="Times New Roman" w:hint="eastAsia"/>
          <w:sz w:val="22"/>
        </w:rPr>
        <w:t>資料</w:t>
      </w:r>
      <w:r>
        <w:rPr>
          <w:rFonts w:ascii="Times New Roman" w:eastAsia="標楷體" w:hAnsi="Times New Roman" w:hint="eastAsia"/>
          <w:sz w:val="22"/>
        </w:rPr>
        <w:t>之</w:t>
      </w:r>
      <w:r w:rsidR="003B4778">
        <w:rPr>
          <w:rFonts w:ascii="Times New Roman" w:eastAsia="標楷體" w:hAnsi="Times New Roman" w:hint="eastAsia"/>
          <w:sz w:val="22"/>
        </w:rPr>
        <w:t>外</w:t>
      </w:r>
      <w:r w:rsidR="00A94686">
        <w:rPr>
          <w:rFonts w:ascii="Times New Roman" w:eastAsia="標楷體" w:hAnsi="Times New Roman" w:hint="eastAsia"/>
          <w:sz w:val="22"/>
        </w:rPr>
        <w:t>，其餘國家均為</w:t>
      </w:r>
      <w:r w:rsidR="00A94686">
        <w:rPr>
          <w:rFonts w:ascii="Times New Roman" w:eastAsia="標楷體" w:hAnsi="Times New Roman" w:hint="eastAsia"/>
          <w:sz w:val="22"/>
        </w:rPr>
        <w:t>2013</w:t>
      </w:r>
      <w:r w:rsidR="00A94686">
        <w:rPr>
          <w:rFonts w:ascii="Times New Roman" w:eastAsia="標楷體" w:hAnsi="Times New Roman" w:hint="eastAsia"/>
          <w:sz w:val="22"/>
        </w:rPr>
        <w:t>年資料。</w:t>
      </w:r>
    </w:p>
    <w:p w:rsidR="009F0300" w:rsidRPr="00CB01AD" w:rsidRDefault="009F0300" w:rsidP="0081733F">
      <w:pPr>
        <w:overflowPunct w:val="0"/>
        <w:spacing w:beforeLines="20" w:before="72" w:after="180" w:line="240" w:lineRule="exact"/>
        <w:ind w:left="284"/>
        <w:rPr>
          <w:rFonts w:ascii="Times New Roman" w:eastAsia="標楷體" w:hAnsi="Times New Roman"/>
          <w:sz w:val="28"/>
        </w:rPr>
      </w:pPr>
      <w:r w:rsidRPr="00DB3253">
        <w:rPr>
          <w:rFonts w:ascii="Times New Roman" w:eastAsia="標楷體" w:hAnsi="Times New Roman" w:hint="eastAsia"/>
          <w:sz w:val="22"/>
        </w:rPr>
        <w:t>資料來源：國際勞動統計</w:t>
      </w:r>
      <w:r w:rsidRPr="00DB3253">
        <w:rPr>
          <w:rFonts w:ascii="Times New Roman" w:eastAsia="標楷體" w:hAnsi="Times New Roman"/>
          <w:sz w:val="22"/>
        </w:rPr>
        <w:t>(102</w:t>
      </w:r>
      <w:r w:rsidRPr="00DB3253">
        <w:rPr>
          <w:rFonts w:ascii="Times New Roman" w:eastAsia="標楷體" w:hAnsi="Times New Roman" w:hint="eastAsia"/>
          <w:sz w:val="22"/>
        </w:rPr>
        <w:t>年</w:t>
      </w:r>
      <w:r w:rsidRPr="00DB3253">
        <w:rPr>
          <w:rFonts w:ascii="Times New Roman" w:eastAsia="標楷體" w:hAnsi="Times New Roman"/>
          <w:sz w:val="22"/>
        </w:rPr>
        <w:t>)</w:t>
      </w:r>
      <w:r w:rsidRPr="00DB3253">
        <w:rPr>
          <w:rFonts w:ascii="Times New Roman" w:eastAsia="標楷體" w:hAnsi="Times New Roman" w:hint="eastAsia"/>
          <w:sz w:val="22"/>
        </w:rPr>
        <w:t>、性別勞動統計</w:t>
      </w:r>
      <w:r w:rsidRPr="00DB3253">
        <w:rPr>
          <w:rFonts w:ascii="Times New Roman" w:eastAsia="標楷體" w:hAnsi="Times New Roman"/>
          <w:sz w:val="22"/>
        </w:rPr>
        <w:t>(102</w:t>
      </w:r>
      <w:r w:rsidRPr="00DB3253">
        <w:rPr>
          <w:rFonts w:ascii="Times New Roman" w:eastAsia="標楷體" w:hAnsi="Times New Roman" w:hint="eastAsia"/>
          <w:sz w:val="22"/>
        </w:rPr>
        <w:t>年</w:t>
      </w:r>
      <w:r w:rsidRPr="00DB3253">
        <w:rPr>
          <w:rFonts w:ascii="Times New Roman" w:eastAsia="標楷體" w:hAnsi="Times New Roman"/>
          <w:sz w:val="22"/>
        </w:rPr>
        <w:t>)</w:t>
      </w:r>
      <w:r w:rsidRPr="00DB3253">
        <w:rPr>
          <w:rFonts w:ascii="Times New Roman" w:eastAsia="標楷體" w:hAnsi="Times New Roman" w:hint="eastAsia"/>
          <w:sz w:val="22"/>
        </w:rPr>
        <w:t>，勞動部。</w:t>
      </w:r>
    </w:p>
    <w:sectPr w:rsidR="009F0300" w:rsidRPr="00CB01AD" w:rsidSect="0079629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39" w:rsidRDefault="001C0639" w:rsidP="005A34D9">
      <w:r>
        <w:separator/>
      </w:r>
    </w:p>
  </w:endnote>
  <w:endnote w:type="continuationSeparator" w:id="0">
    <w:p w:rsidR="001C0639" w:rsidRDefault="001C0639" w:rsidP="005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0" w:rsidRDefault="00036D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2979" w:rsidRPr="00C32979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9F0300" w:rsidRDefault="009F0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39" w:rsidRDefault="001C0639" w:rsidP="005A34D9">
      <w:r>
        <w:separator/>
      </w:r>
    </w:p>
  </w:footnote>
  <w:footnote w:type="continuationSeparator" w:id="0">
    <w:p w:rsidR="001C0639" w:rsidRDefault="001C0639" w:rsidP="005A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0" w:rsidRDefault="009F0300">
    <w:pPr>
      <w:pStyle w:val="a5"/>
      <w:jc w:val="center"/>
    </w:pPr>
  </w:p>
  <w:p w:rsidR="009F0300" w:rsidRDefault="009F0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7FD"/>
    <w:multiLevelType w:val="hybridMultilevel"/>
    <w:tmpl w:val="E5D0F3F0"/>
    <w:lvl w:ilvl="0" w:tplc="6954443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E2F3241"/>
    <w:multiLevelType w:val="hybridMultilevel"/>
    <w:tmpl w:val="CD1889AC"/>
    <w:lvl w:ilvl="0" w:tplc="327ADB4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0"/>
    <w:rsid w:val="000003F3"/>
    <w:rsid w:val="00001AD9"/>
    <w:rsid w:val="00003329"/>
    <w:rsid w:val="00003A51"/>
    <w:rsid w:val="00021AEC"/>
    <w:rsid w:val="00024E7E"/>
    <w:rsid w:val="00025187"/>
    <w:rsid w:val="00025601"/>
    <w:rsid w:val="00033767"/>
    <w:rsid w:val="00034808"/>
    <w:rsid w:val="00036DD2"/>
    <w:rsid w:val="00040D99"/>
    <w:rsid w:val="00041AFC"/>
    <w:rsid w:val="000421AE"/>
    <w:rsid w:val="00057793"/>
    <w:rsid w:val="00082D5C"/>
    <w:rsid w:val="00090B29"/>
    <w:rsid w:val="00092A75"/>
    <w:rsid w:val="00094638"/>
    <w:rsid w:val="00097DF9"/>
    <w:rsid w:val="00097F4E"/>
    <w:rsid w:val="000B1EAC"/>
    <w:rsid w:val="000B4A64"/>
    <w:rsid w:val="000B5479"/>
    <w:rsid w:val="000B5A3A"/>
    <w:rsid w:val="000B5DF5"/>
    <w:rsid w:val="000B7449"/>
    <w:rsid w:val="000C17BC"/>
    <w:rsid w:val="000C2505"/>
    <w:rsid w:val="000C3FD4"/>
    <w:rsid w:val="000F14AC"/>
    <w:rsid w:val="000F422A"/>
    <w:rsid w:val="001039A5"/>
    <w:rsid w:val="00107A55"/>
    <w:rsid w:val="0011700E"/>
    <w:rsid w:val="00122C56"/>
    <w:rsid w:val="001268B5"/>
    <w:rsid w:val="00131D1B"/>
    <w:rsid w:val="0014116C"/>
    <w:rsid w:val="00143898"/>
    <w:rsid w:val="00143C76"/>
    <w:rsid w:val="00145BE4"/>
    <w:rsid w:val="001619C7"/>
    <w:rsid w:val="00171B85"/>
    <w:rsid w:val="00174793"/>
    <w:rsid w:val="001864D7"/>
    <w:rsid w:val="00196056"/>
    <w:rsid w:val="001A103F"/>
    <w:rsid w:val="001A46C1"/>
    <w:rsid w:val="001B0720"/>
    <w:rsid w:val="001C0639"/>
    <w:rsid w:val="001C4C27"/>
    <w:rsid w:val="001D027D"/>
    <w:rsid w:val="001D27F2"/>
    <w:rsid w:val="001E4209"/>
    <w:rsid w:val="001F029D"/>
    <w:rsid w:val="001F1F22"/>
    <w:rsid w:val="001F35CD"/>
    <w:rsid w:val="00211958"/>
    <w:rsid w:val="00213E18"/>
    <w:rsid w:val="002162A4"/>
    <w:rsid w:val="00222A92"/>
    <w:rsid w:val="00227470"/>
    <w:rsid w:val="0023167F"/>
    <w:rsid w:val="0023255C"/>
    <w:rsid w:val="002339CC"/>
    <w:rsid w:val="00233C51"/>
    <w:rsid w:val="002356AB"/>
    <w:rsid w:val="00237D39"/>
    <w:rsid w:val="00246A26"/>
    <w:rsid w:val="002526AE"/>
    <w:rsid w:val="0027665E"/>
    <w:rsid w:val="0029049D"/>
    <w:rsid w:val="00291110"/>
    <w:rsid w:val="00293D4E"/>
    <w:rsid w:val="00294270"/>
    <w:rsid w:val="002A10CC"/>
    <w:rsid w:val="002B196D"/>
    <w:rsid w:val="002B2D81"/>
    <w:rsid w:val="002D17EC"/>
    <w:rsid w:val="002D6648"/>
    <w:rsid w:val="002F514A"/>
    <w:rsid w:val="002F6176"/>
    <w:rsid w:val="002F65F3"/>
    <w:rsid w:val="003048AF"/>
    <w:rsid w:val="0030578D"/>
    <w:rsid w:val="00311853"/>
    <w:rsid w:val="00313021"/>
    <w:rsid w:val="003150DD"/>
    <w:rsid w:val="00321DEA"/>
    <w:rsid w:val="00326866"/>
    <w:rsid w:val="00327B30"/>
    <w:rsid w:val="00332FE0"/>
    <w:rsid w:val="0033401C"/>
    <w:rsid w:val="003407BB"/>
    <w:rsid w:val="00354448"/>
    <w:rsid w:val="00355D4F"/>
    <w:rsid w:val="003621CE"/>
    <w:rsid w:val="00363521"/>
    <w:rsid w:val="00367371"/>
    <w:rsid w:val="00370B2F"/>
    <w:rsid w:val="00374834"/>
    <w:rsid w:val="00374960"/>
    <w:rsid w:val="00375FF8"/>
    <w:rsid w:val="003909BF"/>
    <w:rsid w:val="003B07A7"/>
    <w:rsid w:val="003B4778"/>
    <w:rsid w:val="003B76FD"/>
    <w:rsid w:val="003C12F1"/>
    <w:rsid w:val="003C4BC6"/>
    <w:rsid w:val="003D25E3"/>
    <w:rsid w:val="003E021F"/>
    <w:rsid w:val="003E0760"/>
    <w:rsid w:val="003E3BFC"/>
    <w:rsid w:val="003F251F"/>
    <w:rsid w:val="004134F6"/>
    <w:rsid w:val="00414C6D"/>
    <w:rsid w:val="00427402"/>
    <w:rsid w:val="00427AED"/>
    <w:rsid w:val="004408F4"/>
    <w:rsid w:val="00442851"/>
    <w:rsid w:val="004458B7"/>
    <w:rsid w:val="00451491"/>
    <w:rsid w:val="00466637"/>
    <w:rsid w:val="00480E04"/>
    <w:rsid w:val="0048591F"/>
    <w:rsid w:val="00496B99"/>
    <w:rsid w:val="004A09EC"/>
    <w:rsid w:val="004A0B46"/>
    <w:rsid w:val="004A31AC"/>
    <w:rsid w:val="004A6FC9"/>
    <w:rsid w:val="004B2E3A"/>
    <w:rsid w:val="004B3A9D"/>
    <w:rsid w:val="004C4158"/>
    <w:rsid w:val="004D6E1B"/>
    <w:rsid w:val="004E2ECE"/>
    <w:rsid w:val="004E604A"/>
    <w:rsid w:val="004F527C"/>
    <w:rsid w:val="005037DA"/>
    <w:rsid w:val="005037DD"/>
    <w:rsid w:val="00506B05"/>
    <w:rsid w:val="00541A97"/>
    <w:rsid w:val="00541C05"/>
    <w:rsid w:val="005501E8"/>
    <w:rsid w:val="00553453"/>
    <w:rsid w:val="00553766"/>
    <w:rsid w:val="00554F6B"/>
    <w:rsid w:val="005575C3"/>
    <w:rsid w:val="00561C73"/>
    <w:rsid w:val="00570D01"/>
    <w:rsid w:val="00571724"/>
    <w:rsid w:val="00571D5A"/>
    <w:rsid w:val="0057663C"/>
    <w:rsid w:val="0058040A"/>
    <w:rsid w:val="00586862"/>
    <w:rsid w:val="0059015B"/>
    <w:rsid w:val="00591A44"/>
    <w:rsid w:val="005A2129"/>
    <w:rsid w:val="005A34D9"/>
    <w:rsid w:val="005A4B98"/>
    <w:rsid w:val="005A5CD0"/>
    <w:rsid w:val="005B46FC"/>
    <w:rsid w:val="005B66E1"/>
    <w:rsid w:val="005D779F"/>
    <w:rsid w:val="005E21A7"/>
    <w:rsid w:val="005E3B7B"/>
    <w:rsid w:val="005F49D5"/>
    <w:rsid w:val="005F5718"/>
    <w:rsid w:val="006037EA"/>
    <w:rsid w:val="00606FFA"/>
    <w:rsid w:val="006241AC"/>
    <w:rsid w:val="00634A44"/>
    <w:rsid w:val="00635196"/>
    <w:rsid w:val="00636389"/>
    <w:rsid w:val="00636DB0"/>
    <w:rsid w:val="00661917"/>
    <w:rsid w:val="00663DBA"/>
    <w:rsid w:val="00667F8E"/>
    <w:rsid w:val="006816D6"/>
    <w:rsid w:val="00684116"/>
    <w:rsid w:val="00690610"/>
    <w:rsid w:val="00691360"/>
    <w:rsid w:val="006913D2"/>
    <w:rsid w:val="00694E70"/>
    <w:rsid w:val="006A22B4"/>
    <w:rsid w:val="006A5550"/>
    <w:rsid w:val="006C34F7"/>
    <w:rsid w:val="006C7BCD"/>
    <w:rsid w:val="006D4094"/>
    <w:rsid w:val="006F308A"/>
    <w:rsid w:val="006F5DA3"/>
    <w:rsid w:val="007043F4"/>
    <w:rsid w:val="00706374"/>
    <w:rsid w:val="007142BB"/>
    <w:rsid w:val="00717139"/>
    <w:rsid w:val="007179A0"/>
    <w:rsid w:val="00720A77"/>
    <w:rsid w:val="00722CEA"/>
    <w:rsid w:val="00726474"/>
    <w:rsid w:val="00731674"/>
    <w:rsid w:val="0073380B"/>
    <w:rsid w:val="00743035"/>
    <w:rsid w:val="00745E6D"/>
    <w:rsid w:val="007462E3"/>
    <w:rsid w:val="007521BE"/>
    <w:rsid w:val="00763CE6"/>
    <w:rsid w:val="00766674"/>
    <w:rsid w:val="0078106F"/>
    <w:rsid w:val="00783F57"/>
    <w:rsid w:val="00794135"/>
    <w:rsid w:val="007943CD"/>
    <w:rsid w:val="00795E4D"/>
    <w:rsid w:val="0079629A"/>
    <w:rsid w:val="0079752C"/>
    <w:rsid w:val="00797F42"/>
    <w:rsid w:val="007A2290"/>
    <w:rsid w:val="007A38E9"/>
    <w:rsid w:val="007B006D"/>
    <w:rsid w:val="007C0835"/>
    <w:rsid w:val="007E0056"/>
    <w:rsid w:val="007E2D9A"/>
    <w:rsid w:val="007E3320"/>
    <w:rsid w:val="007F2346"/>
    <w:rsid w:val="007F2940"/>
    <w:rsid w:val="007F4088"/>
    <w:rsid w:val="00801509"/>
    <w:rsid w:val="00803F2E"/>
    <w:rsid w:val="00806BE2"/>
    <w:rsid w:val="00810AAD"/>
    <w:rsid w:val="00811835"/>
    <w:rsid w:val="0081229A"/>
    <w:rsid w:val="008148AE"/>
    <w:rsid w:val="0081733F"/>
    <w:rsid w:val="00830D89"/>
    <w:rsid w:val="00842A8D"/>
    <w:rsid w:val="00857D06"/>
    <w:rsid w:val="00860CD2"/>
    <w:rsid w:val="00861643"/>
    <w:rsid w:val="00861FFA"/>
    <w:rsid w:val="008674FE"/>
    <w:rsid w:val="00872399"/>
    <w:rsid w:val="008725EB"/>
    <w:rsid w:val="00875C68"/>
    <w:rsid w:val="00894685"/>
    <w:rsid w:val="00896DBB"/>
    <w:rsid w:val="008B397C"/>
    <w:rsid w:val="008C184B"/>
    <w:rsid w:val="008C3FA1"/>
    <w:rsid w:val="008D2F4F"/>
    <w:rsid w:val="008D6DC7"/>
    <w:rsid w:val="008E450C"/>
    <w:rsid w:val="008E6F59"/>
    <w:rsid w:val="008F2028"/>
    <w:rsid w:val="00901AE2"/>
    <w:rsid w:val="00904CAF"/>
    <w:rsid w:val="00907150"/>
    <w:rsid w:val="009413BE"/>
    <w:rsid w:val="0094178B"/>
    <w:rsid w:val="0094761B"/>
    <w:rsid w:val="0095307D"/>
    <w:rsid w:val="0095322E"/>
    <w:rsid w:val="009555C8"/>
    <w:rsid w:val="00960010"/>
    <w:rsid w:val="009630FA"/>
    <w:rsid w:val="009638DA"/>
    <w:rsid w:val="00970ED7"/>
    <w:rsid w:val="00972850"/>
    <w:rsid w:val="00982FFA"/>
    <w:rsid w:val="00991454"/>
    <w:rsid w:val="00993FB1"/>
    <w:rsid w:val="009949BA"/>
    <w:rsid w:val="009A43A6"/>
    <w:rsid w:val="009A45D1"/>
    <w:rsid w:val="009A4EEA"/>
    <w:rsid w:val="009C3129"/>
    <w:rsid w:val="009C3343"/>
    <w:rsid w:val="009C4BDF"/>
    <w:rsid w:val="009C745C"/>
    <w:rsid w:val="009F0300"/>
    <w:rsid w:val="009F0D8B"/>
    <w:rsid w:val="009F6AEC"/>
    <w:rsid w:val="00A013C8"/>
    <w:rsid w:val="00A11E15"/>
    <w:rsid w:val="00A12622"/>
    <w:rsid w:val="00A136FD"/>
    <w:rsid w:val="00A14B7C"/>
    <w:rsid w:val="00A22BCC"/>
    <w:rsid w:val="00A23881"/>
    <w:rsid w:val="00A23DFB"/>
    <w:rsid w:val="00A3153A"/>
    <w:rsid w:val="00A318EB"/>
    <w:rsid w:val="00A350E0"/>
    <w:rsid w:val="00A40CED"/>
    <w:rsid w:val="00A65AB6"/>
    <w:rsid w:val="00A703D3"/>
    <w:rsid w:val="00A77F14"/>
    <w:rsid w:val="00A8280C"/>
    <w:rsid w:val="00A85B69"/>
    <w:rsid w:val="00A92449"/>
    <w:rsid w:val="00A9466A"/>
    <w:rsid w:val="00A94686"/>
    <w:rsid w:val="00AA3B22"/>
    <w:rsid w:val="00AC4589"/>
    <w:rsid w:val="00AC5771"/>
    <w:rsid w:val="00AC7EFA"/>
    <w:rsid w:val="00AE60FB"/>
    <w:rsid w:val="00AF4EDF"/>
    <w:rsid w:val="00B004E5"/>
    <w:rsid w:val="00B03643"/>
    <w:rsid w:val="00B044E9"/>
    <w:rsid w:val="00B14A89"/>
    <w:rsid w:val="00B1611D"/>
    <w:rsid w:val="00B17503"/>
    <w:rsid w:val="00B21CF2"/>
    <w:rsid w:val="00B30F32"/>
    <w:rsid w:val="00B319B2"/>
    <w:rsid w:val="00B41E8E"/>
    <w:rsid w:val="00B47D7B"/>
    <w:rsid w:val="00B5223B"/>
    <w:rsid w:val="00B53C7E"/>
    <w:rsid w:val="00B54FAD"/>
    <w:rsid w:val="00B627FF"/>
    <w:rsid w:val="00B65C0D"/>
    <w:rsid w:val="00B717A0"/>
    <w:rsid w:val="00B717B9"/>
    <w:rsid w:val="00B75A61"/>
    <w:rsid w:val="00B842D1"/>
    <w:rsid w:val="00B84F40"/>
    <w:rsid w:val="00B86F98"/>
    <w:rsid w:val="00B94A95"/>
    <w:rsid w:val="00B97812"/>
    <w:rsid w:val="00BA0DB9"/>
    <w:rsid w:val="00BA26AF"/>
    <w:rsid w:val="00BA4411"/>
    <w:rsid w:val="00BA4BFC"/>
    <w:rsid w:val="00BB0EF0"/>
    <w:rsid w:val="00BB2DDD"/>
    <w:rsid w:val="00BB2E6B"/>
    <w:rsid w:val="00BB3980"/>
    <w:rsid w:val="00BC1CC5"/>
    <w:rsid w:val="00BC36EB"/>
    <w:rsid w:val="00BD36C9"/>
    <w:rsid w:val="00BD548E"/>
    <w:rsid w:val="00BE053B"/>
    <w:rsid w:val="00BF4370"/>
    <w:rsid w:val="00BF73DE"/>
    <w:rsid w:val="00C1057D"/>
    <w:rsid w:val="00C138A7"/>
    <w:rsid w:val="00C16BB7"/>
    <w:rsid w:val="00C21C87"/>
    <w:rsid w:val="00C235CA"/>
    <w:rsid w:val="00C32979"/>
    <w:rsid w:val="00C46BCA"/>
    <w:rsid w:val="00C5079F"/>
    <w:rsid w:val="00C509F0"/>
    <w:rsid w:val="00C51C78"/>
    <w:rsid w:val="00C52B2D"/>
    <w:rsid w:val="00C53147"/>
    <w:rsid w:val="00C57763"/>
    <w:rsid w:val="00C60CEB"/>
    <w:rsid w:val="00C70054"/>
    <w:rsid w:val="00C74325"/>
    <w:rsid w:val="00C74B09"/>
    <w:rsid w:val="00C779F1"/>
    <w:rsid w:val="00C80ED0"/>
    <w:rsid w:val="00C93497"/>
    <w:rsid w:val="00CA1D9A"/>
    <w:rsid w:val="00CA32F4"/>
    <w:rsid w:val="00CA6FD4"/>
    <w:rsid w:val="00CB01AD"/>
    <w:rsid w:val="00CB3465"/>
    <w:rsid w:val="00CB5D87"/>
    <w:rsid w:val="00CB68F4"/>
    <w:rsid w:val="00CB7669"/>
    <w:rsid w:val="00CD265D"/>
    <w:rsid w:val="00CD5810"/>
    <w:rsid w:val="00CD7F75"/>
    <w:rsid w:val="00CF2049"/>
    <w:rsid w:val="00CF3E8D"/>
    <w:rsid w:val="00D04058"/>
    <w:rsid w:val="00D046DB"/>
    <w:rsid w:val="00D065C1"/>
    <w:rsid w:val="00D0799E"/>
    <w:rsid w:val="00D21E03"/>
    <w:rsid w:val="00D32599"/>
    <w:rsid w:val="00D615AB"/>
    <w:rsid w:val="00D719F6"/>
    <w:rsid w:val="00D80AFB"/>
    <w:rsid w:val="00D87673"/>
    <w:rsid w:val="00D93D5C"/>
    <w:rsid w:val="00D96134"/>
    <w:rsid w:val="00DB3253"/>
    <w:rsid w:val="00DB4B25"/>
    <w:rsid w:val="00DB7C08"/>
    <w:rsid w:val="00DC2CDC"/>
    <w:rsid w:val="00DC6D7D"/>
    <w:rsid w:val="00DD3BC4"/>
    <w:rsid w:val="00DD4384"/>
    <w:rsid w:val="00DD53A8"/>
    <w:rsid w:val="00DE26A0"/>
    <w:rsid w:val="00DE4A7B"/>
    <w:rsid w:val="00DE61AF"/>
    <w:rsid w:val="00DF733C"/>
    <w:rsid w:val="00E01595"/>
    <w:rsid w:val="00E01E14"/>
    <w:rsid w:val="00E02E9D"/>
    <w:rsid w:val="00E042C0"/>
    <w:rsid w:val="00E05150"/>
    <w:rsid w:val="00E13401"/>
    <w:rsid w:val="00E13E55"/>
    <w:rsid w:val="00E21AAA"/>
    <w:rsid w:val="00E274B4"/>
    <w:rsid w:val="00E34448"/>
    <w:rsid w:val="00E469B9"/>
    <w:rsid w:val="00E5475F"/>
    <w:rsid w:val="00E67A95"/>
    <w:rsid w:val="00E704E2"/>
    <w:rsid w:val="00E74773"/>
    <w:rsid w:val="00E7661F"/>
    <w:rsid w:val="00E877D6"/>
    <w:rsid w:val="00EA658C"/>
    <w:rsid w:val="00EA6A11"/>
    <w:rsid w:val="00EB1E06"/>
    <w:rsid w:val="00EB2432"/>
    <w:rsid w:val="00EB6094"/>
    <w:rsid w:val="00EB6E6E"/>
    <w:rsid w:val="00EC0257"/>
    <w:rsid w:val="00EC117A"/>
    <w:rsid w:val="00EC31AB"/>
    <w:rsid w:val="00EC775F"/>
    <w:rsid w:val="00EE2C9C"/>
    <w:rsid w:val="00F01A63"/>
    <w:rsid w:val="00F01F1D"/>
    <w:rsid w:val="00F05850"/>
    <w:rsid w:val="00F15555"/>
    <w:rsid w:val="00F1740D"/>
    <w:rsid w:val="00F21048"/>
    <w:rsid w:val="00F254F5"/>
    <w:rsid w:val="00F435B8"/>
    <w:rsid w:val="00F525A4"/>
    <w:rsid w:val="00F551D1"/>
    <w:rsid w:val="00F6372A"/>
    <w:rsid w:val="00F64EF3"/>
    <w:rsid w:val="00F65C48"/>
    <w:rsid w:val="00F70C93"/>
    <w:rsid w:val="00F723D5"/>
    <w:rsid w:val="00F87661"/>
    <w:rsid w:val="00F95FDA"/>
    <w:rsid w:val="00FA1AA7"/>
    <w:rsid w:val="00FA4AD8"/>
    <w:rsid w:val="00FB010C"/>
    <w:rsid w:val="00FB2BA5"/>
    <w:rsid w:val="00FB4B1D"/>
    <w:rsid w:val="00FB68E0"/>
    <w:rsid w:val="00FD2094"/>
    <w:rsid w:val="00FE4F0C"/>
    <w:rsid w:val="00FE5D9C"/>
    <w:rsid w:val="00FE63B6"/>
    <w:rsid w:val="00FE682B"/>
    <w:rsid w:val="00FF2B8C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850"/>
    <w:rPr>
      <w:rFonts w:ascii="Cambria" w:hAnsi="Cambria"/>
      <w:kern w:val="0"/>
      <w:sz w:val="18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72850"/>
    <w:rPr>
      <w:rFonts w:ascii="Cambria" w:eastAsia="新細明體" w:hAnsi="Cambria" w:cs="Times New Roman"/>
      <w:sz w:val="18"/>
    </w:rPr>
  </w:style>
  <w:style w:type="paragraph" w:styleId="a5">
    <w:name w:val="header"/>
    <w:basedOn w:val="a"/>
    <w:link w:val="a6"/>
    <w:uiPriority w:val="99"/>
    <w:rsid w:val="005A34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A34D9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5A34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A34D9"/>
    <w:rPr>
      <w:rFonts w:cs="Times New Roman"/>
      <w:sz w:val="20"/>
    </w:rPr>
  </w:style>
  <w:style w:type="paragraph" w:styleId="a9">
    <w:name w:val="List Paragraph"/>
    <w:basedOn w:val="a"/>
    <w:uiPriority w:val="99"/>
    <w:qFormat/>
    <w:rsid w:val="007E2D9A"/>
    <w:pPr>
      <w:ind w:leftChars="200" w:left="480"/>
    </w:pPr>
  </w:style>
  <w:style w:type="paragraph" w:customStyle="1" w:styleId="aa">
    <w:name w:val="表標題"/>
    <w:basedOn w:val="a"/>
    <w:uiPriority w:val="99"/>
    <w:rsid w:val="00A23881"/>
    <w:pPr>
      <w:spacing w:before="400" w:after="200" w:line="460" w:lineRule="exact"/>
      <w:jc w:val="center"/>
    </w:pPr>
    <w:rPr>
      <w:rFonts w:ascii="Times New Roman" w:eastAsia="華康中明體" w:hAnsi="Times New Roman"/>
      <w:sz w:val="26"/>
      <w:szCs w:val="26"/>
    </w:rPr>
  </w:style>
  <w:style w:type="paragraph" w:customStyle="1" w:styleId="ab">
    <w:name w:val="表格"/>
    <w:basedOn w:val="a"/>
    <w:uiPriority w:val="99"/>
    <w:rsid w:val="00A23881"/>
    <w:pPr>
      <w:spacing w:line="240" w:lineRule="atLeast"/>
      <w:jc w:val="center"/>
    </w:pPr>
    <w:rPr>
      <w:rFonts w:ascii="Times New Roman" w:eastAsia="華康楷書體W5" w:hAnsi="Times New Roman"/>
      <w:sz w:val="22"/>
    </w:rPr>
  </w:style>
  <w:style w:type="table" w:styleId="ac">
    <w:name w:val="Table Grid"/>
    <w:basedOn w:val="a1"/>
    <w:uiPriority w:val="99"/>
    <w:rsid w:val="00EC117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rsid w:val="00BF4370"/>
    <w:pPr>
      <w:jc w:val="right"/>
    </w:pPr>
    <w:rPr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BF4370"/>
    <w:rPr>
      <w:rFonts w:cs="Times New Roman"/>
    </w:rPr>
  </w:style>
  <w:style w:type="paragraph" w:styleId="Web">
    <w:name w:val="Normal (Web)"/>
    <w:basedOn w:val="a"/>
    <w:uiPriority w:val="99"/>
    <w:semiHidden/>
    <w:rsid w:val="0032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850"/>
    <w:rPr>
      <w:rFonts w:ascii="Cambria" w:hAnsi="Cambria"/>
      <w:kern w:val="0"/>
      <w:sz w:val="18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72850"/>
    <w:rPr>
      <w:rFonts w:ascii="Cambria" w:eastAsia="新細明體" w:hAnsi="Cambria" w:cs="Times New Roman"/>
      <w:sz w:val="18"/>
    </w:rPr>
  </w:style>
  <w:style w:type="paragraph" w:styleId="a5">
    <w:name w:val="header"/>
    <w:basedOn w:val="a"/>
    <w:link w:val="a6"/>
    <w:uiPriority w:val="99"/>
    <w:rsid w:val="005A34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A34D9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5A34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A34D9"/>
    <w:rPr>
      <w:rFonts w:cs="Times New Roman"/>
      <w:sz w:val="20"/>
    </w:rPr>
  </w:style>
  <w:style w:type="paragraph" w:styleId="a9">
    <w:name w:val="List Paragraph"/>
    <w:basedOn w:val="a"/>
    <w:uiPriority w:val="99"/>
    <w:qFormat/>
    <w:rsid w:val="007E2D9A"/>
    <w:pPr>
      <w:ind w:leftChars="200" w:left="480"/>
    </w:pPr>
  </w:style>
  <w:style w:type="paragraph" w:customStyle="1" w:styleId="aa">
    <w:name w:val="表標題"/>
    <w:basedOn w:val="a"/>
    <w:uiPriority w:val="99"/>
    <w:rsid w:val="00A23881"/>
    <w:pPr>
      <w:spacing w:before="400" w:after="200" w:line="460" w:lineRule="exact"/>
      <w:jc w:val="center"/>
    </w:pPr>
    <w:rPr>
      <w:rFonts w:ascii="Times New Roman" w:eastAsia="華康中明體" w:hAnsi="Times New Roman"/>
      <w:sz w:val="26"/>
      <w:szCs w:val="26"/>
    </w:rPr>
  </w:style>
  <w:style w:type="paragraph" w:customStyle="1" w:styleId="ab">
    <w:name w:val="表格"/>
    <w:basedOn w:val="a"/>
    <w:uiPriority w:val="99"/>
    <w:rsid w:val="00A23881"/>
    <w:pPr>
      <w:spacing w:line="240" w:lineRule="atLeast"/>
      <w:jc w:val="center"/>
    </w:pPr>
    <w:rPr>
      <w:rFonts w:ascii="Times New Roman" w:eastAsia="華康楷書體W5" w:hAnsi="Times New Roman"/>
      <w:sz w:val="22"/>
    </w:rPr>
  </w:style>
  <w:style w:type="table" w:styleId="ac">
    <w:name w:val="Table Grid"/>
    <w:basedOn w:val="a1"/>
    <w:uiPriority w:val="99"/>
    <w:rsid w:val="00EC117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rsid w:val="00BF4370"/>
    <w:pPr>
      <w:jc w:val="right"/>
    </w:pPr>
    <w:rPr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BF4370"/>
    <w:rPr>
      <w:rFonts w:cs="Times New Roman"/>
    </w:rPr>
  </w:style>
  <w:style w:type="paragraph" w:styleId="Web">
    <w:name w:val="Normal (Web)"/>
    <w:basedOn w:val="a"/>
    <w:uiPriority w:val="99"/>
    <w:semiHidden/>
    <w:rsid w:val="0032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2014年臺灣經濟成長率重回亞洲四小龍之首</dc:title>
  <dc:creator>user</dc:creator>
  <cp:lastModifiedBy>user</cp:lastModifiedBy>
  <cp:revision>35</cp:revision>
  <cp:lastPrinted>2015-03-19T02:48:00Z</cp:lastPrinted>
  <dcterms:created xsi:type="dcterms:W3CDTF">2015-03-19T02:29:00Z</dcterms:created>
  <dcterms:modified xsi:type="dcterms:W3CDTF">2015-03-23T06:03:00Z</dcterms:modified>
</cp:coreProperties>
</file>