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CC" w:rsidRDefault="00E74BCC" w:rsidP="00466551">
      <w:pPr>
        <w:snapToGrid w:val="0"/>
        <w:spacing w:beforeLines="1000" w:before="3600" w:line="400" w:lineRule="atLeast"/>
        <w:ind w:leftChars="100" w:left="240"/>
        <w:jc w:val="center"/>
        <w:rPr>
          <w:rFonts w:eastAsia="標楷體"/>
          <w:b/>
          <w:sz w:val="52"/>
          <w:szCs w:val="48"/>
        </w:rPr>
      </w:pPr>
      <w:bookmarkStart w:id="0" w:name="_Toc419714144"/>
      <w:bookmarkStart w:id="1" w:name="_Toc489971710"/>
      <w:r>
        <w:rPr>
          <w:rFonts w:eastAsia="標楷體"/>
          <w:b/>
          <w:sz w:val="52"/>
          <w:szCs w:val="48"/>
        </w:rPr>
        <w:t>201</w:t>
      </w:r>
      <w:r>
        <w:rPr>
          <w:rFonts w:eastAsia="標楷體" w:hint="eastAsia"/>
          <w:b/>
          <w:sz w:val="52"/>
          <w:szCs w:val="48"/>
        </w:rPr>
        <w:t>8</w:t>
      </w:r>
      <w:r>
        <w:rPr>
          <w:rFonts w:eastAsia="標楷體" w:hint="eastAsia"/>
          <w:b/>
          <w:sz w:val="52"/>
          <w:szCs w:val="48"/>
        </w:rPr>
        <w:t>年兩岸經貿、中國大陸</w:t>
      </w:r>
    </w:p>
    <w:p w:rsidR="00E74BCC" w:rsidRDefault="00E74BCC" w:rsidP="00E74BCC">
      <w:pPr>
        <w:snapToGrid w:val="0"/>
        <w:spacing w:afterLines="50" w:after="180" w:line="400" w:lineRule="atLeast"/>
        <w:jc w:val="center"/>
        <w:rPr>
          <w:rFonts w:eastAsia="標楷體"/>
          <w:b/>
          <w:sz w:val="52"/>
          <w:szCs w:val="48"/>
        </w:rPr>
      </w:pPr>
      <w:r>
        <w:rPr>
          <w:rFonts w:eastAsia="標楷體" w:hint="eastAsia"/>
          <w:b/>
          <w:sz w:val="52"/>
          <w:szCs w:val="48"/>
        </w:rPr>
        <w:t>經濟情勢分析</w:t>
      </w:r>
    </w:p>
    <w:p w:rsidR="00E74BCC" w:rsidRDefault="00E74BCC" w:rsidP="00E74BCC">
      <w:pPr>
        <w:tabs>
          <w:tab w:val="center" w:pos="4153"/>
          <w:tab w:val="left" w:pos="7104"/>
        </w:tabs>
        <w:snapToGrid w:val="0"/>
        <w:spacing w:beforeLines="2000" w:before="7200" w:line="400" w:lineRule="atLeast"/>
        <w:rPr>
          <w:rFonts w:ascii="標楷體" w:eastAsia="標楷體" w:hAnsi="標楷體"/>
          <w:sz w:val="32"/>
        </w:rPr>
      </w:pPr>
      <w:r>
        <w:rPr>
          <w:rFonts w:ascii="微軟正黑體" w:eastAsia="微軟正黑體" w:hAnsi="微軟正黑體" w:hint="eastAsia"/>
          <w:sz w:val="32"/>
        </w:rPr>
        <w:tab/>
      </w:r>
      <w:r>
        <w:rPr>
          <w:rFonts w:ascii="標楷體" w:eastAsia="標楷體" w:hAnsi="標楷體" w:hint="eastAsia"/>
          <w:sz w:val="32"/>
        </w:rPr>
        <w:t>國家發展委員會 經濟發展處 編製</w:t>
      </w:r>
      <w:r>
        <w:rPr>
          <w:rFonts w:ascii="標楷體" w:eastAsia="標楷體" w:hAnsi="標楷體" w:hint="eastAsia"/>
          <w:sz w:val="32"/>
        </w:rPr>
        <w:tab/>
      </w:r>
    </w:p>
    <w:p w:rsidR="00E74BCC" w:rsidRDefault="00E74BCC" w:rsidP="00E74BCC">
      <w:pPr>
        <w:snapToGrid w:val="0"/>
        <w:spacing w:afterLines="50" w:after="180" w:line="400" w:lineRule="atLeast"/>
        <w:jc w:val="center"/>
        <w:rPr>
          <w:rFonts w:ascii="Times New Roman" w:eastAsia="微軟正黑體" w:hAnsi="Times New Roman" w:cs="Times New Roman"/>
          <w:sz w:val="32"/>
        </w:rPr>
      </w:pPr>
      <w:r>
        <w:rPr>
          <w:rFonts w:eastAsia="標楷體"/>
          <w:sz w:val="32"/>
        </w:rPr>
        <w:t>201</w:t>
      </w:r>
      <w:r w:rsidR="00D718A7">
        <w:rPr>
          <w:rFonts w:eastAsia="標楷體" w:hint="eastAsia"/>
          <w:sz w:val="32"/>
        </w:rPr>
        <w:t>9</w:t>
      </w:r>
      <w:r>
        <w:rPr>
          <w:rFonts w:eastAsia="標楷體" w:hint="eastAsia"/>
          <w:sz w:val="32"/>
        </w:rPr>
        <w:t>年</w:t>
      </w:r>
      <w:r>
        <w:rPr>
          <w:rFonts w:eastAsia="標楷體"/>
          <w:sz w:val="32"/>
        </w:rPr>
        <w:t>2</w:t>
      </w:r>
      <w:r>
        <w:rPr>
          <w:rFonts w:eastAsia="標楷體" w:hint="eastAsia"/>
          <w:sz w:val="32"/>
        </w:rPr>
        <w:t>月</w:t>
      </w:r>
      <w:r>
        <w:rPr>
          <w:rFonts w:eastAsia="微軟正黑體"/>
          <w:sz w:val="32"/>
        </w:rPr>
        <w:br w:type="page"/>
      </w:r>
    </w:p>
    <w:p w:rsidR="00E74BCC" w:rsidRDefault="00E74BCC" w:rsidP="00E74BCC">
      <w:pPr>
        <w:widowControl/>
        <w:rPr>
          <w:rFonts w:eastAsia="微軟正黑體"/>
          <w:sz w:val="32"/>
        </w:rPr>
        <w:sectPr w:rsidR="00E74BCC">
          <w:pgSz w:w="11906" w:h="16838"/>
          <w:pgMar w:top="1440" w:right="1800" w:bottom="1440" w:left="1800" w:header="851" w:footer="992" w:gutter="0"/>
          <w:pgNumType w:fmt="lowerRoman" w:start="1"/>
          <w:cols w:space="720"/>
          <w:docGrid w:type="lines" w:linePitch="360"/>
        </w:sectPr>
      </w:pPr>
    </w:p>
    <w:p w:rsidR="00E74BCC" w:rsidRDefault="00E74BCC" w:rsidP="007A03B1">
      <w:pPr>
        <w:pStyle w:val="1d"/>
      </w:pPr>
    </w:p>
    <w:p w:rsidR="00E74BCC" w:rsidRDefault="00E74BCC" w:rsidP="00E74BCC">
      <w:pPr>
        <w:rPr>
          <w:rFonts w:ascii="標楷體" w:eastAsia="標楷體" w:hAnsi="標楷體"/>
          <w:noProof/>
          <w:kern w:val="0"/>
          <w:sz w:val="32"/>
          <w:szCs w:val="28"/>
        </w:rPr>
      </w:pPr>
      <w:r>
        <w:br w:type="page"/>
      </w:r>
    </w:p>
    <w:p w:rsidR="00E74BCC" w:rsidRPr="00B75989" w:rsidRDefault="00E74BCC" w:rsidP="000E136C">
      <w:pPr>
        <w:widowControl/>
        <w:jc w:val="center"/>
        <w:rPr>
          <w:rFonts w:ascii="標楷體" w:eastAsia="標楷體" w:hAnsi="標楷體"/>
          <w:b/>
          <w:sz w:val="28"/>
        </w:rPr>
      </w:pPr>
      <w:r w:rsidRPr="00B75989">
        <w:rPr>
          <w:rFonts w:ascii="標楷體" w:eastAsia="標楷體" w:hAnsi="標楷體" w:hint="eastAsia"/>
          <w:b/>
          <w:sz w:val="28"/>
        </w:rPr>
        <w:lastRenderedPageBreak/>
        <w:t>目錄</w:t>
      </w:r>
    </w:p>
    <w:p w:rsidR="00D63AAD" w:rsidRPr="00466551" w:rsidRDefault="00E74BCC" w:rsidP="00466551">
      <w:pPr>
        <w:pStyle w:val="1d"/>
        <w:jc w:val="both"/>
        <w:rPr>
          <w:rFonts w:asciiTheme="minorHAnsi" w:eastAsiaTheme="minorEastAsia" w:hAnsiTheme="minorHAnsi"/>
          <w:kern w:val="2"/>
          <w:sz w:val="28"/>
        </w:rPr>
      </w:pPr>
      <w:r w:rsidRPr="00466551">
        <w:rPr>
          <w:rFonts w:cs="Times New Roman"/>
          <w:sz w:val="28"/>
        </w:rPr>
        <w:fldChar w:fldCharType="begin"/>
      </w:r>
      <w:r w:rsidRPr="00466551">
        <w:rPr>
          <w:rFonts w:cs="Times New Roman"/>
          <w:sz w:val="28"/>
        </w:rPr>
        <w:instrText xml:space="preserve"> TOC \o "1-2" \h \z \u </w:instrText>
      </w:r>
      <w:r w:rsidRPr="00466551">
        <w:rPr>
          <w:rFonts w:cs="Times New Roman"/>
          <w:sz w:val="28"/>
        </w:rPr>
        <w:fldChar w:fldCharType="separate"/>
      </w:r>
      <w:hyperlink w:anchor="_Toc1400586" w:history="1">
        <w:r w:rsidR="00D63AAD" w:rsidRPr="00466551">
          <w:rPr>
            <w:rStyle w:val="af5"/>
            <w:rFonts w:hint="eastAsia"/>
            <w:b w:val="0"/>
            <w:sz w:val="28"/>
          </w:rPr>
          <w:t>【摘要】</w:t>
        </w:r>
        <w:r w:rsidR="00466551">
          <w:rPr>
            <w:rStyle w:val="af5"/>
            <w:b w:val="0"/>
            <w:sz w:val="28"/>
          </w:rPr>
          <w:t>………………………………………………………………</w:t>
        </w:r>
        <w:r w:rsidR="00B75989">
          <w:rPr>
            <w:rStyle w:val="af5"/>
            <w:b w:val="0"/>
            <w:sz w:val="28"/>
          </w:rPr>
          <w:t>…</w:t>
        </w:r>
        <w:r w:rsidR="00466551">
          <w:rPr>
            <w:rStyle w:val="af5"/>
            <w:rFonts w:hint="eastAsia"/>
            <w:b w:val="0"/>
            <w:sz w:val="28"/>
          </w:rPr>
          <w:t xml:space="preserve"> </w:t>
        </w:r>
        <w:r w:rsidR="00D63AAD" w:rsidRPr="00466551">
          <w:rPr>
            <w:webHidden/>
            <w:sz w:val="22"/>
            <w:szCs w:val="24"/>
          </w:rPr>
          <w:fldChar w:fldCharType="begin"/>
        </w:r>
        <w:r w:rsidR="00D63AAD" w:rsidRPr="00466551">
          <w:rPr>
            <w:webHidden/>
            <w:sz w:val="22"/>
            <w:szCs w:val="24"/>
          </w:rPr>
          <w:instrText xml:space="preserve"> PAGEREF _Toc1400586 \h </w:instrText>
        </w:r>
        <w:r w:rsidR="00D63AAD" w:rsidRPr="00466551">
          <w:rPr>
            <w:webHidden/>
            <w:sz w:val="22"/>
            <w:szCs w:val="24"/>
          </w:rPr>
        </w:r>
        <w:r w:rsidR="00D63AAD" w:rsidRPr="00466551">
          <w:rPr>
            <w:webHidden/>
            <w:sz w:val="22"/>
            <w:szCs w:val="24"/>
          </w:rPr>
          <w:fldChar w:fldCharType="separate"/>
        </w:r>
        <w:r w:rsidR="008C5B5A">
          <w:rPr>
            <w:webHidden/>
            <w:sz w:val="22"/>
            <w:szCs w:val="24"/>
          </w:rPr>
          <w:t>i</w:t>
        </w:r>
        <w:r w:rsidR="00D63AAD" w:rsidRPr="00466551">
          <w:rPr>
            <w:webHidden/>
            <w:sz w:val="22"/>
            <w:szCs w:val="24"/>
          </w:rPr>
          <w:fldChar w:fldCharType="end"/>
        </w:r>
      </w:hyperlink>
    </w:p>
    <w:p w:rsidR="00D63AAD" w:rsidRPr="00466551" w:rsidRDefault="00AF26E2" w:rsidP="007A03B1">
      <w:pPr>
        <w:pStyle w:val="1d"/>
        <w:jc w:val="left"/>
        <w:rPr>
          <w:rFonts w:asciiTheme="minorHAnsi" w:eastAsiaTheme="minorEastAsia" w:hAnsiTheme="minorHAnsi"/>
          <w:kern w:val="2"/>
          <w:sz w:val="28"/>
        </w:rPr>
      </w:pPr>
      <w:hyperlink w:anchor="_Toc1400587" w:history="1">
        <w:r w:rsidR="00D63AAD" w:rsidRPr="00466551">
          <w:rPr>
            <w:rStyle w:val="af5"/>
            <w:rFonts w:hint="eastAsia"/>
            <w:b w:val="0"/>
            <w:sz w:val="28"/>
          </w:rPr>
          <w:t>壹、中國大陸經濟情勢</w:t>
        </w:r>
        <w:r w:rsidR="007A03B1" w:rsidRPr="00466551">
          <w:rPr>
            <w:rFonts w:hint="eastAsia"/>
            <w:webHidden/>
            <w:sz w:val="28"/>
          </w:rPr>
          <w:t>………………………………………………</w:t>
        </w:r>
        <w:r w:rsidR="00466551" w:rsidRPr="00466551">
          <w:rPr>
            <w:rFonts w:hint="eastAsia"/>
            <w:webHidden/>
            <w:sz w:val="28"/>
          </w:rPr>
          <w:t>…</w:t>
        </w:r>
        <w:r w:rsidR="00D63AAD" w:rsidRPr="00466551">
          <w:rPr>
            <w:rFonts w:ascii="微軟正黑體" w:hAnsi="微軟正黑體"/>
            <w:b w:val="0"/>
            <w:bCs/>
            <w:webHidden/>
            <w:sz w:val="28"/>
          </w:rPr>
          <w:fldChar w:fldCharType="begin"/>
        </w:r>
        <w:r w:rsidR="00D63AAD" w:rsidRPr="00466551">
          <w:rPr>
            <w:rFonts w:ascii="微軟正黑體" w:hAnsi="微軟正黑體"/>
            <w:b w:val="0"/>
            <w:bCs/>
            <w:webHidden/>
            <w:sz w:val="28"/>
          </w:rPr>
          <w:instrText xml:space="preserve"> PAGEREF _Toc1400587 \h </w:instrText>
        </w:r>
        <w:r w:rsidR="00D63AAD" w:rsidRPr="00466551">
          <w:rPr>
            <w:rFonts w:ascii="微軟正黑體" w:hAnsi="微軟正黑體"/>
            <w:b w:val="0"/>
            <w:bCs/>
            <w:webHidden/>
            <w:sz w:val="28"/>
          </w:rPr>
        </w:r>
        <w:r w:rsidR="00D63AAD" w:rsidRPr="00466551">
          <w:rPr>
            <w:rFonts w:ascii="微軟正黑體" w:hAnsi="微軟正黑體"/>
            <w:b w:val="0"/>
            <w:bCs/>
            <w:webHidden/>
            <w:sz w:val="28"/>
          </w:rPr>
          <w:fldChar w:fldCharType="separate"/>
        </w:r>
        <w:r w:rsidR="008C5B5A">
          <w:rPr>
            <w:rFonts w:ascii="微軟正黑體" w:hAnsi="微軟正黑體"/>
            <w:b w:val="0"/>
            <w:bCs/>
            <w:webHidden/>
            <w:sz w:val="28"/>
          </w:rPr>
          <w:t>1</w:t>
        </w:r>
        <w:r w:rsidR="00D63AAD" w:rsidRPr="00466551">
          <w:rPr>
            <w:rFonts w:ascii="微軟正黑體" w:hAnsi="微軟正黑體"/>
            <w:b w:val="0"/>
            <w:bCs/>
            <w:webHidden/>
            <w:sz w:val="28"/>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88" w:history="1">
        <w:r w:rsidR="00D63AAD" w:rsidRPr="00466551">
          <w:rPr>
            <w:rStyle w:val="af5"/>
            <w:rFonts w:ascii="Times New Roman" w:hAnsi="Times New Roman" w:hint="eastAsia"/>
            <w:b w:val="0"/>
          </w:rPr>
          <w:t>一、總體經濟情勢</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_Toc1400588 \h </w:instrText>
        </w:r>
        <w:r w:rsidR="00D63AAD" w:rsidRPr="00466551">
          <w:rPr>
            <w:b w:val="0"/>
            <w:webHidden/>
          </w:rPr>
        </w:r>
        <w:r w:rsidR="00D63AAD" w:rsidRPr="00466551">
          <w:rPr>
            <w:b w:val="0"/>
            <w:webHidden/>
          </w:rPr>
          <w:fldChar w:fldCharType="separate"/>
        </w:r>
        <w:r w:rsidR="008C5B5A">
          <w:rPr>
            <w:b w:val="0"/>
            <w:webHidden/>
          </w:rPr>
          <w:t>1</w:t>
        </w:r>
        <w:r w:rsidR="00D63AAD" w:rsidRPr="00466551">
          <w:rPr>
            <w:b w:val="0"/>
            <w:webHidden/>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89" w:history="1">
        <w:r w:rsidR="00D63AAD" w:rsidRPr="00466551">
          <w:rPr>
            <w:rStyle w:val="af5"/>
            <w:rFonts w:hint="eastAsia"/>
            <w:b w:val="0"/>
          </w:rPr>
          <w:t>二、金融情勢</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_Toc1400589 \h </w:instrText>
        </w:r>
        <w:r w:rsidR="00D63AAD" w:rsidRPr="00466551">
          <w:rPr>
            <w:b w:val="0"/>
            <w:webHidden/>
          </w:rPr>
        </w:r>
        <w:r w:rsidR="00D63AAD" w:rsidRPr="00466551">
          <w:rPr>
            <w:b w:val="0"/>
            <w:webHidden/>
          </w:rPr>
          <w:fldChar w:fldCharType="separate"/>
        </w:r>
        <w:r w:rsidR="008C5B5A">
          <w:rPr>
            <w:b w:val="0"/>
            <w:webHidden/>
          </w:rPr>
          <w:t>5</w:t>
        </w:r>
        <w:r w:rsidR="00D63AAD" w:rsidRPr="00466551">
          <w:rPr>
            <w:b w:val="0"/>
            <w:webHidden/>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90" w:history="1">
        <w:r w:rsidR="00D63AAD" w:rsidRPr="00466551">
          <w:rPr>
            <w:rStyle w:val="af5"/>
            <w:rFonts w:hint="eastAsia"/>
            <w:b w:val="0"/>
          </w:rPr>
          <w:t>三、專題：中國大陸</w:t>
        </w:r>
        <w:r w:rsidR="00D63AAD" w:rsidRPr="002E728D">
          <w:rPr>
            <w:rStyle w:val="af5"/>
            <w:rFonts w:ascii="Times New Roman" w:hAnsi="Times New Roman" w:cs="Times New Roman"/>
            <w:b w:val="0"/>
            <w:szCs w:val="26"/>
          </w:rPr>
          <w:t>2019</w:t>
        </w:r>
        <w:r w:rsidR="00D63AAD" w:rsidRPr="00466551">
          <w:rPr>
            <w:rStyle w:val="af5"/>
            <w:rFonts w:hint="eastAsia"/>
            <w:b w:val="0"/>
          </w:rPr>
          <w:t>年經濟展望</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_Toc1400590 \h </w:instrText>
        </w:r>
        <w:r w:rsidR="00D63AAD" w:rsidRPr="00466551">
          <w:rPr>
            <w:b w:val="0"/>
            <w:webHidden/>
          </w:rPr>
        </w:r>
        <w:r w:rsidR="00D63AAD" w:rsidRPr="00466551">
          <w:rPr>
            <w:b w:val="0"/>
            <w:webHidden/>
          </w:rPr>
          <w:fldChar w:fldCharType="separate"/>
        </w:r>
        <w:r w:rsidR="008C5B5A">
          <w:rPr>
            <w:b w:val="0"/>
            <w:webHidden/>
          </w:rPr>
          <w:t>8</w:t>
        </w:r>
        <w:r w:rsidR="00D63AAD" w:rsidRPr="00466551">
          <w:rPr>
            <w:b w:val="0"/>
            <w:webHidden/>
          </w:rPr>
          <w:fldChar w:fldCharType="end"/>
        </w:r>
      </w:hyperlink>
    </w:p>
    <w:p w:rsidR="00D63AAD" w:rsidRPr="00466551" w:rsidRDefault="00AF26E2" w:rsidP="007A03B1">
      <w:pPr>
        <w:pStyle w:val="1d"/>
        <w:jc w:val="left"/>
        <w:rPr>
          <w:rFonts w:asciiTheme="minorHAnsi" w:eastAsiaTheme="minorEastAsia" w:hAnsiTheme="minorHAnsi"/>
          <w:kern w:val="2"/>
          <w:sz w:val="28"/>
        </w:rPr>
      </w:pPr>
      <w:hyperlink w:anchor="_Toc1400591" w:history="1">
        <w:r w:rsidR="00D63AAD" w:rsidRPr="00466551">
          <w:rPr>
            <w:rStyle w:val="af5"/>
            <w:rFonts w:hint="eastAsia"/>
            <w:b w:val="0"/>
            <w:sz w:val="28"/>
          </w:rPr>
          <w:t>貳、兩岸經貿情勢</w:t>
        </w:r>
        <w:r w:rsidR="00466551">
          <w:rPr>
            <w:rStyle w:val="af5"/>
            <w:rFonts w:hint="eastAsia"/>
            <w:b w:val="0"/>
            <w:sz w:val="28"/>
          </w:rPr>
          <w:t>………………………………………………………</w:t>
        </w:r>
        <w:r w:rsidR="00D63AAD" w:rsidRPr="00466551">
          <w:rPr>
            <w:rFonts w:ascii="微軟正黑體" w:hAnsi="微軟正黑體"/>
            <w:b w:val="0"/>
            <w:bCs/>
            <w:webHidden/>
            <w:sz w:val="28"/>
          </w:rPr>
          <w:fldChar w:fldCharType="begin"/>
        </w:r>
        <w:r w:rsidR="00D63AAD" w:rsidRPr="00466551">
          <w:rPr>
            <w:rFonts w:ascii="微軟正黑體" w:hAnsi="微軟正黑體"/>
            <w:b w:val="0"/>
            <w:bCs/>
            <w:webHidden/>
            <w:sz w:val="28"/>
          </w:rPr>
          <w:instrText xml:space="preserve"> PAGEREF _Toc1400591 \h </w:instrText>
        </w:r>
        <w:r w:rsidR="00D63AAD" w:rsidRPr="00466551">
          <w:rPr>
            <w:rFonts w:ascii="微軟正黑體" w:hAnsi="微軟正黑體"/>
            <w:b w:val="0"/>
            <w:bCs/>
            <w:webHidden/>
            <w:sz w:val="28"/>
          </w:rPr>
        </w:r>
        <w:r w:rsidR="00D63AAD" w:rsidRPr="00466551">
          <w:rPr>
            <w:rFonts w:ascii="微軟正黑體" w:hAnsi="微軟正黑體"/>
            <w:b w:val="0"/>
            <w:bCs/>
            <w:webHidden/>
            <w:sz w:val="28"/>
          </w:rPr>
          <w:fldChar w:fldCharType="separate"/>
        </w:r>
        <w:r w:rsidR="008C5B5A">
          <w:rPr>
            <w:rFonts w:ascii="微軟正黑體" w:hAnsi="微軟正黑體"/>
            <w:b w:val="0"/>
            <w:bCs/>
            <w:webHidden/>
            <w:sz w:val="28"/>
          </w:rPr>
          <w:t>15</w:t>
        </w:r>
        <w:r w:rsidR="00D63AAD" w:rsidRPr="00466551">
          <w:rPr>
            <w:rFonts w:ascii="微軟正黑體" w:hAnsi="微軟正黑體"/>
            <w:b w:val="0"/>
            <w:bCs/>
            <w:webHidden/>
            <w:sz w:val="28"/>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92" w:history="1">
        <w:r w:rsidR="00D63AAD" w:rsidRPr="00466551">
          <w:rPr>
            <w:rStyle w:val="af5"/>
            <w:rFonts w:ascii="標楷體" w:hAnsi="標楷體" w:hint="eastAsia"/>
            <w:b w:val="0"/>
          </w:rPr>
          <w:t>一、雙邊投資</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_Toc1400592 \h </w:instrText>
        </w:r>
        <w:r w:rsidR="00D63AAD" w:rsidRPr="00466551">
          <w:rPr>
            <w:b w:val="0"/>
            <w:webHidden/>
          </w:rPr>
        </w:r>
        <w:r w:rsidR="00D63AAD" w:rsidRPr="00466551">
          <w:rPr>
            <w:b w:val="0"/>
            <w:webHidden/>
          </w:rPr>
          <w:fldChar w:fldCharType="separate"/>
        </w:r>
        <w:r w:rsidR="008C5B5A">
          <w:rPr>
            <w:b w:val="0"/>
            <w:webHidden/>
          </w:rPr>
          <w:t>15</w:t>
        </w:r>
        <w:r w:rsidR="00D63AAD" w:rsidRPr="00466551">
          <w:rPr>
            <w:b w:val="0"/>
            <w:webHidden/>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93" w:history="1">
        <w:r w:rsidR="00D63AAD" w:rsidRPr="00466551">
          <w:rPr>
            <w:rStyle w:val="af5"/>
            <w:rFonts w:ascii="標楷體" w:hAnsi="標楷體" w:hint="eastAsia"/>
            <w:b w:val="0"/>
          </w:rPr>
          <w:t>二、雙邊貿易</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_Toc1400593 \h </w:instrText>
        </w:r>
        <w:r w:rsidR="00D63AAD" w:rsidRPr="00466551">
          <w:rPr>
            <w:b w:val="0"/>
            <w:webHidden/>
          </w:rPr>
        </w:r>
        <w:r w:rsidR="00D63AAD" w:rsidRPr="00466551">
          <w:rPr>
            <w:b w:val="0"/>
            <w:webHidden/>
          </w:rPr>
          <w:fldChar w:fldCharType="separate"/>
        </w:r>
        <w:r w:rsidR="008C5B5A">
          <w:rPr>
            <w:b w:val="0"/>
            <w:webHidden/>
          </w:rPr>
          <w:t>18</w:t>
        </w:r>
        <w:r w:rsidR="00D63AAD" w:rsidRPr="00466551">
          <w:rPr>
            <w:b w:val="0"/>
            <w:webHidden/>
          </w:rPr>
          <w:fldChar w:fldCharType="end"/>
        </w:r>
      </w:hyperlink>
    </w:p>
    <w:p w:rsidR="00D63AAD" w:rsidRPr="00466551" w:rsidRDefault="00AF26E2" w:rsidP="007A03B1">
      <w:pPr>
        <w:pStyle w:val="25"/>
        <w:rPr>
          <w:rFonts w:asciiTheme="minorHAnsi" w:eastAsiaTheme="minorEastAsia" w:hAnsiTheme="minorHAnsi"/>
          <w:b w:val="0"/>
          <w:bCs w:val="0"/>
          <w:kern w:val="2"/>
        </w:rPr>
      </w:pPr>
      <w:hyperlink w:anchor="_Toc1400594" w:history="1">
        <w:r w:rsidR="00D63AAD" w:rsidRPr="00466551">
          <w:rPr>
            <w:rStyle w:val="af5"/>
            <w:rFonts w:ascii="標楷體" w:hAnsi="標楷體" w:hint="eastAsia"/>
            <w:b w:val="0"/>
          </w:rPr>
          <w:t>三、陸客來臺</w:t>
        </w:r>
        <w:r w:rsidR="00D63AAD" w:rsidRPr="00466551">
          <w:rPr>
            <w:b w:val="0"/>
            <w:webHidden/>
          </w:rPr>
          <w:tab/>
        </w:r>
        <w:r w:rsidR="00D63AAD" w:rsidRPr="00466551">
          <w:rPr>
            <w:b w:val="0"/>
            <w:webHidden/>
          </w:rPr>
          <w:fldChar w:fldCharType="begin"/>
        </w:r>
        <w:r w:rsidR="00D63AAD" w:rsidRPr="00466551">
          <w:rPr>
            <w:b w:val="0"/>
            <w:webHidden/>
          </w:rPr>
          <w:instrText xml:space="preserve"> PAGEREF _Toc1400594 \h </w:instrText>
        </w:r>
        <w:r w:rsidR="00D63AAD" w:rsidRPr="00466551">
          <w:rPr>
            <w:b w:val="0"/>
            <w:webHidden/>
          </w:rPr>
        </w:r>
        <w:r w:rsidR="00D63AAD" w:rsidRPr="00466551">
          <w:rPr>
            <w:b w:val="0"/>
            <w:webHidden/>
          </w:rPr>
          <w:fldChar w:fldCharType="separate"/>
        </w:r>
        <w:r w:rsidR="008C5B5A">
          <w:rPr>
            <w:b w:val="0"/>
            <w:webHidden/>
          </w:rPr>
          <w:t>22</w:t>
        </w:r>
        <w:r w:rsidR="00D63AAD" w:rsidRPr="00466551">
          <w:rPr>
            <w:b w:val="0"/>
            <w:webHidden/>
          </w:rPr>
          <w:fldChar w:fldCharType="end"/>
        </w:r>
      </w:hyperlink>
    </w:p>
    <w:p w:rsidR="000E136C" w:rsidRDefault="00E74BCC" w:rsidP="007A03B1">
      <w:pPr>
        <w:rPr>
          <w:rFonts w:cs="Times New Roman"/>
          <w:sz w:val="28"/>
          <w:szCs w:val="28"/>
        </w:rPr>
        <w:sectPr w:rsidR="000E136C" w:rsidSect="00E74BCC">
          <w:headerReference w:type="default" r:id="rId9"/>
          <w:footerReference w:type="even" r:id="rId10"/>
          <w:footerReference w:type="default" r:id="rId11"/>
          <w:pgSz w:w="11906" w:h="16838"/>
          <w:pgMar w:top="1440" w:right="1800" w:bottom="1440" w:left="1800" w:header="851" w:footer="992" w:gutter="0"/>
          <w:pgNumType w:fmt="lowerRoman" w:start="1"/>
          <w:cols w:space="425"/>
          <w:docGrid w:type="lines" w:linePitch="360"/>
        </w:sectPr>
      </w:pPr>
      <w:r w:rsidRPr="00466551">
        <w:rPr>
          <w:rFonts w:cs="Times New Roman"/>
          <w:sz w:val="28"/>
          <w:szCs w:val="28"/>
        </w:rPr>
        <w:fldChar w:fldCharType="end"/>
      </w:r>
    </w:p>
    <w:p w:rsidR="007E3448" w:rsidRPr="00D257DD" w:rsidRDefault="007E3448" w:rsidP="000E136C">
      <w:pPr>
        <w:widowControl/>
        <w:jc w:val="center"/>
        <w:rPr>
          <w:rFonts w:ascii="標楷體" w:eastAsia="標楷體" w:hAnsi="標楷體"/>
          <w:kern w:val="0"/>
          <w:sz w:val="40"/>
          <w:szCs w:val="40"/>
        </w:rPr>
      </w:pPr>
      <w:bookmarkStart w:id="2" w:name="_Toc1397860"/>
      <w:bookmarkStart w:id="3" w:name="_Toc1400586"/>
      <w:r w:rsidRPr="000E136C">
        <w:rPr>
          <w:rFonts w:ascii="標楷體" w:eastAsia="標楷體" w:hAnsi="標楷體" w:hint="eastAsia"/>
          <w:kern w:val="0"/>
          <w:sz w:val="36"/>
          <w:szCs w:val="40"/>
        </w:rPr>
        <w:lastRenderedPageBreak/>
        <w:t>【摘要】</w:t>
      </w:r>
      <w:bookmarkEnd w:id="0"/>
      <w:bookmarkEnd w:id="1"/>
      <w:bookmarkEnd w:id="2"/>
      <w:bookmarkEnd w:id="3"/>
    </w:p>
    <w:p w:rsidR="007E3448" w:rsidRPr="00606F16" w:rsidRDefault="007E3448" w:rsidP="000E136C">
      <w:pPr>
        <w:widowControl/>
        <w:snapToGrid w:val="0"/>
        <w:spacing w:line="440" w:lineRule="exact"/>
        <w:jc w:val="both"/>
        <w:rPr>
          <w:rFonts w:ascii="Times New Roman" w:eastAsia="標楷體" w:hAnsi="Times New Roman" w:cs="Times New Roman"/>
          <w:b/>
          <w:color w:val="000000" w:themeColor="text1"/>
          <w:kern w:val="0"/>
          <w:sz w:val="28"/>
          <w:szCs w:val="32"/>
        </w:rPr>
      </w:pPr>
      <w:r w:rsidRPr="00606F16">
        <w:rPr>
          <w:rFonts w:ascii="Times New Roman" w:eastAsia="標楷體" w:hAnsi="Times New Roman" w:cs="Times New Roman"/>
          <w:b/>
          <w:color w:val="000000" w:themeColor="text1"/>
          <w:kern w:val="0"/>
          <w:sz w:val="28"/>
          <w:szCs w:val="32"/>
        </w:rPr>
        <w:t>【中國大陸經濟】</w:t>
      </w:r>
    </w:p>
    <w:p w:rsidR="007E3448" w:rsidRPr="00606F16" w:rsidRDefault="007E3448" w:rsidP="007E3448">
      <w:pPr>
        <w:widowControl/>
        <w:snapToGrid w:val="0"/>
        <w:spacing w:beforeLines="25" w:before="90" w:afterLines="23" w:after="82" w:line="440" w:lineRule="exact"/>
        <w:ind w:firstLineChars="200" w:firstLine="560"/>
        <w:jc w:val="both"/>
        <w:rPr>
          <w:rFonts w:ascii="Times New Roman" w:eastAsia="標楷體" w:hAnsi="Times New Roman" w:cs="Times New Roman"/>
          <w:color w:val="000000" w:themeColor="text1"/>
          <w:kern w:val="0"/>
          <w:sz w:val="28"/>
          <w:szCs w:val="32"/>
        </w:rPr>
      </w:pPr>
      <w:r w:rsidRPr="00606F16">
        <w:rPr>
          <w:rFonts w:ascii="Times New Roman" w:eastAsia="標楷體" w:hAnsi="Times New Roman" w:cs="Times New Roman"/>
          <w:color w:val="000000" w:themeColor="text1"/>
          <w:kern w:val="0"/>
          <w:sz w:val="28"/>
          <w:szCs w:val="32"/>
        </w:rPr>
        <w:t>根據中國國家統計局公布數據顯示，</w:t>
      </w:r>
      <w:r w:rsidRPr="00606F16">
        <w:rPr>
          <w:rFonts w:ascii="Times New Roman" w:eastAsia="標楷體" w:hAnsi="Times New Roman" w:cs="Times New Roman"/>
          <w:color w:val="000000" w:themeColor="text1"/>
          <w:kern w:val="0"/>
          <w:sz w:val="28"/>
          <w:szCs w:val="32"/>
        </w:rPr>
        <w:t>2018</w:t>
      </w:r>
      <w:r w:rsidRPr="00606F16">
        <w:rPr>
          <w:rFonts w:ascii="Times New Roman" w:eastAsia="標楷體" w:hAnsi="Times New Roman" w:cs="Times New Roman"/>
          <w:color w:val="000000" w:themeColor="text1"/>
          <w:kern w:val="0"/>
          <w:sz w:val="28"/>
          <w:szCs w:val="32"/>
        </w:rPr>
        <w:t>年全年經濟成長為</w:t>
      </w:r>
      <w:r w:rsidRPr="00606F16">
        <w:rPr>
          <w:rFonts w:ascii="Times New Roman" w:eastAsia="標楷體" w:hAnsi="Times New Roman" w:cs="Times New Roman"/>
          <w:color w:val="000000" w:themeColor="text1"/>
          <w:kern w:val="0"/>
          <w:sz w:val="28"/>
          <w:szCs w:val="32"/>
        </w:rPr>
        <w:t>6.6</w:t>
      </w:r>
      <w:r w:rsidRPr="00606F16">
        <w:rPr>
          <w:rFonts w:ascii="Times New Roman" w:eastAsia="標楷體" w:hAnsi="Times New Roman" w:cs="Times New Roman"/>
          <w:color w:val="000000" w:themeColor="text1"/>
          <w:sz w:val="28"/>
          <w:szCs w:val="32"/>
        </w:rPr>
        <w:t>%</w:t>
      </w:r>
      <w:r w:rsidRPr="00606F16">
        <w:rPr>
          <w:rFonts w:ascii="Times New Roman" w:eastAsia="標楷體" w:hAnsi="Times New Roman" w:cs="Times New Roman"/>
          <w:color w:val="000000" w:themeColor="text1"/>
          <w:kern w:val="0"/>
          <w:sz w:val="28"/>
          <w:szCs w:val="32"/>
        </w:rPr>
        <w:t>，雖高於</w:t>
      </w:r>
      <w:r w:rsidRPr="00606F16">
        <w:rPr>
          <w:rFonts w:ascii="Times New Roman" w:eastAsia="標楷體" w:hAnsi="Times New Roman" w:cs="Times New Roman"/>
          <w:color w:val="000000" w:themeColor="text1"/>
          <w:kern w:val="0"/>
          <w:sz w:val="28"/>
          <w:szCs w:val="32"/>
        </w:rPr>
        <w:t>6.5</w:t>
      </w:r>
      <w:r w:rsidRPr="00606F16">
        <w:rPr>
          <w:rFonts w:ascii="Times New Roman" w:eastAsia="標楷體" w:hAnsi="Times New Roman" w:cs="Times New Roman"/>
          <w:color w:val="000000" w:themeColor="text1"/>
          <w:sz w:val="28"/>
          <w:szCs w:val="32"/>
        </w:rPr>
        <w:t>%</w:t>
      </w:r>
      <w:r w:rsidRPr="00606F16">
        <w:rPr>
          <w:rFonts w:ascii="Times New Roman" w:eastAsia="標楷體" w:hAnsi="Times New Roman" w:cs="Times New Roman"/>
          <w:color w:val="000000" w:themeColor="text1"/>
          <w:kern w:val="0"/>
          <w:sz w:val="28"/>
          <w:szCs w:val="32"/>
        </w:rPr>
        <w:t>預期目標，惟經濟成長已見疲態，</w:t>
      </w:r>
      <w:proofErr w:type="gramStart"/>
      <w:r w:rsidRPr="00606F16">
        <w:rPr>
          <w:rFonts w:ascii="Times New Roman" w:eastAsia="標楷體" w:hAnsi="Times New Roman" w:cs="Times New Roman"/>
          <w:color w:val="000000" w:themeColor="text1"/>
          <w:kern w:val="0"/>
          <w:sz w:val="28"/>
          <w:szCs w:val="32"/>
        </w:rPr>
        <w:t>且創</w:t>
      </w:r>
      <w:r w:rsidRPr="00606F16">
        <w:rPr>
          <w:rFonts w:ascii="Times New Roman" w:eastAsia="標楷體" w:hAnsi="Times New Roman" w:cs="Times New Roman"/>
          <w:color w:val="000000" w:themeColor="text1"/>
          <w:kern w:val="0"/>
          <w:sz w:val="28"/>
          <w:szCs w:val="32"/>
        </w:rPr>
        <w:t>28</w:t>
      </w:r>
      <w:r w:rsidR="00606F16" w:rsidRPr="00606F16">
        <w:rPr>
          <w:rFonts w:ascii="Times New Roman" w:eastAsia="標楷體" w:hAnsi="Times New Roman" w:cs="Times New Roman"/>
          <w:color w:val="000000" w:themeColor="text1"/>
          <w:kern w:val="0"/>
          <w:sz w:val="28"/>
          <w:szCs w:val="32"/>
        </w:rPr>
        <w:t>年來</w:t>
      </w:r>
      <w:proofErr w:type="gramEnd"/>
      <w:r w:rsidRPr="00606F16">
        <w:rPr>
          <w:rFonts w:ascii="Times New Roman" w:eastAsia="標楷體" w:hAnsi="Times New Roman" w:cs="Times New Roman"/>
          <w:color w:val="000000" w:themeColor="text1"/>
          <w:kern w:val="0"/>
          <w:sz w:val="28"/>
          <w:szCs w:val="32"/>
        </w:rPr>
        <w:t>最低，顯示美中貿易戰影響已逐步顯現。展望未來，據</w:t>
      </w:r>
      <w:r w:rsidRPr="00606F16">
        <w:rPr>
          <w:rFonts w:ascii="Times New Roman" w:eastAsia="標楷體" w:hAnsi="Times New Roman" w:cs="Times New Roman"/>
          <w:color w:val="000000" w:themeColor="text1"/>
          <w:kern w:val="0"/>
          <w:sz w:val="28"/>
          <w:szCs w:val="32"/>
        </w:rPr>
        <w:t>IMF</w:t>
      </w:r>
      <w:r w:rsidRPr="00606F16">
        <w:rPr>
          <w:rFonts w:ascii="Times New Roman" w:eastAsia="標楷體" w:hAnsi="Times New Roman" w:cs="Times New Roman"/>
          <w:color w:val="000000" w:themeColor="text1"/>
          <w:kern w:val="0"/>
          <w:sz w:val="28"/>
          <w:szCs w:val="32"/>
        </w:rPr>
        <w:t>、世界銀行及</w:t>
      </w:r>
      <w:r w:rsidRPr="00606F16">
        <w:rPr>
          <w:rFonts w:ascii="Times New Roman" w:eastAsia="標楷體" w:hAnsi="Times New Roman" w:cs="Times New Roman"/>
          <w:color w:val="000000" w:themeColor="text1"/>
          <w:kern w:val="0"/>
          <w:sz w:val="28"/>
          <w:szCs w:val="32"/>
        </w:rPr>
        <w:t>OECD</w:t>
      </w:r>
      <w:r w:rsidRPr="00606F16">
        <w:rPr>
          <w:rFonts w:ascii="Times New Roman" w:eastAsia="標楷體" w:hAnsi="Times New Roman" w:cs="Times New Roman"/>
          <w:color w:val="000000" w:themeColor="text1"/>
          <w:kern w:val="0"/>
          <w:sz w:val="28"/>
          <w:szCs w:val="32"/>
        </w:rPr>
        <w:t>等機構預估，</w:t>
      </w:r>
      <w:r w:rsidRPr="00606F16">
        <w:rPr>
          <w:rFonts w:ascii="Times New Roman" w:eastAsia="標楷體" w:hAnsi="Times New Roman" w:cs="Times New Roman"/>
          <w:color w:val="000000" w:themeColor="text1"/>
          <w:kern w:val="0"/>
          <w:sz w:val="28"/>
          <w:szCs w:val="32"/>
        </w:rPr>
        <w:t>201</w:t>
      </w:r>
      <w:r w:rsidR="00606F16" w:rsidRPr="00606F16">
        <w:rPr>
          <w:rFonts w:ascii="Times New Roman" w:eastAsia="標楷體" w:hAnsi="Times New Roman" w:cs="Times New Roman"/>
          <w:color w:val="000000" w:themeColor="text1"/>
          <w:kern w:val="0"/>
          <w:sz w:val="28"/>
          <w:szCs w:val="32"/>
        </w:rPr>
        <w:t>9</w:t>
      </w:r>
      <w:r w:rsidRPr="00606F16">
        <w:rPr>
          <w:rFonts w:ascii="Times New Roman" w:eastAsia="標楷體" w:hAnsi="Times New Roman" w:cs="Times New Roman"/>
          <w:color w:val="000000" w:themeColor="text1"/>
          <w:kern w:val="0"/>
          <w:sz w:val="28"/>
          <w:szCs w:val="32"/>
        </w:rPr>
        <w:t>年中國大陸經濟成長率普遍落在</w:t>
      </w:r>
      <w:r w:rsidRPr="00606F16">
        <w:rPr>
          <w:rFonts w:ascii="Times New Roman" w:eastAsia="標楷體" w:hAnsi="Times New Roman" w:cs="Times New Roman"/>
          <w:color w:val="000000" w:themeColor="text1"/>
          <w:kern w:val="0"/>
          <w:sz w:val="28"/>
          <w:szCs w:val="32"/>
        </w:rPr>
        <w:t>6.0</w:t>
      </w:r>
      <w:r w:rsidRPr="00606F16">
        <w:rPr>
          <w:rFonts w:ascii="Times New Roman" w:eastAsia="標楷體" w:hAnsi="Times New Roman" w:cs="Times New Roman"/>
          <w:color w:val="000000" w:themeColor="text1"/>
          <w:sz w:val="28"/>
          <w:szCs w:val="32"/>
        </w:rPr>
        <w:t>%</w:t>
      </w:r>
      <w:r w:rsidRPr="00606F16">
        <w:rPr>
          <w:rFonts w:ascii="Times New Roman" w:eastAsia="標楷體" w:hAnsi="Times New Roman" w:cs="Times New Roman"/>
          <w:color w:val="000000" w:themeColor="text1"/>
          <w:kern w:val="0"/>
          <w:sz w:val="28"/>
          <w:szCs w:val="32"/>
        </w:rPr>
        <w:t>至</w:t>
      </w:r>
      <w:r w:rsidRPr="00606F16">
        <w:rPr>
          <w:rFonts w:ascii="Times New Roman" w:eastAsia="標楷體" w:hAnsi="Times New Roman" w:cs="Times New Roman"/>
          <w:color w:val="000000" w:themeColor="text1"/>
          <w:kern w:val="0"/>
          <w:sz w:val="28"/>
          <w:szCs w:val="32"/>
        </w:rPr>
        <w:t>6.3</w:t>
      </w:r>
      <w:r w:rsidRPr="00606F16">
        <w:rPr>
          <w:rFonts w:ascii="Times New Roman" w:eastAsia="標楷體" w:hAnsi="Times New Roman" w:cs="Times New Roman"/>
          <w:color w:val="000000" w:themeColor="text1"/>
          <w:sz w:val="28"/>
          <w:szCs w:val="32"/>
        </w:rPr>
        <w:t>%</w:t>
      </w:r>
      <w:proofErr w:type="gramStart"/>
      <w:r w:rsidRPr="00606F16">
        <w:rPr>
          <w:rFonts w:ascii="Times New Roman" w:eastAsia="標楷體" w:hAnsi="Times New Roman" w:cs="Times New Roman"/>
          <w:color w:val="000000" w:themeColor="text1"/>
          <w:kern w:val="0"/>
          <w:sz w:val="28"/>
          <w:szCs w:val="32"/>
        </w:rPr>
        <w:t>之間，</w:t>
      </w:r>
      <w:proofErr w:type="gramEnd"/>
      <w:r w:rsidRPr="00606F16">
        <w:rPr>
          <w:rFonts w:ascii="Times New Roman" w:eastAsia="標楷體" w:hAnsi="Times New Roman" w:cs="Times New Roman"/>
          <w:color w:val="000000" w:themeColor="text1"/>
          <w:kern w:val="0"/>
          <w:sz w:val="28"/>
          <w:szCs w:val="32"/>
        </w:rPr>
        <w:t>顯示經濟成長恐將持續下滑。</w:t>
      </w:r>
    </w:p>
    <w:p w:rsidR="007E3448" w:rsidRPr="00606F16" w:rsidRDefault="007E3448" w:rsidP="007E3448">
      <w:pPr>
        <w:widowControl/>
        <w:snapToGrid w:val="0"/>
        <w:spacing w:beforeLines="50" w:before="180" w:afterLines="50" w:after="180" w:line="480" w:lineRule="exact"/>
        <w:ind w:left="-54"/>
        <w:jc w:val="both"/>
        <w:rPr>
          <w:rFonts w:ascii="Times New Roman" w:eastAsia="標楷體" w:hAnsi="Times New Roman" w:cs="Times New Roman"/>
          <w:b/>
          <w:color w:val="000000" w:themeColor="text1"/>
          <w:kern w:val="0"/>
          <w:sz w:val="28"/>
          <w:szCs w:val="32"/>
        </w:rPr>
      </w:pPr>
      <w:r w:rsidRPr="00606F16">
        <w:rPr>
          <w:rFonts w:ascii="Times New Roman" w:eastAsia="標楷體" w:hAnsi="Times New Roman" w:cs="Times New Roman"/>
          <w:b/>
          <w:color w:val="000000" w:themeColor="text1"/>
          <w:kern w:val="0"/>
          <w:sz w:val="28"/>
          <w:szCs w:val="32"/>
        </w:rPr>
        <w:t>一、總體經濟情勢</w:t>
      </w:r>
    </w:p>
    <w:p w:rsidR="007E3448" w:rsidRPr="00606F16" w:rsidRDefault="007E3448" w:rsidP="002A4962">
      <w:pPr>
        <w:pStyle w:val="a3"/>
        <w:widowControl/>
        <w:numPr>
          <w:ilvl w:val="0"/>
          <w:numId w:val="16"/>
        </w:numPr>
        <w:snapToGrid w:val="0"/>
        <w:spacing w:beforeLines="25" w:before="90" w:line="480" w:lineRule="exact"/>
        <w:ind w:leftChars="0" w:left="426"/>
        <w:jc w:val="both"/>
        <w:rPr>
          <w:rFonts w:eastAsia="標楷體"/>
          <w:color w:val="000000" w:themeColor="text1"/>
          <w:kern w:val="0"/>
          <w:sz w:val="28"/>
          <w:szCs w:val="32"/>
        </w:rPr>
      </w:pPr>
      <w:r w:rsidRPr="00606F16">
        <w:rPr>
          <w:rFonts w:eastAsia="標楷體"/>
          <w:b/>
          <w:color w:val="000000" w:themeColor="text1"/>
          <w:kern w:val="0"/>
          <w:sz w:val="28"/>
          <w:szCs w:val="32"/>
        </w:rPr>
        <w:t>消費動能走弱：</w:t>
      </w:r>
      <w:r w:rsidRPr="00606F16">
        <w:rPr>
          <w:rFonts w:eastAsia="標楷體"/>
          <w:sz w:val="28"/>
          <w:szCs w:val="32"/>
        </w:rPr>
        <w:t xml:space="preserve"> 2018</w:t>
      </w:r>
      <w:r w:rsidRPr="00606F16">
        <w:rPr>
          <w:rFonts w:eastAsia="標楷體"/>
          <w:sz w:val="28"/>
          <w:szCs w:val="32"/>
        </w:rPr>
        <w:t>年中國大陸社會消費品零售總額成長</w:t>
      </w:r>
      <w:r w:rsidRPr="00606F16">
        <w:rPr>
          <w:rFonts w:eastAsia="標楷體"/>
          <w:sz w:val="28"/>
          <w:szCs w:val="32"/>
        </w:rPr>
        <w:t>9.0</w:t>
      </w:r>
      <w:r w:rsidRPr="00606F16">
        <w:rPr>
          <w:rFonts w:eastAsia="標楷體"/>
          <w:color w:val="000000" w:themeColor="text1"/>
          <w:sz w:val="28"/>
          <w:szCs w:val="32"/>
        </w:rPr>
        <w:t>%</w:t>
      </w:r>
      <w:r w:rsidRPr="00606F16">
        <w:rPr>
          <w:rFonts w:eastAsia="標楷體"/>
          <w:sz w:val="28"/>
          <w:szCs w:val="32"/>
        </w:rPr>
        <w:t>，較</w:t>
      </w:r>
      <w:r w:rsidRPr="00606F16">
        <w:rPr>
          <w:rFonts w:eastAsia="標楷體"/>
          <w:sz w:val="28"/>
          <w:szCs w:val="32"/>
        </w:rPr>
        <w:t>2017</w:t>
      </w:r>
      <w:r w:rsidRPr="00606F16">
        <w:rPr>
          <w:rFonts w:eastAsia="標楷體"/>
          <w:sz w:val="28"/>
          <w:szCs w:val="32"/>
        </w:rPr>
        <w:t>年減少</w:t>
      </w:r>
      <w:r w:rsidRPr="00606F16">
        <w:rPr>
          <w:rFonts w:eastAsia="標楷體"/>
          <w:sz w:val="28"/>
          <w:szCs w:val="32"/>
        </w:rPr>
        <w:t>1.2</w:t>
      </w:r>
      <w:r w:rsidRPr="00606F16">
        <w:rPr>
          <w:rFonts w:eastAsia="標楷體"/>
          <w:sz w:val="28"/>
          <w:szCs w:val="32"/>
        </w:rPr>
        <w:t>個百分點。其中，</w:t>
      </w:r>
      <w:r w:rsidRPr="00606F16">
        <w:rPr>
          <w:rFonts w:eastAsia="標楷體"/>
          <w:color w:val="000000" w:themeColor="text1"/>
          <w:sz w:val="28"/>
          <w:szCs w:val="32"/>
        </w:rPr>
        <w:t>受到政府持續對房地產市場調控影響，</w:t>
      </w:r>
      <w:r w:rsidRPr="00606F16">
        <w:rPr>
          <w:rFonts w:eastAsia="標楷體"/>
          <w:color w:val="000000" w:themeColor="text1"/>
          <w:kern w:val="0"/>
          <w:sz w:val="28"/>
          <w:szCs w:val="32"/>
        </w:rPr>
        <w:t>家用電器、傢俱、建築及裝潢材料類較上年減少</w:t>
      </w:r>
      <w:r w:rsidRPr="00606F16">
        <w:rPr>
          <w:rFonts w:eastAsia="標楷體"/>
          <w:color w:val="000000" w:themeColor="text1"/>
          <w:kern w:val="0"/>
          <w:sz w:val="28"/>
          <w:szCs w:val="32"/>
        </w:rPr>
        <w:t>12.1%</w:t>
      </w:r>
      <w:r w:rsidRPr="00606F16">
        <w:rPr>
          <w:rFonts w:eastAsia="標楷體"/>
          <w:color w:val="000000" w:themeColor="text1"/>
          <w:kern w:val="0"/>
          <w:sz w:val="28"/>
          <w:szCs w:val="32"/>
        </w:rPr>
        <w:t>，</w:t>
      </w:r>
      <w:proofErr w:type="gramStart"/>
      <w:r w:rsidRPr="00606F16">
        <w:rPr>
          <w:rFonts w:eastAsia="標楷體"/>
          <w:color w:val="000000" w:themeColor="text1"/>
          <w:sz w:val="28"/>
          <w:szCs w:val="32"/>
        </w:rPr>
        <w:t>另</w:t>
      </w:r>
      <w:proofErr w:type="gramEnd"/>
      <w:r w:rsidRPr="00606F16">
        <w:rPr>
          <w:rFonts w:eastAsia="標楷體"/>
          <w:color w:val="000000" w:themeColor="text1"/>
          <w:sz w:val="28"/>
          <w:szCs w:val="32"/>
        </w:rPr>
        <w:t>，汽車消費則</w:t>
      </w:r>
      <w:r w:rsidRPr="00606F16">
        <w:rPr>
          <w:rFonts w:eastAsia="標楷體"/>
          <w:color w:val="000000" w:themeColor="text1"/>
          <w:kern w:val="0"/>
          <w:sz w:val="28"/>
          <w:szCs w:val="32"/>
        </w:rPr>
        <w:t>由上年成長</w:t>
      </w:r>
      <w:r w:rsidRPr="00606F16">
        <w:rPr>
          <w:rFonts w:eastAsia="標楷體"/>
          <w:color w:val="000000" w:themeColor="text1"/>
          <w:kern w:val="0"/>
          <w:sz w:val="28"/>
          <w:szCs w:val="32"/>
        </w:rPr>
        <w:t>5.6%</w:t>
      </w:r>
      <w:r w:rsidRPr="00606F16">
        <w:rPr>
          <w:rFonts w:eastAsia="標楷體"/>
          <w:color w:val="000000" w:themeColor="text1"/>
          <w:kern w:val="0"/>
          <w:sz w:val="28"/>
          <w:szCs w:val="32"/>
        </w:rPr>
        <w:t>轉為衰退</w:t>
      </w:r>
      <w:r w:rsidRPr="00606F16">
        <w:rPr>
          <w:rFonts w:eastAsia="標楷體"/>
          <w:color w:val="000000" w:themeColor="text1"/>
          <w:kern w:val="0"/>
          <w:sz w:val="28"/>
          <w:szCs w:val="32"/>
        </w:rPr>
        <w:t>2.4%</w:t>
      </w:r>
      <w:r w:rsidRPr="00606F16">
        <w:rPr>
          <w:rFonts w:eastAsia="標楷體"/>
          <w:color w:val="000000" w:themeColor="text1"/>
          <w:kern w:val="0"/>
          <w:sz w:val="28"/>
          <w:szCs w:val="32"/>
        </w:rPr>
        <w:t>。</w:t>
      </w:r>
      <w:r w:rsidRPr="00606F16">
        <w:rPr>
          <w:rFonts w:eastAsia="標楷體"/>
          <w:color w:val="000000" w:themeColor="text1"/>
          <w:kern w:val="0"/>
          <w:sz w:val="28"/>
          <w:szCs w:val="32"/>
        </w:rPr>
        <w:t xml:space="preserve"> </w:t>
      </w:r>
    </w:p>
    <w:p w:rsidR="007E3448" w:rsidRPr="00606F16" w:rsidRDefault="007E3448" w:rsidP="002A4962">
      <w:pPr>
        <w:pStyle w:val="a3"/>
        <w:widowControl/>
        <w:numPr>
          <w:ilvl w:val="0"/>
          <w:numId w:val="16"/>
        </w:numPr>
        <w:snapToGrid w:val="0"/>
        <w:spacing w:beforeLines="25" w:before="90" w:line="480" w:lineRule="exact"/>
        <w:ind w:leftChars="0" w:left="426"/>
        <w:jc w:val="both"/>
        <w:rPr>
          <w:rFonts w:eastAsia="標楷體"/>
          <w:b/>
          <w:color w:val="000000" w:themeColor="text1"/>
          <w:kern w:val="0"/>
          <w:sz w:val="28"/>
          <w:szCs w:val="32"/>
        </w:rPr>
      </w:pPr>
      <w:r w:rsidRPr="00606F16">
        <w:rPr>
          <w:rFonts w:eastAsia="標楷體"/>
          <w:b/>
          <w:color w:val="000000" w:themeColor="text1"/>
          <w:kern w:val="0"/>
          <w:sz w:val="28"/>
          <w:szCs w:val="32"/>
        </w:rPr>
        <w:t>投資成長</w:t>
      </w:r>
      <w:r w:rsidR="00861A3E">
        <w:rPr>
          <w:rFonts w:eastAsia="標楷體" w:hint="eastAsia"/>
          <w:b/>
          <w:color w:val="000000" w:themeColor="text1"/>
          <w:kern w:val="0"/>
          <w:sz w:val="28"/>
          <w:szCs w:val="32"/>
        </w:rPr>
        <w:t>減緩</w:t>
      </w:r>
      <w:r w:rsidRPr="00606F16">
        <w:rPr>
          <w:rFonts w:eastAsia="標楷體"/>
          <w:b/>
          <w:color w:val="000000" w:themeColor="text1"/>
          <w:kern w:val="0"/>
          <w:sz w:val="28"/>
          <w:szCs w:val="32"/>
        </w:rPr>
        <w:t>：</w:t>
      </w:r>
      <w:r w:rsidRPr="00606F16">
        <w:rPr>
          <w:rFonts w:eastAsia="標楷體"/>
          <w:color w:val="000000" w:themeColor="text1"/>
          <w:sz w:val="28"/>
          <w:szCs w:val="32"/>
        </w:rPr>
        <w:t>在抑制信貸擴張及削減過剩產能影響下，</w:t>
      </w:r>
      <w:r w:rsidRPr="00606F16">
        <w:rPr>
          <w:rFonts w:eastAsia="標楷體"/>
          <w:color w:val="000000" w:themeColor="text1"/>
          <w:sz w:val="28"/>
          <w:szCs w:val="32"/>
        </w:rPr>
        <w:t>2018</w:t>
      </w:r>
      <w:r w:rsidRPr="00606F16">
        <w:rPr>
          <w:rFonts w:eastAsia="標楷體"/>
          <w:color w:val="000000" w:themeColor="text1"/>
          <w:sz w:val="28"/>
          <w:szCs w:val="32"/>
        </w:rPr>
        <w:t>年中國大陸固定資產投資僅成長</w:t>
      </w:r>
      <w:r w:rsidRPr="00606F16">
        <w:rPr>
          <w:rFonts w:eastAsia="標楷體"/>
          <w:color w:val="000000" w:themeColor="text1"/>
          <w:sz w:val="28"/>
          <w:szCs w:val="32"/>
        </w:rPr>
        <w:t>5.9%</w:t>
      </w:r>
      <w:r w:rsidRPr="00606F16">
        <w:rPr>
          <w:rFonts w:eastAsia="標楷體"/>
          <w:color w:val="000000" w:themeColor="text1"/>
          <w:sz w:val="28"/>
          <w:szCs w:val="32"/>
        </w:rPr>
        <w:t>，成長幅度較</w:t>
      </w:r>
      <w:r w:rsidRPr="00606F16">
        <w:rPr>
          <w:rFonts w:eastAsia="標楷體"/>
          <w:color w:val="000000" w:themeColor="text1"/>
          <w:sz w:val="28"/>
          <w:szCs w:val="32"/>
        </w:rPr>
        <w:t>2017</w:t>
      </w:r>
      <w:r w:rsidRPr="00606F16">
        <w:rPr>
          <w:rFonts w:eastAsia="標楷體"/>
          <w:color w:val="000000" w:themeColor="text1"/>
          <w:sz w:val="28"/>
          <w:szCs w:val="32"/>
        </w:rPr>
        <w:t>年下降</w:t>
      </w:r>
      <w:r w:rsidRPr="00606F16">
        <w:rPr>
          <w:rFonts w:eastAsia="標楷體"/>
          <w:color w:val="000000" w:themeColor="text1"/>
          <w:sz w:val="28"/>
          <w:szCs w:val="32"/>
        </w:rPr>
        <w:t>1.3</w:t>
      </w:r>
      <w:r w:rsidRPr="00606F16">
        <w:rPr>
          <w:rFonts w:eastAsia="標楷體"/>
          <w:color w:val="000000" w:themeColor="text1"/>
          <w:sz w:val="28"/>
          <w:szCs w:val="32"/>
        </w:rPr>
        <w:t>個百分點，已連續</w:t>
      </w:r>
      <w:r w:rsidRPr="00606F16">
        <w:rPr>
          <w:rFonts w:eastAsia="標楷體"/>
          <w:color w:val="000000" w:themeColor="text1"/>
          <w:sz w:val="28"/>
          <w:szCs w:val="32"/>
        </w:rPr>
        <w:t>9</w:t>
      </w:r>
      <w:r w:rsidRPr="00606F16">
        <w:rPr>
          <w:rFonts w:eastAsia="標楷體"/>
          <w:color w:val="000000" w:themeColor="text1"/>
          <w:sz w:val="28"/>
          <w:szCs w:val="32"/>
        </w:rPr>
        <w:t>年出現成長下滑現象。</w:t>
      </w:r>
    </w:p>
    <w:p w:rsidR="007E3448" w:rsidRPr="00606F16" w:rsidRDefault="007E3448" w:rsidP="00606F16">
      <w:pPr>
        <w:pStyle w:val="a3"/>
        <w:widowControl/>
        <w:numPr>
          <w:ilvl w:val="0"/>
          <w:numId w:val="16"/>
        </w:numPr>
        <w:snapToGrid w:val="0"/>
        <w:spacing w:beforeLines="25" w:before="90" w:line="480" w:lineRule="exact"/>
        <w:ind w:leftChars="0" w:left="426"/>
        <w:jc w:val="both"/>
        <w:rPr>
          <w:rFonts w:eastAsia="標楷體"/>
          <w:color w:val="000000" w:themeColor="text1"/>
          <w:kern w:val="0"/>
          <w:sz w:val="28"/>
          <w:szCs w:val="32"/>
        </w:rPr>
      </w:pPr>
      <w:r w:rsidRPr="00606F16">
        <w:rPr>
          <w:rFonts w:eastAsia="標楷體"/>
          <w:b/>
          <w:color w:val="000000" w:themeColor="text1"/>
          <w:sz w:val="28"/>
          <w:szCs w:val="32"/>
        </w:rPr>
        <w:t>外貿成長持續擴張：</w:t>
      </w:r>
      <w:r w:rsidRPr="00606F16">
        <w:rPr>
          <w:rFonts w:eastAsia="標楷體"/>
          <w:color w:val="000000" w:themeColor="text1"/>
          <w:sz w:val="28"/>
          <w:szCs w:val="32"/>
        </w:rPr>
        <w:t>雖然美中貿易摩擦依舊緊張，但受惠於廠商搶出口及人民幣貶值影響，中國大陸外貿仍舊持續擴張。</w:t>
      </w:r>
      <w:r w:rsidRPr="00606F16">
        <w:rPr>
          <w:rFonts w:eastAsia="標楷體"/>
          <w:color w:val="000000" w:themeColor="text1"/>
          <w:sz w:val="28"/>
          <w:szCs w:val="32"/>
        </w:rPr>
        <w:t>2018</w:t>
      </w:r>
      <w:r w:rsidRPr="00606F16">
        <w:rPr>
          <w:rFonts w:eastAsia="標楷體"/>
          <w:color w:val="000000" w:themeColor="text1"/>
          <w:sz w:val="28"/>
          <w:szCs w:val="32"/>
        </w:rPr>
        <w:t>年對外貿易成長</w:t>
      </w:r>
      <w:r w:rsidRPr="00606F16">
        <w:rPr>
          <w:rFonts w:eastAsia="標楷體"/>
          <w:color w:val="000000" w:themeColor="text1"/>
          <w:sz w:val="28"/>
          <w:szCs w:val="32"/>
        </w:rPr>
        <w:t>12.6%</w:t>
      </w:r>
      <w:r w:rsidRPr="00606F16">
        <w:rPr>
          <w:rFonts w:eastAsia="標楷體"/>
          <w:color w:val="000000" w:themeColor="text1"/>
          <w:sz w:val="28"/>
          <w:szCs w:val="32"/>
        </w:rPr>
        <w:t>，其中，出口成長</w:t>
      </w:r>
      <w:r w:rsidRPr="00606F16">
        <w:rPr>
          <w:rFonts w:eastAsia="標楷體"/>
          <w:color w:val="000000" w:themeColor="text1"/>
          <w:sz w:val="28"/>
          <w:szCs w:val="32"/>
        </w:rPr>
        <w:t>9.9%</w:t>
      </w:r>
      <w:r w:rsidRPr="00606F16">
        <w:rPr>
          <w:rFonts w:eastAsia="標楷體"/>
          <w:color w:val="000000" w:themeColor="text1"/>
          <w:sz w:val="28"/>
          <w:szCs w:val="32"/>
        </w:rPr>
        <w:t>，進口成長</w:t>
      </w:r>
      <w:r w:rsidRPr="00606F16">
        <w:rPr>
          <w:rFonts w:eastAsia="標楷體"/>
          <w:color w:val="000000" w:themeColor="text1"/>
          <w:sz w:val="28"/>
          <w:szCs w:val="32"/>
        </w:rPr>
        <w:t>15.8%</w:t>
      </w:r>
      <w:r w:rsidRPr="00606F16">
        <w:rPr>
          <w:rFonts w:eastAsia="標楷體"/>
          <w:color w:val="000000" w:themeColor="text1"/>
          <w:sz w:val="28"/>
          <w:szCs w:val="32"/>
        </w:rPr>
        <w:t>。惟美中貿易戰影響已逐步發酵，</w:t>
      </w:r>
      <w:r w:rsidRPr="00606F16">
        <w:rPr>
          <w:rFonts w:eastAsia="標楷體"/>
          <w:color w:val="000000" w:themeColor="text1"/>
          <w:sz w:val="28"/>
          <w:szCs w:val="32"/>
        </w:rPr>
        <w:t>2018</w:t>
      </w:r>
      <w:r w:rsidRPr="00606F16">
        <w:rPr>
          <w:rFonts w:eastAsia="標楷體"/>
          <w:color w:val="000000" w:themeColor="text1"/>
          <w:sz w:val="28"/>
          <w:szCs w:val="32"/>
        </w:rPr>
        <w:t>年第</w:t>
      </w:r>
      <w:r w:rsidRPr="00606F16">
        <w:rPr>
          <w:rFonts w:eastAsia="標楷體"/>
          <w:color w:val="000000" w:themeColor="text1"/>
          <w:sz w:val="28"/>
          <w:szCs w:val="32"/>
        </w:rPr>
        <w:t>4</w:t>
      </w:r>
      <w:r w:rsidRPr="00606F16">
        <w:rPr>
          <w:rFonts w:eastAsia="標楷體"/>
          <w:color w:val="000000" w:themeColor="text1"/>
          <w:sz w:val="28"/>
          <w:szCs w:val="32"/>
        </w:rPr>
        <w:t>季出</w:t>
      </w:r>
      <w:r w:rsidR="00606F16" w:rsidRPr="00606F16">
        <w:rPr>
          <w:rFonts w:eastAsia="標楷體"/>
          <w:color w:val="000000" w:themeColor="text1"/>
          <w:sz w:val="28"/>
          <w:szCs w:val="32"/>
        </w:rPr>
        <w:t>、</w:t>
      </w:r>
      <w:r w:rsidRPr="00606F16">
        <w:rPr>
          <w:rFonts w:eastAsia="標楷體"/>
          <w:color w:val="000000" w:themeColor="text1"/>
          <w:sz w:val="28"/>
          <w:szCs w:val="32"/>
        </w:rPr>
        <w:t>進口年增率僅分別成長</w:t>
      </w:r>
      <w:r w:rsidRPr="00606F16">
        <w:rPr>
          <w:rFonts w:eastAsia="標楷體"/>
          <w:color w:val="000000" w:themeColor="text1"/>
          <w:sz w:val="28"/>
          <w:szCs w:val="32"/>
        </w:rPr>
        <w:t>5.3%</w:t>
      </w:r>
      <w:r w:rsidRPr="00606F16">
        <w:rPr>
          <w:rFonts w:eastAsia="標楷體"/>
          <w:color w:val="000000" w:themeColor="text1"/>
          <w:sz w:val="28"/>
          <w:szCs w:val="32"/>
        </w:rPr>
        <w:t>及</w:t>
      </w:r>
      <w:r w:rsidRPr="00606F16">
        <w:rPr>
          <w:rFonts w:eastAsia="標楷體"/>
          <w:color w:val="000000" w:themeColor="text1"/>
          <w:sz w:val="28"/>
          <w:szCs w:val="32"/>
        </w:rPr>
        <w:t>5.1%</w:t>
      </w:r>
      <w:r w:rsidRPr="00606F16">
        <w:rPr>
          <w:rFonts w:eastAsia="標楷體"/>
          <w:color w:val="000000" w:themeColor="text1"/>
          <w:sz w:val="28"/>
          <w:szCs w:val="32"/>
        </w:rPr>
        <w:t>，與前</w:t>
      </w:r>
      <w:r w:rsidRPr="00606F16">
        <w:rPr>
          <w:rFonts w:eastAsia="標楷體"/>
          <w:color w:val="000000" w:themeColor="text1"/>
          <w:sz w:val="28"/>
          <w:szCs w:val="32"/>
        </w:rPr>
        <w:t>3</w:t>
      </w:r>
      <w:r w:rsidRPr="00606F16">
        <w:rPr>
          <w:rFonts w:eastAsia="標楷體"/>
          <w:color w:val="000000" w:themeColor="text1"/>
          <w:sz w:val="28"/>
          <w:szCs w:val="32"/>
        </w:rPr>
        <w:t>季兩位數成長相較明顯縮減。</w:t>
      </w:r>
    </w:p>
    <w:p w:rsidR="007E3448" w:rsidRPr="00606F16" w:rsidRDefault="007E3448" w:rsidP="00E74BCC">
      <w:pPr>
        <w:pStyle w:val="a3"/>
        <w:widowControl/>
        <w:numPr>
          <w:ilvl w:val="0"/>
          <w:numId w:val="16"/>
        </w:numPr>
        <w:snapToGrid w:val="0"/>
        <w:spacing w:beforeLines="50" w:before="180" w:line="480" w:lineRule="exact"/>
        <w:ind w:leftChars="0" w:left="426"/>
        <w:jc w:val="both"/>
        <w:rPr>
          <w:rFonts w:eastAsia="標楷體"/>
          <w:color w:val="000000" w:themeColor="text1"/>
          <w:kern w:val="0"/>
          <w:sz w:val="28"/>
          <w:szCs w:val="32"/>
        </w:rPr>
      </w:pPr>
      <w:r w:rsidRPr="00606F16">
        <w:rPr>
          <w:rFonts w:eastAsia="標楷體"/>
          <w:b/>
          <w:color w:val="000000" w:themeColor="text1"/>
          <w:sz w:val="28"/>
          <w:szCs w:val="32"/>
        </w:rPr>
        <w:t>工業生產動能疲弱：</w:t>
      </w:r>
      <w:r w:rsidRPr="00606F16">
        <w:rPr>
          <w:rFonts w:eastAsia="標楷體"/>
          <w:color w:val="000000" w:themeColor="text1"/>
          <w:sz w:val="28"/>
          <w:szCs w:val="32"/>
        </w:rPr>
        <w:t>受到國內消費與投資疲弱影響，</w:t>
      </w:r>
      <w:r w:rsidRPr="00606F16">
        <w:rPr>
          <w:rFonts w:eastAsia="標楷體"/>
          <w:color w:val="000000" w:themeColor="text1"/>
          <w:sz w:val="28"/>
          <w:szCs w:val="32"/>
        </w:rPr>
        <w:t>2018</w:t>
      </w:r>
      <w:r w:rsidRPr="00606F16">
        <w:rPr>
          <w:rFonts w:eastAsia="標楷體"/>
          <w:color w:val="000000" w:themeColor="text1"/>
          <w:sz w:val="28"/>
          <w:szCs w:val="32"/>
        </w:rPr>
        <w:t>年中國大陸全國規模以上工業增加值成長</w:t>
      </w:r>
      <w:r w:rsidRPr="00606F16">
        <w:rPr>
          <w:rFonts w:eastAsia="標楷體"/>
          <w:color w:val="000000" w:themeColor="text1"/>
          <w:sz w:val="28"/>
          <w:szCs w:val="32"/>
        </w:rPr>
        <w:t>6.2%</w:t>
      </w:r>
      <w:r w:rsidRPr="00606F16">
        <w:rPr>
          <w:rFonts w:eastAsia="標楷體"/>
          <w:color w:val="000000" w:themeColor="text1"/>
          <w:sz w:val="28"/>
          <w:szCs w:val="32"/>
        </w:rPr>
        <w:t>，較上年減少</w:t>
      </w:r>
      <w:r w:rsidRPr="00606F16">
        <w:rPr>
          <w:rFonts w:eastAsia="標楷體"/>
          <w:color w:val="000000" w:themeColor="text1"/>
          <w:sz w:val="28"/>
          <w:szCs w:val="32"/>
        </w:rPr>
        <w:t>0.4</w:t>
      </w:r>
      <w:r w:rsidRPr="00606F16">
        <w:rPr>
          <w:rFonts w:eastAsia="標楷體"/>
          <w:color w:val="000000" w:themeColor="text1"/>
          <w:sz w:val="28"/>
          <w:szCs w:val="32"/>
        </w:rPr>
        <w:t>個百分點。其中，</w:t>
      </w:r>
      <w:r w:rsidR="00861A3E">
        <w:rPr>
          <w:rFonts w:eastAsia="標楷體" w:hint="eastAsia"/>
          <w:color w:val="000000" w:themeColor="text1"/>
          <w:sz w:val="28"/>
          <w:szCs w:val="32"/>
        </w:rPr>
        <w:t>各</w:t>
      </w:r>
      <w:r w:rsidRPr="00606F16">
        <w:rPr>
          <w:rFonts w:eastAsia="標楷體"/>
          <w:color w:val="000000" w:themeColor="text1"/>
          <w:sz w:val="28"/>
          <w:szCs w:val="32"/>
        </w:rPr>
        <w:t>季工業增加值分別為</w:t>
      </w:r>
      <w:r w:rsidRPr="00606F16">
        <w:rPr>
          <w:rFonts w:eastAsia="標楷體"/>
          <w:color w:val="000000" w:themeColor="text1"/>
          <w:sz w:val="28"/>
          <w:szCs w:val="32"/>
        </w:rPr>
        <w:t>6.8%</w:t>
      </w:r>
      <w:r w:rsidRPr="00606F16">
        <w:rPr>
          <w:rFonts w:eastAsia="標楷體"/>
          <w:color w:val="000000" w:themeColor="text1"/>
          <w:sz w:val="28"/>
          <w:szCs w:val="32"/>
        </w:rPr>
        <w:t>、</w:t>
      </w:r>
      <w:r w:rsidRPr="00606F16">
        <w:rPr>
          <w:rFonts w:eastAsia="標楷體"/>
          <w:color w:val="000000" w:themeColor="text1"/>
          <w:sz w:val="28"/>
          <w:szCs w:val="32"/>
        </w:rPr>
        <w:t>6.6%</w:t>
      </w:r>
      <w:r w:rsidRPr="00606F16">
        <w:rPr>
          <w:rFonts w:eastAsia="標楷體"/>
          <w:color w:val="000000" w:themeColor="text1"/>
          <w:sz w:val="28"/>
          <w:szCs w:val="32"/>
        </w:rPr>
        <w:t>、</w:t>
      </w:r>
      <w:r w:rsidRPr="00606F16">
        <w:rPr>
          <w:rFonts w:eastAsia="標楷體"/>
          <w:color w:val="000000" w:themeColor="text1"/>
          <w:sz w:val="28"/>
          <w:szCs w:val="32"/>
        </w:rPr>
        <w:t>6.0%</w:t>
      </w:r>
      <w:r w:rsidRPr="00606F16">
        <w:rPr>
          <w:rFonts w:eastAsia="標楷體"/>
          <w:color w:val="000000" w:themeColor="text1"/>
          <w:sz w:val="28"/>
          <w:szCs w:val="32"/>
        </w:rPr>
        <w:t>及</w:t>
      </w:r>
      <w:r w:rsidRPr="00606F16">
        <w:rPr>
          <w:rFonts w:eastAsia="標楷體"/>
          <w:color w:val="000000" w:themeColor="text1"/>
          <w:sz w:val="28"/>
          <w:szCs w:val="32"/>
        </w:rPr>
        <w:t>5.4%</w:t>
      </w:r>
      <w:r w:rsidRPr="00606F16">
        <w:rPr>
          <w:rFonts w:eastAsia="標楷體"/>
          <w:color w:val="000000" w:themeColor="text1"/>
          <w:sz w:val="28"/>
          <w:szCs w:val="32"/>
        </w:rPr>
        <w:t>，成長幅度逐季走緩。</w:t>
      </w:r>
    </w:p>
    <w:p w:rsidR="007E3448" w:rsidRPr="00606F16" w:rsidRDefault="007E3448" w:rsidP="00861A3E">
      <w:pPr>
        <w:pStyle w:val="a3"/>
        <w:widowControl/>
        <w:numPr>
          <w:ilvl w:val="0"/>
          <w:numId w:val="16"/>
        </w:numPr>
        <w:snapToGrid w:val="0"/>
        <w:spacing w:beforeLines="50" w:before="180" w:line="480" w:lineRule="exact"/>
        <w:ind w:leftChars="0" w:left="426"/>
        <w:jc w:val="both"/>
        <w:rPr>
          <w:rFonts w:eastAsia="標楷體"/>
          <w:b/>
          <w:color w:val="000000" w:themeColor="text1"/>
          <w:kern w:val="0"/>
          <w:sz w:val="28"/>
          <w:szCs w:val="32"/>
        </w:rPr>
      </w:pPr>
      <w:r w:rsidRPr="00606F16">
        <w:rPr>
          <w:rFonts w:eastAsia="標楷體"/>
          <w:b/>
          <w:color w:val="000000" w:themeColor="text1"/>
          <w:sz w:val="28"/>
          <w:szCs w:val="32"/>
        </w:rPr>
        <w:t>物價走勢平穩</w:t>
      </w:r>
      <w:r w:rsidRPr="00606F16">
        <w:rPr>
          <w:rFonts w:eastAsia="標楷體"/>
          <w:b/>
          <w:color w:val="000000" w:themeColor="text1"/>
          <w:kern w:val="0"/>
          <w:sz w:val="28"/>
          <w:szCs w:val="32"/>
        </w:rPr>
        <w:t>：</w:t>
      </w:r>
      <w:r w:rsidRPr="00606F16">
        <w:rPr>
          <w:rFonts w:eastAsia="標楷體"/>
          <w:color w:val="000000" w:themeColor="text1"/>
          <w:sz w:val="28"/>
          <w:szCs w:val="32"/>
        </w:rPr>
        <w:t>雖然對美國大豆、汽車等商品加徵關稅，帶動部分物價上漲，但在食品以及汽柴油價格下跌帶動下，</w:t>
      </w:r>
      <w:r w:rsidRPr="00606F16">
        <w:rPr>
          <w:rFonts w:eastAsia="標楷體"/>
          <w:color w:val="000000" w:themeColor="text1"/>
          <w:sz w:val="28"/>
          <w:szCs w:val="32"/>
        </w:rPr>
        <w:t>2018</w:t>
      </w:r>
      <w:r w:rsidRPr="00606F16">
        <w:rPr>
          <w:rFonts w:eastAsia="標楷體"/>
          <w:color w:val="000000" w:themeColor="text1"/>
          <w:sz w:val="28"/>
          <w:szCs w:val="32"/>
        </w:rPr>
        <w:t>年</w:t>
      </w:r>
      <w:r w:rsidRPr="00606F16">
        <w:rPr>
          <w:rFonts w:eastAsia="標楷體"/>
          <w:color w:val="000000" w:themeColor="text1"/>
          <w:sz w:val="28"/>
          <w:szCs w:val="32"/>
        </w:rPr>
        <w:t>CPI</w:t>
      </w:r>
      <w:r w:rsidRPr="00606F16">
        <w:rPr>
          <w:rFonts w:eastAsia="標楷體"/>
          <w:color w:val="000000" w:themeColor="text1"/>
          <w:sz w:val="28"/>
          <w:szCs w:val="32"/>
        </w:rPr>
        <w:lastRenderedPageBreak/>
        <w:t>上漲</w:t>
      </w:r>
      <w:r w:rsidRPr="00606F16">
        <w:rPr>
          <w:rFonts w:eastAsia="標楷體"/>
          <w:color w:val="000000" w:themeColor="text1"/>
          <w:sz w:val="28"/>
          <w:szCs w:val="32"/>
        </w:rPr>
        <w:t>2.1%</w:t>
      </w:r>
      <w:r w:rsidRPr="00606F16">
        <w:rPr>
          <w:rFonts w:eastAsia="標楷體"/>
          <w:color w:val="000000" w:themeColor="text1"/>
          <w:sz w:val="28"/>
          <w:szCs w:val="32"/>
        </w:rPr>
        <w:t>，較上年增加</w:t>
      </w:r>
      <w:r w:rsidRPr="00606F16">
        <w:rPr>
          <w:rFonts w:eastAsia="標楷體"/>
          <w:color w:val="000000" w:themeColor="text1"/>
          <w:sz w:val="28"/>
          <w:szCs w:val="32"/>
        </w:rPr>
        <w:t>0.5</w:t>
      </w:r>
      <w:r w:rsidRPr="00606F16">
        <w:rPr>
          <w:rFonts w:eastAsia="標楷體"/>
          <w:color w:val="000000" w:themeColor="text1"/>
          <w:sz w:val="28"/>
          <w:szCs w:val="32"/>
        </w:rPr>
        <w:t>個百分點，漲幅尚稱平穩。</w:t>
      </w:r>
      <w:r w:rsidRPr="00606F16">
        <w:rPr>
          <w:rFonts w:eastAsia="標楷體"/>
          <w:color w:val="000000" w:themeColor="text1"/>
          <w:sz w:val="28"/>
          <w:szCs w:val="32"/>
        </w:rPr>
        <w:t>PPI</w:t>
      </w:r>
      <w:r w:rsidRPr="00606F16">
        <w:rPr>
          <w:rFonts w:eastAsia="標楷體"/>
          <w:color w:val="000000" w:themeColor="text1"/>
          <w:sz w:val="28"/>
          <w:szCs w:val="32"/>
        </w:rPr>
        <w:t>方面，</w:t>
      </w:r>
      <w:r w:rsidRPr="00606F16">
        <w:rPr>
          <w:rFonts w:eastAsia="標楷體"/>
          <w:color w:val="000000" w:themeColor="text1"/>
          <w:kern w:val="0"/>
          <w:sz w:val="28"/>
          <w:szCs w:val="32"/>
        </w:rPr>
        <w:t>2018</w:t>
      </w:r>
      <w:r w:rsidRPr="00606F16">
        <w:rPr>
          <w:rFonts w:eastAsia="標楷體"/>
          <w:color w:val="000000" w:themeColor="text1"/>
          <w:kern w:val="0"/>
          <w:sz w:val="28"/>
          <w:szCs w:val="32"/>
        </w:rPr>
        <w:t>年為</w:t>
      </w:r>
      <w:r w:rsidRPr="00606F16">
        <w:rPr>
          <w:rFonts w:eastAsia="標楷體"/>
          <w:color w:val="000000" w:themeColor="text1"/>
          <w:kern w:val="0"/>
          <w:sz w:val="28"/>
          <w:szCs w:val="32"/>
        </w:rPr>
        <w:t>3.5</w:t>
      </w:r>
      <w:r w:rsidRPr="00606F16">
        <w:rPr>
          <w:rFonts w:eastAsia="標楷體"/>
          <w:color w:val="000000" w:themeColor="text1"/>
          <w:sz w:val="28"/>
          <w:szCs w:val="32"/>
        </w:rPr>
        <w:t>%</w:t>
      </w:r>
      <w:r w:rsidRPr="00606F16">
        <w:rPr>
          <w:rFonts w:eastAsia="標楷體"/>
          <w:color w:val="000000" w:themeColor="text1"/>
          <w:kern w:val="0"/>
          <w:sz w:val="28"/>
          <w:szCs w:val="32"/>
        </w:rPr>
        <w:t>，較上年縮減</w:t>
      </w:r>
      <w:r w:rsidRPr="00606F16">
        <w:rPr>
          <w:rFonts w:eastAsia="標楷體"/>
          <w:color w:val="000000" w:themeColor="text1"/>
          <w:kern w:val="0"/>
          <w:sz w:val="28"/>
          <w:szCs w:val="32"/>
        </w:rPr>
        <w:t>2.8</w:t>
      </w:r>
      <w:r w:rsidRPr="00606F16">
        <w:rPr>
          <w:rFonts w:eastAsia="標楷體"/>
          <w:color w:val="000000" w:themeColor="text1"/>
          <w:kern w:val="0"/>
          <w:sz w:val="28"/>
          <w:szCs w:val="32"/>
        </w:rPr>
        <w:t>個百分點，除受環保限產影響外，油品價格下跌亦為重要因素。其中，</w:t>
      </w:r>
      <w:r w:rsidRPr="00606F16">
        <w:rPr>
          <w:rFonts w:eastAsia="標楷體"/>
          <w:color w:val="000000" w:themeColor="text1"/>
          <w:kern w:val="0"/>
          <w:sz w:val="28"/>
          <w:szCs w:val="32"/>
        </w:rPr>
        <w:t>2018</w:t>
      </w:r>
      <w:r w:rsidRPr="00606F16">
        <w:rPr>
          <w:rFonts w:eastAsia="標楷體"/>
          <w:color w:val="000000" w:themeColor="text1"/>
          <w:kern w:val="0"/>
          <w:sz w:val="28"/>
          <w:szCs w:val="32"/>
        </w:rPr>
        <w:t>年</w:t>
      </w:r>
      <w:r w:rsidRPr="00606F16">
        <w:rPr>
          <w:rFonts w:eastAsia="標楷體"/>
          <w:color w:val="000000" w:themeColor="text1"/>
          <w:kern w:val="0"/>
          <w:sz w:val="28"/>
          <w:szCs w:val="32"/>
        </w:rPr>
        <w:t>12</w:t>
      </w:r>
      <w:r w:rsidRPr="00606F16">
        <w:rPr>
          <w:rFonts w:eastAsia="標楷體"/>
          <w:color w:val="000000" w:themeColor="text1"/>
          <w:kern w:val="0"/>
          <w:sz w:val="28"/>
          <w:szCs w:val="32"/>
        </w:rPr>
        <w:t>月</w:t>
      </w:r>
      <w:r w:rsidRPr="00606F16">
        <w:rPr>
          <w:rFonts w:eastAsia="標楷體"/>
          <w:color w:val="000000" w:themeColor="text1"/>
          <w:kern w:val="0"/>
          <w:sz w:val="28"/>
          <w:szCs w:val="32"/>
        </w:rPr>
        <w:t>PPI</w:t>
      </w:r>
      <w:r w:rsidRPr="00606F16">
        <w:rPr>
          <w:rFonts w:eastAsia="標楷體"/>
          <w:color w:val="000000" w:themeColor="text1"/>
          <w:kern w:val="0"/>
          <w:sz w:val="28"/>
          <w:szCs w:val="32"/>
        </w:rPr>
        <w:t>漲幅僅</w:t>
      </w:r>
      <w:r w:rsidRPr="00606F16">
        <w:rPr>
          <w:rFonts w:eastAsia="標楷體"/>
          <w:color w:val="000000" w:themeColor="text1"/>
          <w:kern w:val="0"/>
          <w:sz w:val="28"/>
          <w:szCs w:val="32"/>
        </w:rPr>
        <w:t>0.9%</w:t>
      </w:r>
      <w:r w:rsidRPr="00606F16">
        <w:rPr>
          <w:rFonts w:eastAsia="標楷體"/>
          <w:color w:val="000000" w:themeColor="text1"/>
          <w:kern w:val="0"/>
          <w:sz w:val="28"/>
          <w:szCs w:val="32"/>
        </w:rPr>
        <w:t>，創</w:t>
      </w:r>
      <w:r w:rsidRPr="00606F16">
        <w:rPr>
          <w:rFonts w:eastAsia="標楷體"/>
          <w:color w:val="000000" w:themeColor="text1"/>
          <w:kern w:val="0"/>
          <w:sz w:val="28"/>
          <w:szCs w:val="32"/>
        </w:rPr>
        <w:t>2016</w:t>
      </w:r>
      <w:r w:rsidRPr="00606F16">
        <w:rPr>
          <w:rFonts w:eastAsia="標楷體"/>
          <w:color w:val="000000" w:themeColor="text1"/>
          <w:kern w:val="0"/>
          <w:sz w:val="28"/>
          <w:szCs w:val="32"/>
        </w:rPr>
        <w:t>年</w:t>
      </w:r>
      <w:r w:rsidRPr="00606F16">
        <w:rPr>
          <w:rFonts w:eastAsia="標楷體"/>
          <w:color w:val="000000" w:themeColor="text1"/>
          <w:kern w:val="0"/>
          <w:sz w:val="28"/>
          <w:szCs w:val="32"/>
        </w:rPr>
        <w:t>9</w:t>
      </w:r>
      <w:r w:rsidRPr="00606F16">
        <w:rPr>
          <w:rFonts w:eastAsia="標楷體"/>
          <w:color w:val="000000" w:themeColor="text1"/>
          <w:kern w:val="0"/>
          <w:sz w:val="28"/>
          <w:szCs w:val="32"/>
        </w:rPr>
        <w:t>月以來最低，</w:t>
      </w:r>
      <w:r w:rsidR="00861A3E">
        <w:rPr>
          <w:rFonts w:eastAsia="標楷體" w:hint="eastAsia"/>
          <w:color w:val="000000" w:themeColor="text1"/>
          <w:kern w:val="0"/>
          <w:sz w:val="28"/>
          <w:szCs w:val="32"/>
        </w:rPr>
        <w:t>彭博</w:t>
      </w:r>
      <w:r w:rsidR="00861A3E">
        <w:rPr>
          <w:rFonts w:eastAsia="標楷體" w:hint="eastAsia"/>
          <w:color w:val="000000" w:themeColor="text1"/>
          <w:kern w:val="0"/>
          <w:sz w:val="28"/>
          <w:szCs w:val="32"/>
        </w:rPr>
        <w:t>2</w:t>
      </w:r>
      <w:r w:rsidR="00861A3E">
        <w:rPr>
          <w:rFonts w:eastAsia="標楷體" w:hint="eastAsia"/>
          <w:color w:val="000000" w:themeColor="text1"/>
          <w:kern w:val="0"/>
          <w:sz w:val="28"/>
          <w:szCs w:val="32"/>
        </w:rPr>
        <w:t>月指出，</w:t>
      </w:r>
      <w:r w:rsidR="00861A3E">
        <w:rPr>
          <w:rFonts w:eastAsia="標楷體" w:hint="eastAsia"/>
          <w:color w:val="000000" w:themeColor="text1"/>
          <w:kern w:val="0"/>
          <w:sz w:val="28"/>
          <w:szCs w:val="32"/>
        </w:rPr>
        <w:t>PPI</w:t>
      </w:r>
      <w:r w:rsidR="00861A3E" w:rsidRPr="00861A3E">
        <w:rPr>
          <w:rFonts w:eastAsia="標楷體" w:hint="eastAsia"/>
          <w:color w:val="000000" w:themeColor="text1"/>
          <w:kern w:val="0"/>
          <w:sz w:val="28"/>
          <w:szCs w:val="32"/>
        </w:rPr>
        <w:t>漲勢放緩加劇通縮和獲利的疑慮</w:t>
      </w:r>
      <w:r w:rsidRPr="00606F16">
        <w:rPr>
          <w:rFonts w:eastAsia="標楷體"/>
          <w:b/>
          <w:color w:val="000000" w:themeColor="text1"/>
          <w:kern w:val="0"/>
          <w:sz w:val="28"/>
          <w:szCs w:val="32"/>
        </w:rPr>
        <w:t>。</w:t>
      </w:r>
      <w:r w:rsidRPr="00606F16">
        <w:rPr>
          <w:rFonts w:eastAsia="標楷體"/>
          <w:b/>
          <w:bCs/>
          <w:color w:val="000000" w:themeColor="text1"/>
          <w:sz w:val="28"/>
          <w:szCs w:val="28"/>
        </w:rPr>
        <w:t xml:space="preserve"> </w:t>
      </w:r>
    </w:p>
    <w:p w:rsidR="007E3448" w:rsidRPr="00606F16" w:rsidRDefault="007E3448" w:rsidP="007E3448">
      <w:pPr>
        <w:widowControl/>
        <w:snapToGrid w:val="0"/>
        <w:spacing w:beforeLines="50" w:before="180" w:afterLines="50" w:after="180" w:line="480" w:lineRule="exact"/>
        <w:ind w:left="-54"/>
        <w:jc w:val="both"/>
        <w:rPr>
          <w:rFonts w:ascii="Times New Roman" w:eastAsia="標楷體" w:hAnsi="Times New Roman" w:cs="Times New Roman"/>
          <w:b/>
          <w:color w:val="000000" w:themeColor="text1"/>
          <w:kern w:val="0"/>
          <w:sz w:val="28"/>
          <w:szCs w:val="32"/>
        </w:rPr>
      </w:pPr>
      <w:r w:rsidRPr="00606F16">
        <w:rPr>
          <w:rFonts w:ascii="Times New Roman" w:eastAsia="標楷體" w:hAnsi="Times New Roman" w:cs="Times New Roman"/>
          <w:b/>
          <w:color w:val="000000" w:themeColor="text1"/>
          <w:kern w:val="0"/>
          <w:sz w:val="28"/>
          <w:szCs w:val="32"/>
        </w:rPr>
        <w:t>二、金融情勢</w:t>
      </w:r>
    </w:p>
    <w:p w:rsidR="00EA5448" w:rsidRPr="00606F16" w:rsidRDefault="005D27BC" w:rsidP="002A4962">
      <w:pPr>
        <w:widowControl/>
        <w:numPr>
          <w:ilvl w:val="0"/>
          <w:numId w:val="5"/>
        </w:numPr>
        <w:tabs>
          <w:tab w:val="left" w:pos="567"/>
        </w:tabs>
        <w:autoSpaceDE w:val="0"/>
        <w:snapToGrid w:val="0"/>
        <w:spacing w:afterLines="50" w:after="180" w:line="480" w:lineRule="exact"/>
        <w:jc w:val="both"/>
        <w:rPr>
          <w:rFonts w:ascii="Times New Roman" w:eastAsia="標楷體" w:hAnsi="Times New Roman" w:cs="Times New Roman"/>
          <w:b/>
          <w:sz w:val="28"/>
          <w:szCs w:val="32"/>
        </w:rPr>
      </w:pPr>
      <w:r>
        <w:rPr>
          <w:rFonts w:ascii="Times New Roman" w:eastAsia="標楷體" w:hAnsi="Times New Roman" w:cs="Times New Roman" w:hint="eastAsia"/>
          <w:b/>
          <w:sz w:val="28"/>
          <w:szCs w:val="32"/>
        </w:rPr>
        <w:t>貨幣供給</w:t>
      </w:r>
      <w:proofErr w:type="gramStart"/>
      <w:r>
        <w:rPr>
          <w:rFonts w:ascii="Times New Roman" w:eastAsia="標楷體" w:hAnsi="Times New Roman" w:cs="Times New Roman" w:hint="eastAsia"/>
          <w:b/>
          <w:sz w:val="28"/>
          <w:szCs w:val="32"/>
        </w:rPr>
        <w:t>增幅</w:t>
      </w:r>
      <w:r w:rsidR="009F5F58" w:rsidRPr="00606F16">
        <w:rPr>
          <w:rFonts w:ascii="Times New Roman" w:eastAsia="標楷體" w:hAnsi="Times New Roman" w:cs="Times New Roman"/>
          <w:b/>
          <w:color w:val="000000" w:themeColor="text1"/>
          <w:sz w:val="28"/>
          <w:szCs w:val="28"/>
        </w:rPr>
        <w:t>略降</w:t>
      </w:r>
      <w:proofErr w:type="gramEnd"/>
      <w:r w:rsidR="001A6D51" w:rsidRPr="00606F16">
        <w:rPr>
          <w:rFonts w:ascii="Times New Roman" w:eastAsia="標楷體" w:hAnsi="Times New Roman" w:cs="Times New Roman"/>
          <w:b/>
          <w:sz w:val="28"/>
          <w:szCs w:val="32"/>
        </w:rPr>
        <w:t>：</w:t>
      </w:r>
      <w:r w:rsidR="00514E88" w:rsidRPr="00606F16">
        <w:rPr>
          <w:rFonts w:ascii="Times New Roman" w:eastAsia="標楷體" w:hAnsi="Times New Roman" w:cs="Times New Roman"/>
          <w:sz w:val="28"/>
          <w:szCs w:val="32"/>
        </w:rPr>
        <w:t>受中國大陸持續控管債務成長影響，</w:t>
      </w:r>
      <w:r w:rsidR="001A6D51" w:rsidRPr="00606F16">
        <w:rPr>
          <w:rFonts w:ascii="Times New Roman" w:eastAsia="標楷體" w:hAnsi="Times New Roman" w:cs="Times New Roman"/>
          <w:color w:val="000000" w:themeColor="text1"/>
          <w:sz w:val="28"/>
          <w:szCs w:val="28"/>
        </w:rPr>
        <w:t>2018</w:t>
      </w:r>
      <w:r w:rsidR="001A6D51" w:rsidRPr="00606F16">
        <w:rPr>
          <w:rFonts w:ascii="Times New Roman" w:eastAsia="標楷體" w:hAnsi="Times New Roman" w:cs="Times New Roman"/>
          <w:color w:val="000000" w:themeColor="text1"/>
          <w:sz w:val="28"/>
          <w:szCs w:val="28"/>
        </w:rPr>
        <w:t>年底中國大陸狹義貨幣供給量</w:t>
      </w:r>
      <w:r w:rsidR="00606F16">
        <w:rPr>
          <w:rFonts w:ascii="Times New Roman" w:eastAsia="標楷體" w:hAnsi="Times New Roman" w:cs="Times New Roman" w:hint="eastAsia"/>
          <w:color w:val="000000" w:themeColor="text1"/>
          <w:sz w:val="28"/>
          <w:szCs w:val="28"/>
        </w:rPr>
        <w:t>（</w:t>
      </w:r>
      <w:r w:rsidR="001A6D51" w:rsidRPr="00606F16">
        <w:rPr>
          <w:rFonts w:ascii="Times New Roman" w:eastAsia="標楷體" w:hAnsi="Times New Roman" w:cs="Times New Roman"/>
          <w:color w:val="000000" w:themeColor="text1"/>
          <w:sz w:val="28"/>
          <w:szCs w:val="28"/>
        </w:rPr>
        <w:t>M1</w:t>
      </w:r>
      <w:r w:rsidR="00606F16">
        <w:rPr>
          <w:rFonts w:ascii="Times New Roman" w:eastAsia="標楷體" w:hAnsi="Times New Roman" w:cs="Times New Roman" w:hint="eastAsia"/>
          <w:color w:val="000000" w:themeColor="text1"/>
          <w:sz w:val="28"/>
          <w:szCs w:val="28"/>
        </w:rPr>
        <w:t>）</w:t>
      </w:r>
      <w:r w:rsidR="001A6D51" w:rsidRPr="00606F16">
        <w:rPr>
          <w:rFonts w:ascii="Times New Roman" w:eastAsia="標楷體" w:hAnsi="Times New Roman" w:cs="Times New Roman"/>
          <w:color w:val="000000" w:themeColor="text1"/>
          <w:sz w:val="28"/>
          <w:szCs w:val="28"/>
        </w:rPr>
        <w:t>及廣義貨幣供給量</w:t>
      </w:r>
      <w:r w:rsidR="00606F16">
        <w:rPr>
          <w:rFonts w:ascii="Times New Roman" w:eastAsia="標楷體" w:hAnsi="Times New Roman" w:cs="Times New Roman" w:hint="eastAsia"/>
          <w:color w:val="000000" w:themeColor="text1"/>
          <w:sz w:val="28"/>
          <w:szCs w:val="28"/>
        </w:rPr>
        <w:t>（</w:t>
      </w:r>
      <w:r w:rsidR="001A6D51" w:rsidRPr="00606F16">
        <w:rPr>
          <w:rFonts w:ascii="Times New Roman" w:eastAsia="標楷體" w:hAnsi="Times New Roman" w:cs="Times New Roman"/>
          <w:color w:val="000000" w:themeColor="text1"/>
          <w:sz w:val="28"/>
          <w:szCs w:val="28"/>
        </w:rPr>
        <w:t>M2</w:t>
      </w:r>
      <w:r w:rsidR="00606F16">
        <w:rPr>
          <w:rFonts w:ascii="Times New Roman" w:eastAsia="標楷體" w:hAnsi="Times New Roman" w:cs="Times New Roman" w:hint="eastAsia"/>
          <w:color w:val="000000" w:themeColor="text1"/>
          <w:sz w:val="28"/>
          <w:szCs w:val="28"/>
        </w:rPr>
        <w:t>）</w:t>
      </w:r>
      <w:r w:rsidR="001A6D51" w:rsidRPr="00606F16">
        <w:rPr>
          <w:rFonts w:ascii="Times New Roman" w:eastAsia="標楷體" w:hAnsi="Times New Roman" w:cs="Times New Roman"/>
          <w:color w:val="000000" w:themeColor="text1"/>
          <w:sz w:val="28"/>
          <w:szCs w:val="28"/>
        </w:rPr>
        <w:t>年增率分別為</w:t>
      </w:r>
      <w:r w:rsidR="001A6D51" w:rsidRPr="00606F16">
        <w:rPr>
          <w:rFonts w:ascii="Times New Roman" w:eastAsia="標楷體" w:hAnsi="Times New Roman" w:cs="Times New Roman"/>
          <w:color w:val="000000" w:themeColor="text1"/>
          <w:sz w:val="28"/>
          <w:szCs w:val="28"/>
        </w:rPr>
        <w:t>1.5%</w:t>
      </w:r>
      <w:r w:rsidR="001A6D51" w:rsidRPr="00606F16">
        <w:rPr>
          <w:rFonts w:ascii="Times New Roman" w:eastAsia="標楷體" w:hAnsi="Times New Roman" w:cs="Times New Roman"/>
          <w:color w:val="000000" w:themeColor="text1"/>
          <w:sz w:val="28"/>
          <w:szCs w:val="28"/>
        </w:rPr>
        <w:t>、</w:t>
      </w:r>
      <w:r w:rsidR="00606F16">
        <w:rPr>
          <w:rFonts w:ascii="Times New Roman" w:eastAsia="標楷體" w:hAnsi="Times New Roman" w:cs="Times New Roman"/>
          <w:color w:val="000000" w:themeColor="text1"/>
          <w:sz w:val="28"/>
          <w:szCs w:val="28"/>
        </w:rPr>
        <w:t>8.</w:t>
      </w:r>
      <w:r w:rsidR="00606F16">
        <w:rPr>
          <w:rFonts w:ascii="Times New Roman" w:eastAsia="標楷體" w:hAnsi="Times New Roman" w:cs="Times New Roman" w:hint="eastAsia"/>
          <w:color w:val="000000" w:themeColor="text1"/>
          <w:sz w:val="28"/>
          <w:szCs w:val="28"/>
        </w:rPr>
        <w:t>1</w:t>
      </w:r>
      <w:r w:rsidR="001A6D51" w:rsidRPr="00606F16">
        <w:rPr>
          <w:rFonts w:ascii="Times New Roman" w:eastAsia="標楷體" w:hAnsi="Times New Roman" w:cs="Times New Roman"/>
          <w:color w:val="000000" w:themeColor="text1"/>
          <w:sz w:val="28"/>
          <w:szCs w:val="28"/>
        </w:rPr>
        <w:t>%</w:t>
      </w:r>
      <w:r w:rsidR="001A6D51" w:rsidRPr="00606F16">
        <w:rPr>
          <w:rFonts w:ascii="Times New Roman" w:eastAsia="標楷體" w:hAnsi="Times New Roman" w:cs="Times New Roman"/>
          <w:color w:val="000000" w:themeColor="text1"/>
          <w:sz w:val="28"/>
          <w:szCs w:val="28"/>
        </w:rPr>
        <w:t>，分別較上年減少</w:t>
      </w:r>
      <w:r w:rsidR="001A6D51" w:rsidRPr="00606F16">
        <w:rPr>
          <w:rFonts w:ascii="Times New Roman" w:eastAsia="標楷體" w:hAnsi="Times New Roman" w:cs="Times New Roman"/>
          <w:color w:val="000000" w:themeColor="text1"/>
          <w:sz w:val="28"/>
          <w:szCs w:val="28"/>
        </w:rPr>
        <w:t>10.3</w:t>
      </w:r>
      <w:r w:rsidR="00466551">
        <w:rPr>
          <w:rFonts w:ascii="Times New Roman" w:eastAsia="標楷體" w:hAnsi="Times New Roman" w:cs="Times New Roman" w:hint="eastAsia"/>
          <w:color w:val="000000" w:themeColor="text1"/>
          <w:sz w:val="28"/>
          <w:szCs w:val="28"/>
        </w:rPr>
        <w:t>個百分點</w:t>
      </w:r>
      <w:r w:rsidR="001A6D51" w:rsidRPr="00606F16">
        <w:rPr>
          <w:rFonts w:ascii="Times New Roman" w:eastAsia="標楷體" w:hAnsi="Times New Roman" w:cs="Times New Roman"/>
          <w:color w:val="000000" w:themeColor="text1"/>
          <w:sz w:val="28"/>
          <w:szCs w:val="28"/>
        </w:rPr>
        <w:t>及</w:t>
      </w:r>
      <w:r w:rsidR="00606F16">
        <w:rPr>
          <w:rFonts w:ascii="Times New Roman" w:eastAsia="標楷體" w:hAnsi="Times New Roman" w:cs="Times New Roman" w:hint="eastAsia"/>
          <w:color w:val="000000" w:themeColor="text1"/>
          <w:sz w:val="28"/>
          <w:szCs w:val="28"/>
        </w:rPr>
        <w:t>持平</w:t>
      </w:r>
      <w:r w:rsidR="001A6D51" w:rsidRPr="00606F16">
        <w:rPr>
          <w:rFonts w:ascii="Times New Roman" w:eastAsia="標楷體" w:hAnsi="Times New Roman" w:cs="Times New Roman"/>
          <w:color w:val="000000" w:themeColor="text1"/>
          <w:sz w:val="28"/>
          <w:szCs w:val="28"/>
        </w:rPr>
        <w:t>，</w:t>
      </w:r>
      <w:r w:rsidR="00AE4C4D">
        <w:rPr>
          <w:rFonts w:ascii="Times New Roman" w:eastAsia="標楷體" w:hAnsi="Times New Roman" w:cs="Times New Roman" w:hint="eastAsia"/>
          <w:color w:val="000000" w:themeColor="text1"/>
          <w:sz w:val="28"/>
          <w:szCs w:val="28"/>
        </w:rPr>
        <w:t>其中</w:t>
      </w:r>
      <w:r w:rsidR="001A6D51" w:rsidRPr="00606F16">
        <w:rPr>
          <w:rFonts w:ascii="Times New Roman" w:eastAsia="標楷體" w:hAnsi="Times New Roman" w:cs="Times New Roman"/>
          <w:color w:val="000000" w:themeColor="text1"/>
          <w:sz w:val="28"/>
          <w:szCs w:val="28"/>
        </w:rPr>
        <w:t>M</w:t>
      </w:r>
      <w:r w:rsidR="00AC255E">
        <w:rPr>
          <w:rFonts w:ascii="Times New Roman" w:eastAsia="標楷體" w:hAnsi="Times New Roman" w:cs="Times New Roman" w:hint="eastAsia"/>
          <w:color w:val="000000" w:themeColor="text1"/>
          <w:sz w:val="28"/>
          <w:szCs w:val="28"/>
        </w:rPr>
        <w:t>1</w:t>
      </w:r>
      <w:r w:rsidR="00AE4C4D">
        <w:rPr>
          <w:rFonts w:ascii="Times New Roman" w:eastAsia="標楷體" w:hAnsi="Times New Roman" w:cs="Times New Roman" w:hint="eastAsia"/>
          <w:color w:val="000000" w:themeColor="text1"/>
          <w:sz w:val="28"/>
          <w:szCs w:val="28"/>
        </w:rPr>
        <w:t>年增率大減</w:t>
      </w:r>
      <w:r w:rsidR="00B2122D">
        <w:rPr>
          <w:rFonts w:ascii="Times New Roman" w:eastAsia="標楷體" w:hAnsi="Times New Roman" w:cs="Times New Roman" w:hint="eastAsia"/>
          <w:color w:val="000000" w:themeColor="text1"/>
          <w:sz w:val="28"/>
          <w:szCs w:val="28"/>
        </w:rPr>
        <w:t>，</w:t>
      </w:r>
      <w:r w:rsidR="00AE4C4D">
        <w:rPr>
          <w:rFonts w:ascii="Times New Roman" w:eastAsia="標楷體" w:hAnsi="Times New Roman" w:cs="Times New Roman" w:hint="eastAsia"/>
          <w:color w:val="000000" w:themeColor="text1"/>
          <w:sz w:val="28"/>
          <w:szCs w:val="28"/>
        </w:rPr>
        <w:t>主要是受到中國大陸嚴控地方債務及縮減影子銀行規模所致</w:t>
      </w:r>
      <w:r w:rsidR="001A6D51" w:rsidRPr="00606F16">
        <w:rPr>
          <w:rFonts w:ascii="Times New Roman" w:eastAsia="標楷體" w:hAnsi="Times New Roman" w:cs="Times New Roman"/>
          <w:color w:val="000000" w:themeColor="text1"/>
          <w:sz w:val="28"/>
          <w:szCs w:val="28"/>
        </w:rPr>
        <w:t>。</w:t>
      </w:r>
    </w:p>
    <w:p w:rsidR="00EA5448" w:rsidRPr="00606F16" w:rsidRDefault="001A6D51" w:rsidP="002A4962">
      <w:pPr>
        <w:widowControl/>
        <w:numPr>
          <w:ilvl w:val="0"/>
          <w:numId w:val="5"/>
        </w:numPr>
        <w:tabs>
          <w:tab w:val="left" w:pos="567"/>
        </w:tabs>
        <w:autoSpaceDE w:val="0"/>
        <w:snapToGrid w:val="0"/>
        <w:spacing w:beforeLines="25" w:before="90" w:afterLines="50" w:after="180" w:line="480" w:lineRule="exact"/>
        <w:jc w:val="both"/>
        <w:rPr>
          <w:rFonts w:ascii="Times New Roman" w:eastAsia="標楷體" w:hAnsi="Times New Roman" w:cs="Times New Roman"/>
          <w:sz w:val="28"/>
          <w:szCs w:val="32"/>
        </w:rPr>
      </w:pPr>
      <w:r w:rsidRPr="00606F16">
        <w:rPr>
          <w:rFonts w:ascii="Times New Roman" w:eastAsia="標楷體" w:hAnsi="Times New Roman" w:cs="Times New Roman"/>
          <w:b/>
          <w:sz w:val="28"/>
          <w:szCs w:val="32"/>
        </w:rPr>
        <w:t>社會融資規模</w:t>
      </w:r>
      <w:r w:rsidR="00861A3E">
        <w:rPr>
          <w:rFonts w:ascii="Times New Roman" w:eastAsia="標楷體" w:hAnsi="Times New Roman" w:cs="Times New Roman" w:hint="eastAsia"/>
          <w:b/>
          <w:sz w:val="28"/>
          <w:szCs w:val="32"/>
        </w:rPr>
        <w:t>增量縮減</w:t>
      </w:r>
      <w:r w:rsidRPr="00606F16">
        <w:rPr>
          <w:rFonts w:ascii="Times New Roman" w:eastAsia="標楷體" w:hAnsi="Times New Roman" w:cs="Times New Roman"/>
          <w:b/>
          <w:sz w:val="28"/>
          <w:szCs w:val="32"/>
        </w:rPr>
        <w:t>：</w:t>
      </w:r>
      <w:r w:rsidR="00F068F1" w:rsidRPr="00606F16">
        <w:rPr>
          <w:rFonts w:ascii="Times New Roman" w:eastAsia="標楷體" w:hAnsi="Times New Roman" w:cs="Times New Roman"/>
          <w:sz w:val="28"/>
          <w:szCs w:val="32"/>
        </w:rPr>
        <w:t>受中國大陸積極縮減整體債務規模影響</w:t>
      </w:r>
      <w:r w:rsidR="00F068F1" w:rsidRPr="00606F16">
        <w:rPr>
          <w:rFonts w:ascii="Times New Roman" w:eastAsia="標楷體" w:hAnsi="Times New Roman" w:cs="Times New Roman"/>
          <w:b/>
          <w:sz w:val="28"/>
          <w:szCs w:val="32"/>
        </w:rPr>
        <w:t>，</w:t>
      </w:r>
      <w:r w:rsidRPr="00606F16">
        <w:rPr>
          <w:rFonts w:ascii="Times New Roman" w:eastAsia="標楷體" w:hAnsi="Times New Roman" w:cs="Times New Roman"/>
          <w:color w:val="000000" w:themeColor="text1"/>
          <w:sz w:val="28"/>
          <w:szCs w:val="32"/>
        </w:rPr>
        <w:t>2018</w:t>
      </w:r>
      <w:r w:rsidRPr="00606F16">
        <w:rPr>
          <w:rFonts w:ascii="Times New Roman" w:eastAsia="標楷體" w:hAnsi="Times New Roman" w:cs="Times New Roman"/>
          <w:color w:val="000000" w:themeColor="text1"/>
          <w:sz w:val="28"/>
          <w:szCs w:val="32"/>
        </w:rPr>
        <w:t>年社會融資規模</w:t>
      </w:r>
      <w:r w:rsidR="00E81811" w:rsidRPr="00606F16">
        <w:rPr>
          <w:rFonts w:ascii="Times New Roman" w:eastAsia="標楷體" w:hAnsi="Times New Roman" w:cs="Times New Roman"/>
          <w:color w:val="000000" w:themeColor="text1"/>
          <w:sz w:val="28"/>
          <w:szCs w:val="32"/>
        </w:rPr>
        <w:t>增</w:t>
      </w:r>
      <w:r w:rsidR="005C5EA5" w:rsidRPr="00606F16">
        <w:rPr>
          <w:rFonts w:ascii="Times New Roman" w:eastAsia="標楷體" w:hAnsi="Times New Roman" w:cs="Times New Roman"/>
          <w:color w:val="000000" w:themeColor="text1"/>
          <w:sz w:val="28"/>
          <w:szCs w:val="32"/>
        </w:rPr>
        <w:t>加</w:t>
      </w:r>
      <w:r w:rsidR="00E81811" w:rsidRPr="00606F16">
        <w:rPr>
          <w:rFonts w:ascii="Times New Roman" w:eastAsia="標楷體" w:hAnsi="Times New Roman" w:cs="Times New Roman"/>
          <w:color w:val="000000" w:themeColor="text1"/>
          <w:sz w:val="28"/>
          <w:szCs w:val="32"/>
        </w:rPr>
        <w:t>19.</w:t>
      </w:r>
      <w:r w:rsidR="00606F16">
        <w:rPr>
          <w:rFonts w:ascii="Times New Roman" w:eastAsia="標楷體" w:hAnsi="Times New Roman" w:cs="Times New Roman" w:hint="eastAsia"/>
          <w:color w:val="000000" w:themeColor="text1"/>
          <w:sz w:val="28"/>
          <w:szCs w:val="32"/>
        </w:rPr>
        <w:t>3</w:t>
      </w:r>
      <w:r w:rsidRPr="00606F16">
        <w:rPr>
          <w:rFonts w:ascii="Times New Roman" w:eastAsia="標楷體" w:hAnsi="Times New Roman" w:cs="Times New Roman"/>
          <w:color w:val="000000" w:themeColor="text1"/>
          <w:sz w:val="28"/>
          <w:szCs w:val="32"/>
        </w:rPr>
        <w:t>兆元人民幣</w:t>
      </w:r>
      <w:r w:rsidR="00606F16">
        <w:rPr>
          <w:rFonts w:ascii="Times New Roman" w:eastAsia="標楷體" w:hAnsi="Times New Roman" w:cs="Times New Roman" w:hint="eastAsia"/>
          <w:color w:val="000000" w:themeColor="text1"/>
          <w:sz w:val="28"/>
          <w:szCs w:val="32"/>
        </w:rPr>
        <w:t>（</w:t>
      </w:r>
      <w:r w:rsidRPr="00606F16">
        <w:rPr>
          <w:rFonts w:ascii="Times New Roman" w:eastAsia="標楷體" w:hAnsi="Times New Roman" w:cs="Times New Roman"/>
          <w:color w:val="000000" w:themeColor="text1"/>
          <w:sz w:val="28"/>
          <w:szCs w:val="32"/>
        </w:rPr>
        <w:t>以下同</w:t>
      </w:r>
      <w:r w:rsidR="00606F16">
        <w:rPr>
          <w:rFonts w:ascii="Times New Roman" w:eastAsia="標楷體" w:hAnsi="Times New Roman" w:cs="Times New Roman" w:hint="eastAsia"/>
          <w:color w:val="000000" w:themeColor="text1"/>
          <w:sz w:val="28"/>
          <w:szCs w:val="32"/>
        </w:rPr>
        <w:t>）</w:t>
      </w:r>
      <w:r w:rsidR="00F068F1" w:rsidRPr="00606F16">
        <w:rPr>
          <w:rFonts w:ascii="Times New Roman" w:eastAsia="標楷體" w:hAnsi="Times New Roman" w:cs="Times New Roman"/>
          <w:color w:val="000000" w:themeColor="text1"/>
          <w:sz w:val="28"/>
          <w:szCs w:val="32"/>
        </w:rPr>
        <w:t>，</w:t>
      </w:r>
      <w:r w:rsidR="00861A3E">
        <w:rPr>
          <w:rFonts w:ascii="Times New Roman" w:eastAsia="標楷體" w:hAnsi="Times New Roman" w:cs="Times New Roman" w:hint="eastAsia"/>
          <w:color w:val="000000" w:themeColor="text1"/>
          <w:sz w:val="28"/>
          <w:szCs w:val="32"/>
        </w:rPr>
        <w:t>增量</w:t>
      </w:r>
      <w:r w:rsidR="00F068F1" w:rsidRPr="00606F16">
        <w:rPr>
          <w:rFonts w:ascii="Times New Roman" w:eastAsia="標楷體" w:hAnsi="Times New Roman" w:cs="Times New Roman"/>
          <w:color w:val="000000" w:themeColor="text1"/>
          <w:sz w:val="28"/>
          <w:szCs w:val="32"/>
        </w:rPr>
        <w:t>較上年減少</w:t>
      </w:r>
      <w:r w:rsidR="00606F16">
        <w:rPr>
          <w:rFonts w:ascii="Times New Roman" w:eastAsia="標楷體" w:hAnsi="Times New Roman" w:cs="Times New Roman" w:hint="eastAsia"/>
          <w:color w:val="000000" w:themeColor="text1"/>
          <w:sz w:val="28"/>
          <w:szCs w:val="32"/>
        </w:rPr>
        <w:t>3.1</w:t>
      </w:r>
      <w:r w:rsidR="00F068F1" w:rsidRPr="00606F16">
        <w:rPr>
          <w:rFonts w:ascii="Times New Roman" w:eastAsia="標楷體" w:hAnsi="Times New Roman" w:cs="Times New Roman"/>
          <w:color w:val="000000" w:themeColor="text1"/>
          <w:sz w:val="28"/>
          <w:szCs w:val="32"/>
        </w:rPr>
        <w:t>兆元。</w:t>
      </w:r>
      <w:r w:rsidR="005D27BC">
        <w:rPr>
          <w:rFonts w:ascii="Times New Roman" w:eastAsia="標楷體" w:hAnsi="Times New Roman" w:cs="Times New Roman" w:hint="eastAsia"/>
          <w:color w:val="000000" w:themeColor="text1"/>
          <w:sz w:val="28"/>
          <w:szCs w:val="32"/>
        </w:rPr>
        <w:t>主要原因是</w:t>
      </w:r>
      <w:r w:rsidR="005D27BC" w:rsidRPr="00606F16">
        <w:rPr>
          <w:rFonts w:ascii="Times New Roman" w:eastAsia="標楷體" w:hAnsi="Times New Roman" w:cs="Times New Roman"/>
          <w:color w:val="000000" w:themeColor="text1"/>
          <w:sz w:val="28"/>
          <w:szCs w:val="32"/>
        </w:rPr>
        <w:t>表外融資</w:t>
      </w:r>
      <w:r w:rsidR="005D27BC">
        <w:rPr>
          <w:rFonts w:ascii="Times New Roman" w:eastAsia="標楷體" w:hAnsi="Times New Roman" w:cs="Times New Roman" w:hint="eastAsia"/>
          <w:color w:val="000000" w:themeColor="text1"/>
          <w:sz w:val="28"/>
          <w:szCs w:val="32"/>
        </w:rPr>
        <w:t>（</w:t>
      </w:r>
      <w:r w:rsidR="005D27BC" w:rsidRPr="00606F16">
        <w:rPr>
          <w:rFonts w:ascii="Times New Roman" w:eastAsia="標楷體" w:hAnsi="Times New Roman" w:cs="Times New Roman"/>
          <w:color w:val="000000" w:themeColor="text1"/>
          <w:sz w:val="28"/>
          <w:szCs w:val="32"/>
        </w:rPr>
        <w:t>包括委託貸款、信託貸款及未貼現銀行承兌匯票</w:t>
      </w:r>
      <w:r w:rsidR="005D27BC">
        <w:rPr>
          <w:rFonts w:ascii="Times New Roman" w:eastAsia="標楷體" w:hAnsi="Times New Roman" w:cs="Times New Roman" w:hint="eastAsia"/>
          <w:color w:val="000000" w:themeColor="text1"/>
          <w:sz w:val="28"/>
          <w:szCs w:val="32"/>
        </w:rPr>
        <w:t>）</w:t>
      </w:r>
      <w:r w:rsidR="005D27BC" w:rsidRPr="00606F16">
        <w:rPr>
          <w:rFonts w:ascii="Times New Roman" w:eastAsia="標楷體" w:hAnsi="Times New Roman" w:cs="Times New Roman"/>
          <w:color w:val="000000" w:themeColor="text1"/>
          <w:sz w:val="28"/>
          <w:szCs w:val="32"/>
        </w:rPr>
        <w:t>減少</w:t>
      </w:r>
      <w:r w:rsidR="005D27BC" w:rsidRPr="00606F16">
        <w:rPr>
          <w:rFonts w:ascii="Times New Roman" w:eastAsia="標楷體" w:hAnsi="Times New Roman" w:cs="Times New Roman"/>
          <w:color w:val="000000" w:themeColor="text1"/>
          <w:sz w:val="28"/>
          <w:szCs w:val="32"/>
        </w:rPr>
        <w:t>2.9</w:t>
      </w:r>
      <w:r w:rsidR="005D27BC" w:rsidRPr="00606F16">
        <w:rPr>
          <w:rFonts w:ascii="Times New Roman" w:eastAsia="標楷體" w:hAnsi="Times New Roman" w:cs="Times New Roman"/>
          <w:color w:val="000000" w:themeColor="text1"/>
          <w:sz w:val="28"/>
          <w:szCs w:val="32"/>
        </w:rPr>
        <w:t>兆元</w:t>
      </w:r>
      <w:r w:rsidR="005D27BC">
        <w:rPr>
          <w:rFonts w:ascii="Times New Roman" w:eastAsia="標楷體" w:hAnsi="Times New Roman" w:cs="Times New Roman" w:hint="eastAsia"/>
          <w:color w:val="000000" w:themeColor="text1"/>
          <w:sz w:val="28"/>
          <w:szCs w:val="32"/>
        </w:rPr>
        <w:t>所致</w:t>
      </w:r>
      <w:r w:rsidR="00D718A7">
        <w:rPr>
          <w:rFonts w:ascii="Times New Roman" w:eastAsia="標楷體" w:hAnsi="Times New Roman" w:cs="Times New Roman" w:hint="eastAsia"/>
          <w:color w:val="000000" w:themeColor="text1"/>
          <w:sz w:val="28"/>
          <w:szCs w:val="32"/>
        </w:rPr>
        <w:t>，</w:t>
      </w:r>
      <w:r w:rsidRPr="00606F16">
        <w:rPr>
          <w:rFonts w:ascii="Times New Roman" w:eastAsia="標楷體" w:hAnsi="Times New Roman" w:cs="Times New Roman"/>
          <w:color w:val="000000" w:themeColor="text1"/>
          <w:sz w:val="28"/>
          <w:szCs w:val="32"/>
        </w:rPr>
        <w:t>銀行</w:t>
      </w:r>
      <w:r w:rsidR="00606F16" w:rsidRPr="00606F16">
        <w:rPr>
          <w:rFonts w:ascii="Times New Roman" w:eastAsia="標楷體" w:hAnsi="Times New Roman" w:cs="Times New Roman"/>
          <w:color w:val="000000" w:themeColor="text1"/>
          <w:sz w:val="28"/>
          <w:szCs w:val="32"/>
        </w:rPr>
        <w:t>人民幣</w:t>
      </w:r>
      <w:r w:rsidRPr="00606F16">
        <w:rPr>
          <w:rFonts w:ascii="Times New Roman" w:eastAsia="標楷體" w:hAnsi="Times New Roman" w:cs="Times New Roman"/>
          <w:color w:val="000000" w:themeColor="text1"/>
          <w:sz w:val="28"/>
          <w:szCs w:val="32"/>
        </w:rPr>
        <w:t>貸款</w:t>
      </w:r>
      <w:r w:rsidR="005D27BC">
        <w:rPr>
          <w:rFonts w:ascii="Times New Roman" w:eastAsia="標楷體" w:hAnsi="Times New Roman" w:cs="Times New Roman" w:hint="eastAsia"/>
          <w:color w:val="000000" w:themeColor="text1"/>
          <w:sz w:val="28"/>
          <w:szCs w:val="32"/>
        </w:rPr>
        <w:t>則</w:t>
      </w:r>
      <w:r w:rsidRPr="00606F16">
        <w:rPr>
          <w:rFonts w:ascii="Times New Roman" w:eastAsia="標楷體" w:hAnsi="Times New Roman" w:cs="Times New Roman"/>
          <w:color w:val="000000" w:themeColor="text1"/>
          <w:sz w:val="28"/>
          <w:szCs w:val="32"/>
        </w:rPr>
        <w:t>增加</w:t>
      </w:r>
      <w:r w:rsidR="00E81811" w:rsidRPr="00606F16">
        <w:rPr>
          <w:rFonts w:ascii="Times New Roman" w:eastAsia="標楷體" w:hAnsi="Times New Roman" w:cs="Times New Roman"/>
          <w:color w:val="000000" w:themeColor="text1"/>
          <w:sz w:val="28"/>
          <w:szCs w:val="32"/>
        </w:rPr>
        <w:t>15.7</w:t>
      </w:r>
      <w:r w:rsidRPr="00606F16">
        <w:rPr>
          <w:rFonts w:ascii="Times New Roman" w:eastAsia="標楷體" w:hAnsi="Times New Roman" w:cs="Times New Roman"/>
          <w:color w:val="000000" w:themeColor="text1"/>
          <w:sz w:val="28"/>
          <w:szCs w:val="32"/>
        </w:rPr>
        <w:t>兆元，資本市場融資</w:t>
      </w:r>
      <w:r w:rsidR="00606F16">
        <w:rPr>
          <w:rFonts w:ascii="Times New Roman" w:eastAsia="標楷體" w:hAnsi="Times New Roman" w:cs="Times New Roman" w:hint="eastAsia"/>
          <w:color w:val="000000" w:themeColor="text1"/>
          <w:sz w:val="28"/>
          <w:szCs w:val="32"/>
        </w:rPr>
        <w:t>（</w:t>
      </w:r>
      <w:r w:rsidRPr="00606F16">
        <w:rPr>
          <w:rFonts w:ascii="Times New Roman" w:eastAsia="標楷體" w:hAnsi="Times New Roman" w:cs="Times New Roman"/>
          <w:color w:val="000000" w:themeColor="text1"/>
          <w:sz w:val="28"/>
          <w:szCs w:val="32"/>
        </w:rPr>
        <w:t>包括公司債及股票</w:t>
      </w:r>
      <w:r w:rsidR="00606F16">
        <w:rPr>
          <w:rFonts w:ascii="Times New Roman" w:eastAsia="標楷體" w:hAnsi="Times New Roman" w:cs="Times New Roman" w:hint="eastAsia"/>
          <w:color w:val="000000" w:themeColor="text1"/>
          <w:sz w:val="28"/>
          <w:szCs w:val="32"/>
        </w:rPr>
        <w:t>）</w:t>
      </w:r>
      <w:r w:rsidRPr="00606F16">
        <w:rPr>
          <w:rFonts w:ascii="Times New Roman" w:eastAsia="標楷體" w:hAnsi="Times New Roman" w:cs="Times New Roman"/>
          <w:color w:val="000000" w:themeColor="text1"/>
          <w:sz w:val="28"/>
          <w:szCs w:val="32"/>
        </w:rPr>
        <w:t>增加</w:t>
      </w:r>
      <w:r w:rsidR="00606F16">
        <w:rPr>
          <w:rFonts w:ascii="Times New Roman" w:eastAsia="標楷體" w:hAnsi="Times New Roman" w:cs="Times New Roman" w:hint="eastAsia"/>
          <w:color w:val="000000" w:themeColor="text1"/>
          <w:sz w:val="28"/>
          <w:szCs w:val="32"/>
        </w:rPr>
        <w:t>2.9</w:t>
      </w:r>
      <w:r w:rsidR="00E81811" w:rsidRPr="00606F16">
        <w:rPr>
          <w:rFonts w:ascii="Times New Roman" w:eastAsia="標楷體" w:hAnsi="Times New Roman" w:cs="Times New Roman"/>
          <w:color w:val="000000" w:themeColor="text1"/>
          <w:sz w:val="28"/>
          <w:szCs w:val="32"/>
        </w:rPr>
        <w:t>兆</w:t>
      </w:r>
      <w:r w:rsidRPr="00606F16">
        <w:rPr>
          <w:rFonts w:ascii="Times New Roman" w:eastAsia="標楷體" w:hAnsi="Times New Roman" w:cs="Times New Roman"/>
          <w:color w:val="000000" w:themeColor="text1"/>
          <w:sz w:val="28"/>
          <w:szCs w:val="32"/>
        </w:rPr>
        <w:t>元。</w:t>
      </w:r>
    </w:p>
    <w:p w:rsidR="00EA5448" w:rsidRPr="00606F16" w:rsidRDefault="001A6D51" w:rsidP="007F005F">
      <w:pPr>
        <w:pStyle w:val="a3"/>
        <w:numPr>
          <w:ilvl w:val="0"/>
          <w:numId w:val="5"/>
        </w:numPr>
        <w:spacing w:afterLines="50" w:after="180" w:line="480" w:lineRule="exact"/>
        <w:ind w:leftChars="0" w:left="482" w:hanging="482"/>
        <w:rPr>
          <w:rFonts w:eastAsia="標楷體"/>
          <w:b/>
          <w:color w:val="000000" w:themeColor="text1"/>
          <w:sz w:val="28"/>
        </w:rPr>
      </w:pPr>
      <w:r w:rsidRPr="00606F16">
        <w:rPr>
          <w:rFonts w:eastAsia="標楷體"/>
          <w:b/>
          <w:sz w:val="28"/>
          <w:szCs w:val="32"/>
        </w:rPr>
        <w:t>股價下跌：</w:t>
      </w:r>
      <w:r w:rsidR="001D2988" w:rsidRPr="00606F16">
        <w:rPr>
          <w:rFonts w:eastAsia="標楷體"/>
          <w:sz w:val="28"/>
          <w:szCs w:val="32"/>
        </w:rPr>
        <w:t>2018</w:t>
      </w:r>
      <w:r w:rsidR="00FD6A5E">
        <w:rPr>
          <w:rFonts w:eastAsia="標楷體"/>
          <w:sz w:val="28"/>
          <w:szCs w:val="32"/>
        </w:rPr>
        <w:t>年中國大陸股市的表現為</w:t>
      </w:r>
      <w:proofErr w:type="gramStart"/>
      <w:r w:rsidR="00FD6A5E">
        <w:rPr>
          <w:rFonts w:eastAsia="標楷體"/>
          <w:sz w:val="28"/>
          <w:szCs w:val="32"/>
        </w:rPr>
        <w:t>近十年來最</w:t>
      </w:r>
      <w:proofErr w:type="gramEnd"/>
      <w:r w:rsidR="00FD6A5E">
        <w:rPr>
          <w:rFonts w:eastAsia="標楷體"/>
          <w:sz w:val="28"/>
          <w:szCs w:val="32"/>
        </w:rPr>
        <w:t>差，上海綜合證券股價指數</w:t>
      </w:r>
      <w:r w:rsidR="001D2988" w:rsidRPr="00606F16">
        <w:rPr>
          <w:rFonts w:eastAsia="標楷體"/>
          <w:sz w:val="28"/>
          <w:szCs w:val="32"/>
        </w:rPr>
        <w:t>2018</w:t>
      </w:r>
      <w:r w:rsidR="001D2988" w:rsidRPr="00606F16">
        <w:rPr>
          <w:rFonts w:eastAsia="標楷體"/>
          <w:sz w:val="28"/>
          <w:szCs w:val="32"/>
        </w:rPr>
        <w:t>年</w:t>
      </w:r>
      <w:r w:rsidR="001D2988" w:rsidRPr="00606F16">
        <w:rPr>
          <w:rFonts w:eastAsia="標楷體"/>
          <w:sz w:val="28"/>
          <w:szCs w:val="32"/>
        </w:rPr>
        <w:t>12</w:t>
      </w:r>
      <w:r w:rsidR="001D2988" w:rsidRPr="00606F16">
        <w:rPr>
          <w:rFonts w:eastAsia="標楷體"/>
          <w:sz w:val="28"/>
          <w:szCs w:val="32"/>
        </w:rPr>
        <w:t>月底為</w:t>
      </w:r>
      <w:r w:rsidR="001D2988" w:rsidRPr="00606F16">
        <w:rPr>
          <w:rFonts w:eastAsia="標楷體"/>
          <w:sz w:val="28"/>
          <w:szCs w:val="32"/>
        </w:rPr>
        <w:t>2</w:t>
      </w:r>
      <w:r w:rsidR="00861A3E">
        <w:rPr>
          <w:rFonts w:eastAsia="標楷體" w:hint="eastAsia"/>
          <w:sz w:val="28"/>
          <w:szCs w:val="32"/>
        </w:rPr>
        <w:t>,</w:t>
      </w:r>
      <w:r w:rsidR="001D2988" w:rsidRPr="00606F16">
        <w:rPr>
          <w:rFonts w:eastAsia="標楷體"/>
          <w:sz w:val="28"/>
          <w:szCs w:val="32"/>
        </w:rPr>
        <w:t>493.9</w:t>
      </w:r>
      <w:r w:rsidR="001D2988" w:rsidRPr="00606F16">
        <w:rPr>
          <w:rFonts w:eastAsia="標楷體"/>
          <w:sz w:val="28"/>
          <w:szCs w:val="32"/>
        </w:rPr>
        <w:t>點，較上年同期下跌</w:t>
      </w:r>
      <w:r w:rsidR="001D2988" w:rsidRPr="00606F16">
        <w:rPr>
          <w:rFonts w:eastAsia="標楷體"/>
          <w:sz w:val="28"/>
          <w:szCs w:val="32"/>
        </w:rPr>
        <w:t>24.6%</w:t>
      </w:r>
      <w:r w:rsidR="001D2988" w:rsidRPr="00606F16">
        <w:rPr>
          <w:rFonts w:eastAsia="標楷體"/>
          <w:sz w:val="28"/>
          <w:szCs w:val="32"/>
        </w:rPr>
        <w:t>；深圳綜</w:t>
      </w:r>
      <w:r w:rsidR="00656439">
        <w:rPr>
          <w:rFonts w:eastAsia="標楷體" w:hint="eastAsia"/>
          <w:sz w:val="28"/>
          <w:szCs w:val="32"/>
        </w:rPr>
        <w:t>合股價</w:t>
      </w:r>
      <w:r w:rsidR="001D2988" w:rsidRPr="00606F16">
        <w:rPr>
          <w:rFonts w:eastAsia="標楷體"/>
          <w:sz w:val="28"/>
          <w:szCs w:val="32"/>
        </w:rPr>
        <w:t>指</w:t>
      </w:r>
      <w:r w:rsidR="00656439">
        <w:rPr>
          <w:rFonts w:eastAsia="標楷體" w:hint="eastAsia"/>
          <w:sz w:val="28"/>
          <w:szCs w:val="32"/>
        </w:rPr>
        <w:t>數</w:t>
      </w:r>
      <w:r w:rsidR="00656439">
        <w:rPr>
          <w:rFonts w:eastAsia="標楷體" w:hint="eastAsia"/>
          <w:sz w:val="28"/>
          <w:szCs w:val="32"/>
        </w:rPr>
        <w:t>2018</w:t>
      </w:r>
      <w:r w:rsidR="00656439">
        <w:rPr>
          <w:rFonts w:eastAsia="標楷體" w:hint="eastAsia"/>
          <w:sz w:val="28"/>
          <w:szCs w:val="32"/>
        </w:rPr>
        <w:t>年</w:t>
      </w:r>
      <w:r w:rsidR="00656439">
        <w:rPr>
          <w:rFonts w:eastAsia="標楷體" w:hint="eastAsia"/>
          <w:sz w:val="28"/>
          <w:szCs w:val="32"/>
        </w:rPr>
        <w:t>12</w:t>
      </w:r>
      <w:r w:rsidR="00656439">
        <w:rPr>
          <w:rFonts w:eastAsia="標楷體" w:hint="eastAsia"/>
          <w:sz w:val="28"/>
          <w:szCs w:val="32"/>
        </w:rPr>
        <w:t>月底為</w:t>
      </w:r>
      <w:r w:rsidR="00656439">
        <w:rPr>
          <w:rFonts w:eastAsia="標楷體" w:hint="eastAsia"/>
          <w:sz w:val="28"/>
          <w:szCs w:val="32"/>
        </w:rPr>
        <w:t>1,628.5</w:t>
      </w:r>
      <w:r w:rsidR="00656439">
        <w:rPr>
          <w:rFonts w:eastAsia="標楷體" w:hint="eastAsia"/>
          <w:sz w:val="28"/>
          <w:szCs w:val="32"/>
        </w:rPr>
        <w:t>點</w:t>
      </w:r>
      <w:r w:rsidR="001D2988" w:rsidRPr="00606F16">
        <w:rPr>
          <w:rFonts w:eastAsia="標楷體"/>
          <w:sz w:val="28"/>
          <w:szCs w:val="32"/>
        </w:rPr>
        <w:t>亦挫低</w:t>
      </w:r>
      <w:r w:rsidR="001D2988" w:rsidRPr="00606F16">
        <w:rPr>
          <w:rFonts w:eastAsia="標楷體"/>
          <w:sz w:val="28"/>
          <w:szCs w:val="32"/>
        </w:rPr>
        <w:t>33.2%</w:t>
      </w:r>
      <w:r w:rsidR="001D2988" w:rsidRPr="00606F16">
        <w:rPr>
          <w:rFonts w:eastAsia="標楷體"/>
          <w:sz w:val="28"/>
          <w:szCs w:val="32"/>
        </w:rPr>
        <w:t>。主因是受到中國大陸持續強化金融監管、美中貿易摩擦升級、美國聯</w:t>
      </w:r>
      <w:proofErr w:type="gramStart"/>
      <w:r w:rsidR="001D2988" w:rsidRPr="00606F16">
        <w:rPr>
          <w:rFonts w:eastAsia="標楷體"/>
          <w:sz w:val="28"/>
          <w:szCs w:val="32"/>
        </w:rPr>
        <w:t>準</w:t>
      </w:r>
      <w:proofErr w:type="gramEnd"/>
      <w:r w:rsidR="001D2988" w:rsidRPr="00606F16">
        <w:rPr>
          <w:rFonts w:eastAsia="標楷體"/>
          <w:sz w:val="28"/>
          <w:szCs w:val="32"/>
        </w:rPr>
        <w:t>會持續加</w:t>
      </w:r>
      <w:proofErr w:type="gramStart"/>
      <w:r w:rsidR="001D2988" w:rsidRPr="00606F16">
        <w:rPr>
          <w:rFonts w:eastAsia="標楷體"/>
          <w:sz w:val="28"/>
          <w:szCs w:val="32"/>
        </w:rPr>
        <w:t>息縮表</w:t>
      </w:r>
      <w:proofErr w:type="gramEnd"/>
      <w:r w:rsidR="001D2988" w:rsidRPr="00606F16">
        <w:rPr>
          <w:rFonts w:eastAsia="標楷體"/>
          <w:sz w:val="28"/>
          <w:szCs w:val="32"/>
        </w:rPr>
        <w:t>、投資者信心不足等因素影響。</w:t>
      </w:r>
    </w:p>
    <w:p w:rsidR="000E136C" w:rsidRPr="008120BD" w:rsidRDefault="001A6D51" w:rsidP="00E74BCC">
      <w:pPr>
        <w:pStyle w:val="a3"/>
        <w:numPr>
          <w:ilvl w:val="0"/>
          <w:numId w:val="5"/>
        </w:numPr>
        <w:spacing w:line="480" w:lineRule="exact"/>
        <w:ind w:leftChars="0" w:left="482" w:hanging="482"/>
        <w:rPr>
          <w:rFonts w:eastAsia="標楷體"/>
          <w:kern w:val="0"/>
          <w:sz w:val="28"/>
          <w:szCs w:val="32"/>
        </w:rPr>
      </w:pPr>
      <w:r w:rsidRPr="00606F16">
        <w:rPr>
          <w:rFonts w:eastAsia="標楷體"/>
          <w:b/>
          <w:kern w:val="0"/>
          <w:sz w:val="28"/>
          <w:szCs w:val="32"/>
        </w:rPr>
        <w:t>人民幣貶值</w:t>
      </w:r>
      <w:r w:rsidRPr="00606F16">
        <w:rPr>
          <w:rFonts w:eastAsia="標楷體"/>
          <w:kern w:val="0"/>
          <w:sz w:val="28"/>
          <w:szCs w:val="32"/>
        </w:rPr>
        <w:t>：受</w:t>
      </w:r>
      <w:r w:rsidR="005D27BC">
        <w:rPr>
          <w:rFonts w:eastAsia="標楷體" w:hint="eastAsia"/>
          <w:kern w:val="0"/>
          <w:sz w:val="28"/>
          <w:szCs w:val="32"/>
        </w:rPr>
        <w:t>2018</w:t>
      </w:r>
      <w:r w:rsidR="005D27BC">
        <w:rPr>
          <w:rFonts w:eastAsia="標楷體" w:hint="eastAsia"/>
          <w:kern w:val="0"/>
          <w:sz w:val="28"/>
          <w:szCs w:val="32"/>
        </w:rPr>
        <w:t>年</w:t>
      </w:r>
      <w:r w:rsidR="0059382A" w:rsidRPr="00606F16">
        <w:rPr>
          <w:rFonts w:eastAsia="標楷體"/>
          <w:kern w:val="0"/>
          <w:sz w:val="28"/>
          <w:szCs w:val="32"/>
        </w:rPr>
        <w:t>初美國財</w:t>
      </w:r>
      <w:proofErr w:type="gramStart"/>
      <w:r w:rsidR="0059382A" w:rsidRPr="00606F16">
        <w:rPr>
          <w:rFonts w:eastAsia="標楷體"/>
          <w:kern w:val="0"/>
          <w:sz w:val="28"/>
          <w:szCs w:val="32"/>
        </w:rPr>
        <w:t>長努欽</w:t>
      </w:r>
      <w:r w:rsidR="00656439">
        <w:rPr>
          <w:rFonts w:eastAsia="標楷體" w:hint="eastAsia"/>
          <w:kern w:val="0"/>
          <w:sz w:val="28"/>
          <w:szCs w:val="32"/>
        </w:rPr>
        <w:t>表示</w:t>
      </w:r>
      <w:proofErr w:type="gramEnd"/>
      <w:r w:rsidR="00656439">
        <w:rPr>
          <w:rFonts w:eastAsia="標楷體" w:hint="eastAsia"/>
          <w:kern w:val="0"/>
          <w:sz w:val="28"/>
          <w:szCs w:val="32"/>
        </w:rPr>
        <w:t>，</w:t>
      </w:r>
      <w:r w:rsidR="00656439" w:rsidRPr="00606F16">
        <w:rPr>
          <w:rFonts w:eastAsia="標楷體"/>
          <w:kern w:val="0"/>
          <w:sz w:val="28"/>
          <w:szCs w:val="32"/>
        </w:rPr>
        <w:t>弱</w:t>
      </w:r>
      <w:r w:rsidR="0059382A" w:rsidRPr="00606F16">
        <w:rPr>
          <w:rFonts w:eastAsia="標楷體"/>
          <w:kern w:val="0"/>
          <w:sz w:val="28"/>
          <w:szCs w:val="32"/>
        </w:rPr>
        <w:t>勢美元有利</w:t>
      </w:r>
      <w:r w:rsidR="00656439">
        <w:rPr>
          <w:rFonts w:eastAsia="標楷體" w:hint="eastAsia"/>
          <w:kern w:val="0"/>
          <w:sz w:val="28"/>
          <w:szCs w:val="32"/>
        </w:rPr>
        <w:t>於美國貿易表現</w:t>
      </w:r>
      <w:r w:rsidR="0059382A" w:rsidRPr="00606F16">
        <w:rPr>
          <w:rFonts w:eastAsia="標楷體"/>
          <w:kern w:val="0"/>
          <w:sz w:val="28"/>
          <w:szCs w:val="32"/>
        </w:rPr>
        <w:t>，</w:t>
      </w:r>
      <w:r w:rsidR="005D747D">
        <w:rPr>
          <w:rFonts w:eastAsia="標楷體" w:hint="eastAsia"/>
          <w:kern w:val="0"/>
          <w:sz w:val="28"/>
          <w:szCs w:val="32"/>
        </w:rPr>
        <w:t>致</w:t>
      </w:r>
      <w:r w:rsidR="0059382A" w:rsidRPr="00606F16">
        <w:rPr>
          <w:rFonts w:eastAsia="標楷體"/>
          <w:kern w:val="0"/>
          <w:sz w:val="28"/>
          <w:szCs w:val="32"/>
        </w:rPr>
        <w:t>人民幣兌美元</w:t>
      </w:r>
      <w:proofErr w:type="gramStart"/>
      <w:r w:rsidR="0059382A" w:rsidRPr="00606F16">
        <w:rPr>
          <w:rFonts w:eastAsia="標楷體"/>
          <w:kern w:val="0"/>
          <w:sz w:val="28"/>
          <w:szCs w:val="32"/>
        </w:rPr>
        <w:t>匯</w:t>
      </w:r>
      <w:proofErr w:type="gramEnd"/>
      <w:r w:rsidR="0059382A" w:rsidRPr="00606F16">
        <w:rPr>
          <w:rFonts w:eastAsia="標楷體"/>
          <w:kern w:val="0"/>
          <w:sz w:val="28"/>
          <w:szCs w:val="32"/>
        </w:rPr>
        <w:t>價</w:t>
      </w:r>
      <w:r w:rsidR="005D747D">
        <w:rPr>
          <w:rFonts w:eastAsia="標楷體" w:hint="eastAsia"/>
          <w:kern w:val="0"/>
          <w:sz w:val="28"/>
          <w:szCs w:val="32"/>
        </w:rPr>
        <w:t>年初</w:t>
      </w:r>
      <w:r w:rsidR="008120BD">
        <w:rPr>
          <w:rFonts w:eastAsia="標楷體"/>
          <w:kern w:val="0"/>
          <w:sz w:val="28"/>
          <w:szCs w:val="32"/>
        </w:rPr>
        <w:t>呈現升值走勢</w:t>
      </w:r>
      <w:r w:rsidR="008120BD">
        <w:rPr>
          <w:rFonts w:eastAsia="標楷體" w:hint="eastAsia"/>
          <w:kern w:val="0"/>
          <w:sz w:val="28"/>
          <w:szCs w:val="32"/>
        </w:rPr>
        <w:t>。惟</w:t>
      </w:r>
      <w:r w:rsidR="0059382A" w:rsidRPr="00606F16">
        <w:rPr>
          <w:rFonts w:eastAsia="標楷體"/>
          <w:kern w:val="0"/>
          <w:sz w:val="28"/>
          <w:szCs w:val="32"/>
        </w:rPr>
        <w:t>年中以後受美國</w:t>
      </w:r>
      <w:proofErr w:type="gramStart"/>
      <w:r w:rsidR="0059382A" w:rsidRPr="00606F16">
        <w:rPr>
          <w:rFonts w:eastAsia="標楷體"/>
          <w:kern w:val="0"/>
          <w:sz w:val="28"/>
          <w:szCs w:val="32"/>
        </w:rPr>
        <w:t>對陸加稅</w:t>
      </w:r>
      <w:proofErr w:type="gramEnd"/>
      <w:r w:rsidR="0059382A" w:rsidRPr="00606F16">
        <w:rPr>
          <w:rFonts w:eastAsia="標楷體"/>
          <w:kern w:val="0"/>
          <w:sz w:val="28"/>
          <w:szCs w:val="32"/>
        </w:rPr>
        <w:t>、</w:t>
      </w:r>
      <w:r w:rsidR="009A7807" w:rsidRPr="00606F16">
        <w:rPr>
          <w:rFonts w:eastAsia="標楷體"/>
          <w:kern w:val="0"/>
          <w:sz w:val="28"/>
          <w:szCs w:val="32"/>
        </w:rPr>
        <w:t>中國大陸</w:t>
      </w:r>
      <w:r w:rsidRPr="00606F16">
        <w:rPr>
          <w:rFonts w:eastAsia="標楷體"/>
          <w:kern w:val="0"/>
          <w:sz w:val="28"/>
          <w:szCs w:val="32"/>
        </w:rPr>
        <w:t>經濟</w:t>
      </w:r>
      <w:r w:rsidR="00C260BD" w:rsidRPr="00606F16">
        <w:rPr>
          <w:rFonts w:eastAsia="標楷體"/>
          <w:kern w:val="0"/>
          <w:sz w:val="28"/>
          <w:szCs w:val="32"/>
        </w:rPr>
        <w:t>走疲</w:t>
      </w:r>
      <w:r w:rsidRPr="00606F16">
        <w:rPr>
          <w:rFonts w:eastAsia="標楷體"/>
          <w:kern w:val="0"/>
          <w:sz w:val="28"/>
          <w:szCs w:val="32"/>
        </w:rPr>
        <w:t>、</w:t>
      </w:r>
      <w:r w:rsidR="00C260BD" w:rsidRPr="00606F16">
        <w:rPr>
          <w:rFonts w:eastAsia="標楷體"/>
          <w:kern w:val="0"/>
          <w:sz w:val="28"/>
          <w:szCs w:val="32"/>
        </w:rPr>
        <w:t>美國聯</w:t>
      </w:r>
      <w:proofErr w:type="gramStart"/>
      <w:r w:rsidR="00C260BD" w:rsidRPr="00606F16">
        <w:rPr>
          <w:rFonts w:eastAsia="標楷體"/>
          <w:kern w:val="0"/>
          <w:sz w:val="28"/>
          <w:szCs w:val="32"/>
        </w:rPr>
        <w:t>準</w:t>
      </w:r>
      <w:proofErr w:type="gramEnd"/>
      <w:r w:rsidR="00C260BD" w:rsidRPr="00606F16">
        <w:rPr>
          <w:rFonts w:eastAsia="標楷體"/>
          <w:kern w:val="0"/>
          <w:sz w:val="28"/>
          <w:szCs w:val="32"/>
        </w:rPr>
        <w:t>會升息</w:t>
      </w:r>
      <w:r w:rsidRPr="00606F16">
        <w:rPr>
          <w:rFonts w:eastAsia="標楷體"/>
          <w:kern w:val="0"/>
          <w:sz w:val="28"/>
          <w:szCs w:val="32"/>
        </w:rPr>
        <w:t>等因素影響，</w:t>
      </w:r>
      <w:r w:rsidR="00C260BD" w:rsidRPr="00606F16">
        <w:rPr>
          <w:rFonts w:eastAsia="標楷體"/>
          <w:kern w:val="0"/>
          <w:sz w:val="28"/>
          <w:szCs w:val="32"/>
        </w:rPr>
        <w:t>人民幣兌美元</w:t>
      </w:r>
      <w:proofErr w:type="gramStart"/>
      <w:r w:rsidR="00C260BD" w:rsidRPr="00606F16">
        <w:rPr>
          <w:rFonts w:eastAsia="標楷體"/>
          <w:kern w:val="0"/>
          <w:sz w:val="28"/>
          <w:szCs w:val="32"/>
        </w:rPr>
        <w:t>匯</w:t>
      </w:r>
      <w:proofErr w:type="gramEnd"/>
      <w:r w:rsidR="00C260BD" w:rsidRPr="00606F16">
        <w:rPr>
          <w:rFonts w:eastAsia="標楷體"/>
          <w:kern w:val="0"/>
          <w:sz w:val="28"/>
          <w:szCs w:val="32"/>
        </w:rPr>
        <w:t>價</w:t>
      </w:r>
      <w:r w:rsidR="0059382A" w:rsidRPr="00606F16">
        <w:rPr>
          <w:rFonts w:eastAsia="標楷體"/>
          <w:kern w:val="0"/>
          <w:sz w:val="28"/>
          <w:szCs w:val="32"/>
        </w:rPr>
        <w:t>出現</w:t>
      </w:r>
      <w:r w:rsidR="009A7807" w:rsidRPr="00606F16">
        <w:rPr>
          <w:rFonts w:eastAsia="標楷體"/>
          <w:kern w:val="0"/>
          <w:sz w:val="28"/>
          <w:szCs w:val="32"/>
        </w:rPr>
        <w:t>貶</w:t>
      </w:r>
      <w:r w:rsidR="0059382A" w:rsidRPr="00606F16">
        <w:rPr>
          <w:rFonts w:eastAsia="標楷體"/>
          <w:kern w:val="0"/>
          <w:sz w:val="28"/>
          <w:szCs w:val="32"/>
        </w:rPr>
        <w:t>值</w:t>
      </w:r>
      <w:r w:rsidRPr="00606F16">
        <w:rPr>
          <w:rFonts w:eastAsia="標楷體"/>
          <w:kern w:val="0"/>
          <w:sz w:val="28"/>
          <w:szCs w:val="32"/>
        </w:rPr>
        <w:t>，</w:t>
      </w:r>
      <w:r w:rsidR="009A7807" w:rsidRPr="00606F16">
        <w:rPr>
          <w:rFonts w:eastAsia="標楷體"/>
          <w:kern w:val="0"/>
          <w:sz w:val="28"/>
          <w:szCs w:val="32"/>
        </w:rPr>
        <w:t>至</w:t>
      </w:r>
      <w:r w:rsidRPr="00606F16">
        <w:rPr>
          <w:rFonts w:eastAsia="標楷體"/>
          <w:kern w:val="0"/>
          <w:sz w:val="28"/>
          <w:szCs w:val="32"/>
        </w:rPr>
        <w:t>2018</w:t>
      </w:r>
      <w:r w:rsidRPr="00606F16">
        <w:rPr>
          <w:rFonts w:eastAsia="標楷體"/>
          <w:kern w:val="0"/>
          <w:sz w:val="28"/>
          <w:szCs w:val="32"/>
        </w:rPr>
        <w:t>年</w:t>
      </w:r>
      <w:r w:rsidR="00C260BD" w:rsidRPr="00606F16">
        <w:rPr>
          <w:rFonts w:eastAsia="標楷體"/>
          <w:kern w:val="0"/>
          <w:sz w:val="28"/>
          <w:szCs w:val="32"/>
        </w:rPr>
        <w:t>12</w:t>
      </w:r>
      <w:r w:rsidR="00C260BD" w:rsidRPr="00606F16">
        <w:rPr>
          <w:rFonts w:eastAsia="標楷體"/>
          <w:kern w:val="0"/>
          <w:sz w:val="28"/>
          <w:szCs w:val="32"/>
        </w:rPr>
        <w:t>月底</w:t>
      </w:r>
      <w:r w:rsidRPr="00606F16">
        <w:rPr>
          <w:rFonts w:eastAsia="標楷體"/>
          <w:kern w:val="0"/>
          <w:sz w:val="28"/>
          <w:szCs w:val="32"/>
        </w:rPr>
        <w:t>人民幣兌美元</w:t>
      </w:r>
      <w:proofErr w:type="gramStart"/>
      <w:r w:rsidR="009A7807" w:rsidRPr="00606F16">
        <w:rPr>
          <w:rFonts w:eastAsia="標楷體"/>
          <w:kern w:val="0"/>
          <w:sz w:val="28"/>
          <w:szCs w:val="32"/>
        </w:rPr>
        <w:t>匯</w:t>
      </w:r>
      <w:proofErr w:type="gramEnd"/>
      <w:r w:rsidR="009A7807" w:rsidRPr="00606F16">
        <w:rPr>
          <w:rFonts w:eastAsia="標楷體"/>
          <w:kern w:val="0"/>
          <w:sz w:val="28"/>
          <w:szCs w:val="32"/>
        </w:rPr>
        <w:t>價</w:t>
      </w:r>
      <w:r w:rsidRPr="00606F16">
        <w:rPr>
          <w:rFonts w:eastAsia="標楷體"/>
          <w:kern w:val="0"/>
          <w:sz w:val="28"/>
          <w:szCs w:val="32"/>
        </w:rPr>
        <w:t>收</w:t>
      </w:r>
      <w:r w:rsidR="00C260BD" w:rsidRPr="00606F16">
        <w:rPr>
          <w:rFonts w:eastAsia="標楷體"/>
          <w:kern w:val="0"/>
          <w:sz w:val="28"/>
          <w:szCs w:val="32"/>
        </w:rPr>
        <w:t>盤價為</w:t>
      </w:r>
      <w:r w:rsidRPr="00606F16">
        <w:rPr>
          <w:rFonts w:eastAsia="標楷體"/>
          <w:kern w:val="0"/>
          <w:sz w:val="28"/>
          <w:szCs w:val="32"/>
        </w:rPr>
        <w:t>6.863</w:t>
      </w:r>
      <w:r w:rsidRPr="00606F16">
        <w:rPr>
          <w:rFonts w:eastAsia="標楷體"/>
          <w:kern w:val="0"/>
          <w:sz w:val="28"/>
          <w:szCs w:val="32"/>
        </w:rPr>
        <w:t>元</w:t>
      </w:r>
      <w:r w:rsidR="00C260BD" w:rsidRPr="00606F16">
        <w:rPr>
          <w:rFonts w:eastAsia="標楷體"/>
          <w:kern w:val="0"/>
          <w:sz w:val="28"/>
          <w:szCs w:val="32"/>
        </w:rPr>
        <w:t>，較上年貶值</w:t>
      </w:r>
      <w:r w:rsidR="00C260BD" w:rsidRPr="00606F16">
        <w:rPr>
          <w:rFonts w:eastAsia="標楷體"/>
          <w:kern w:val="0"/>
          <w:sz w:val="28"/>
          <w:szCs w:val="32"/>
        </w:rPr>
        <w:t>5.0</w:t>
      </w:r>
      <w:r w:rsidR="00C260BD" w:rsidRPr="00606F16">
        <w:rPr>
          <w:rFonts w:eastAsia="標楷體"/>
          <w:color w:val="000000" w:themeColor="text1"/>
          <w:kern w:val="0"/>
          <w:sz w:val="28"/>
          <w:szCs w:val="32"/>
        </w:rPr>
        <w:t>%</w:t>
      </w:r>
      <w:r w:rsidRPr="00606F16">
        <w:rPr>
          <w:rFonts w:eastAsia="標楷體"/>
          <w:kern w:val="0"/>
          <w:sz w:val="28"/>
          <w:szCs w:val="32"/>
        </w:rPr>
        <w:t>。</w:t>
      </w:r>
    </w:p>
    <w:p w:rsidR="007E3448" w:rsidRPr="006E7090" w:rsidRDefault="007F005F" w:rsidP="000E136C">
      <w:pPr>
        <w:pStyle w:val="a3"/>
        <w:widowControl/>
        <w:autoSpaceDE w:val="0"/>
        <w:snapToGrid w:val="0"/>
        <w:spacing w:beforeLines="150" w:before="540" w:afterLines="50" w:after="180" w:line="360" w:lineRule="exact"/>
        <w:ind w:leftChars="-636" w:left="1" w:hangingChars="545" w:hanging="1527"/>
        <w:jc w:val="center"/>
        <w:rPr>
          <w:rFonts w:ascii="標楷體" w:eastAsia="標楷體" w:hAnsi="標楷體"/>
          <w:color w:val="000000" w:themeColor="text1"/>
          <w:sz w:val="28"/>
          <w:szCs w:val="32"/>
        </w:rPr>
      </w:pPr>
      <w:r>
        <w:rPr>
          <w:rFonts w:ascii="標楷體" w:eastAsia="標楷體" w:hAnsi="標楷體" w:hint="eastAsia"/>
          <w:b/>
          <w:bCs/>
          <w:color w:val="000000" w:themeColor="text1"/>
          <w:sz w:val="28"/>
          <w:szCs w:val="28"/>
        </w:rPr>
        <w:lastRenderedPageBreak/>
        <w:t xml:space="preserve">          </w:t>
      </w:r>
      <w:r w:rsidR="007E3448" w:rsidRPr="006E7090">
        <w:rPr>
          <w:rFonts w:ascii="標楷體" w:eastAsia="標楷體" w:hAnsi="標楷體"/>
          <w:b/>
          <w:bCs/>
          <w:color w:val="000000" w:themeColor="text1"/>
          <w:sz w:val="28"/>
          <w:szCs w:val="28"/>
        </w:rPr>
        <w:t>中國大陸重要經濟指標</w:t>
      </w:r>
    </w:p>
    <w:p w:rsidR="007E3448" w:rsidRPr="00606F16" w:rsidRDefault="007E3448" w:rsidP="007E3448">
      <w:pPr>
        <w:spacing w:line="200" w:lineRule="exact"/>
        <w:ind w:left="482" w:rightChars="-201" w:right="-482"/>
        <w:jc w:val="right"/>
        <w:rPr>
          <w:rFonts w:ascii="Times New Roman" w:eastAsia="標楷體" w:hAnsi="Times New Roman" w:cs="Times New Roman"/>
          <w:bCs/>
          <w:color w:val="000000" w:themeColor="text1"/>
          <w:sz w:val="20"/>
          <w:szCs w:val="28"/>
        </w:rPr>
      </w:pPr>
      <w:r w:rsidRPr="00606F16">
        <w:rPr>
          <w:rFonts w:ascii="Times New Roman" w:eastAsia="標楷體" w:hAnsi="Times New Roman" w:cs="Times New Roman"/>
          <w:bCs/>
          <w:color w:val="000000" w:themeColor="text1"/>
          <w:sz w:val="20"/>
          <w:szCs w:val="28"/>
        </w:rPr>
        <w:t>單位：</w:t>
      </w:r>
      <w:r w:rsidRPr="00606F16">
        <w:rPr>
          <w:rFonts w:ascii="Times New Roman" w:eastAsia="標楷體" w:hAnsi="Times New Roman" w:cs="Times New Roman"/>
          <w:bCs/>
          <w:color w:val="000000" w:themeColor="text1"/>
          <w:sz w:val="20"/>
          <w:szCs w:val="28"/>
        </w:rPr>
        <w:t>%</w:t>
      </w:r>
    </w:p>
    <w:tbl>
      <w:tblPr>
        <w:tblW w:w="6154" w:type="pct"/>
        <w:jc w:val="center"/>
        <w:tblInd w:w="-388" w:type="dxa"/>
        <w:tblLayout w:type="fixed"/>
        <w:tblLook w:val="01E0" w:firstRow="1" w:lastRow="1" w:firstColumn="1" w:lastColumn="1" w:noHBand="0" w:noVBand="0"/>
      </w:tblPr>
      <w:tblGrid>
        <w:gridCol w:w="3578"/>
        <w:gridCol w:w="829"/>
        <w:gridCol w:w="892"/>
        <w:gridCol w:w="854"/>
        <w:gridCol w:w="856"/>
        <w:gridCol w:w="860"/>
        <w:gridCol w:w="822"/>
        <w:gridCol w:w="906"/>
        <w:gridCol w:w="892"/>
      </w:tblGrid>
      <w:tr w:rsidR="007E3448" w:rsidRPr="00606F16" w:rsidTr="007E3448">
        <w:trPr>
          <w:cantSplit/>
          <w:trHeight w:val="243"/>
          <w:jc w:val="center"/>
        </w:trPr>
        <w:tc>
          <w:tcPr>
            <w:tcW w:w="1706" w:type="pct"/>
            <w:vMerge w:val="restart"/>
            <w:tcBorders>
              <w:top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b/>
                <w:bCs/>
                <w:color w:val="000000" w:themeColor="text1"/>
              </w:rPr>
            </w:pPr>
            <w:r w:rsidRPr="00606F16">
              <w:rPr>
                <w:rFonts w:ascii="Times New Roman" w:eastAsia="標楷體" w:hAnsi="Times New Roman" w:cs="Times New Roman"/>
                <w:b/>
                <w:bCs/>
                <w:color w:val="000000" w:themeColor="text1"/>
              </w:rPr>
              <w:t>重要經濟指標</w:t>
            </w:r>
          </w:p>
        </w:tc>
        <w:tc>
          <w:tcPr>
            <w:tcW w:w="1227" w:type="pct"/>
            <w:gridSpan w:val="3"/>
            <w:tcBorders>
              <w:top w:val="single" w:sz="4" w:space="0" w:color="auto"/>
              <w:right w:val="single" w:sz="4" w:space="0" w:color="auto"/>
            </w:tcBorders>
          </w:tcPr>
          <w:p w:rsidR="007E3448" w:rsidRPr="00606F16" w:rsidRDefault="007E3448" w:rsidP="007E3448">
            <w:pPr>
              <w:adjustRightInd w:val="0"/>
              <w:snapToGrid w:val="0"/>
              <w:spacing w:line="240" w:lineRule="atLeast"/>
              <w:rPr>
                <w:rFonts w:ascii="Times New Roman" w:eastAsia="標楷體" w:hAnsi="Times New Roman" w:cs="Times New Roman"/>
                <w:b/>
                <w:bCs/>
                <w:color w:val="000000" w:themeColor="text1"/>
                <w:kern w:val="0"/>
                <w:sz w:val="20"/>
                <w:szCs w:val="20"/>
              </w:rPr>
            </w:pPr>
            <w:r w:rsidRPr="00606F16">
              <w:rPr>
                <w:rFonts w:ascii="Times New Roman" w:eastAsia="標楷體" w:hAnsi="Times New Roman" w:cs="Times New Roman"/>
                <w:b/>
                <w:bCs/>
                <w:color w:val="000000" w:themeColor="text1"/>
                <w:sz w:val="22"/>
              </w:rPr>
              <w:t>2017</w:t>
            </w:r>
          </w:p>
        </w:tc>
        <w:tc>
          <w:tcPr>
            <w:tcW w:w="2067" w:type="pct"/>
            <w:gridSpan w:val="5"/>
            <w:tcBorders>
              <w:top w:val="single" w:sz="4" w:space="0" w:color="auto"/>
            </w:tcBorders>
          </w:tcPr>
          <w:p w:rsidR="007E3448" w:rsidRPr="00606F16" w:rsidRDefault="007E3448" w:rsidP="007E3448">
            <w:pPr>
              <w:adjustRightInd w:val="0"/>
              <w:snapToGrid w:val="0"/>
              <w:spacing w:line="240" w:lineRule="atLeast"/>
              <w:rPr>
                <w:rFonts w:ascii="Times New Roman" w:eastAsia="標楷體" w:hAnsi="Times New Roman" w:cs="Times New Roman"/>
                <w:b/>
                <w:bCs/>
                <w:color w:val="000000" w:themeColor="text1"/>
                <w:kern w:val="0"/>
                <w:sz w:val="20"/>
                <w:szCs w:val="20"/>
              </w:rPr>
            </w:pPr>
            <w:r w:rsidRPr="00606F16">
              <w:rPr>
                <w:rFonts w:ascii="Times New Roman" w:eastAsia="標楷體" w:hAnsi="Times New Roman" w:cs="Times New Roman"/>
                <w:b/>
                <w:bCs/>
                <w:color w:val="000000" w:themeColor="text1"/>
                <w:sz w:val="22"/>
              </w:rPr>
              <w:t>2018</w:t>
            </w:r>
          </w:p>
        </w:tc>
      </w:tr>
      <w:tr w:rsidR="007E3448" w:rsidRPr="00606F16" w:rsidTr="007E3448">
        <w:trPr>
          <w:cantSplit/>
          <w:trHeight w:hRule="exact" w:val="239"/>
          <w:jc w:val="center"/>
        </w:trPr>
        <w:tc>
          <w:tcPr>
            <w:tcW w:w="1706" w:type="pct"/>
            <w:vMerge/>
            <w:tcBorders>
              <w:top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b/>
                <w:bCs/>
                <w:color w:val="000000" w:themeColor="text1"/>
              </w:rPr>
            </w:pPr>
          </w:p>
        </w:tc>
        <w:tc>
          <w:tcPr>
            <w:tcW w:w="395"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jc w:val="center"/>
              <w:rPr>
                <w:rFonts w:ascii="Times New Roman" w:eastAsia="標楷體" w:hAnsi="Times New Roman" w:cs="Times New Roman"/>
                <w:b/>
                <w:bCs/>
                <w:color w:val="000000" w:themeColor="text1"/>
                <w:kern w:val="0"/>
                <w:sz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jc w:val="center"/>
              <w:rPr>
                <w:rFonts w:ascii="Times New Roman" w:eastAsia="標楷體" w:hAnsi="Times New Roman" w:cs="Times New Roman"/>
                <w:b/>
                <w:bCs/>
                <w:color w:val="000000" w:themeColor="text1"/>
                <w:kern w:val="0"/>
                <w:sz w:val="22"/>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3</w:t>
            </w:r>
            <w:r w:rsidRPr="00606F16">
              <w:rPr>
                <w:rFonts w:ascii="Times New Roman" w:eastAsia="標楷體" w:hAnsi="Times New Roman" w:cs="Times New Roman"/>
                <w:b/>
                <w:bCs/>
                <w:color w:val="000000" w:themeColor="text1"/>
                <w:kern w:val="0"/>
                <w:sz w:val="22"/>
              </w:rPr>
              <w:t>季</w:t>
            </w:r>
          </w:p>
        </w:tc>
        <w:tc>
          <w:tcPr>
            <w:tcW w:w="407" w:type="pct"/>
            <w:tcBorders>
              <w:top w:val="single"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jc w:val="center"/>
              <w:rPr>
                <w:rFonts w:ascii="Times New Roman" w:eastAsia="標楷體" w:hAnsi="Times New Roman" w:cs="Times New Roman"/>
                <w:b/>
                <w:bCs/>
                <w:color w:val="000000" w:themeColor="text1"/>
                <w:kern w:val="0"/>
                <w:sz w:val="22"/>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4</w:t>
            </w:r>
            <w:r w:rsidRPr="00606F16">
              <w:rPr>
                <w:rFonts w:ascii="Times New Roman" w:eastAsia="標楷體" w:hAnsi="Times New Roman" w:cs="Times New Roman"/>
                <w:b/>
                <w:bCs/>
                <w:color w:val="000000" w:themeColor="text1"/>
                <w:kern w:val="0"/>
                <w:sz w:val="22"/>
              </w:rPr>
              <w:t>季</w:t>
            </w:r>
          </w:p>
        </w:tc>
        <w:tc>
          <w:tcPr>
            <w:tcW w:w="408"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center"/>
              <w:rPr>
                <w:rFonts w:ascii="Times New Roman" w:eastAsia="標楷體" w:hAnsi="Times New Roman" w:cs="Times New Roman"/>
                <w:b/>
                <w:bCs/>
                <w:color w:val="000000" w:themeColor="text1"/>
                <w:kern w:val="0"/>
                <w:sz w:val="22"/>
              </w:rPr>
            </w:pPr>
          </w:p>
        </w:tc>
        <w:tc>
          <w:tcPr>
            <w:tcW w:w="410"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spacing w:line="240" w:lineRule="atLeast"/>
              <w:jc w:val="center"/>
              <w:rPr>
                <w:rFonts w:ascii="Times New Roman" w:eastAsia="標楷體" w:hAnsi="Times New Roman" w:cs="Times New Roman"/>
                <w:b/>
                <w:bCs/>
                <w:color w:val="000000" w:themeColor="text1"/>
                <w:kern w:val="0"/>
                <w:sz w:val="22"/>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1</w:t>
            </w:r>
            <w:r w:rsidRPr="00606F16">
              <w:rPr>
                <w:rFonts w:ascii="Times New Roman" w:eastAsia="標楷體" w:hAnsi="Times New Roman" w:cs="Times New Roman"/>
                <w:b/>
                <w:bCs/>
                <w:color w:val="000000" w:themeColor="text1"/>
                <w:kern w:val="0"/>
                <w:sz w:val="22"/>
              </w:rPr>
              <w:t>季</w:t>
            </w:r>
          </w:p>
        </w:tc>
        <w:tc>
          <w:tcPr>
            <w:tcW w:w="392"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spacing w:line="240" w:lineRule="atLeast"/>
              <w:rPr>
                <w:rFonts w:ascii="Times New Roman" w:eastAsia="標楷體" w:hAnsi="Times New Roman" w:cs="Times New Roman"/>
                <w:b/>
                <w:bCs/>
                <w:color w:val="000000" w:themeColor="text1"/>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2</w:t>
            </w:r>
            <w:r w:rsidRPr="00606F16">
              <w:rPr>
                <w:rFonts w:ascii="Times New Roman" w:eastAsia="標楷體" w:hAnsi="Times New Roman" w:cs="Times New Roman"/>
                <w:b/>
                <w:bCs/>
                <w:color w:val="000000" w:themeColor="text1"/>
                <w:kern w:val="0"/>
                <w:sz w:val="22"/>
              </w:rPr>
              <w:t>季</w:t>
            </w:r>
          </w:p>
        </w:tc>
        <w:tc>
          <w:tcPr>
            <w:tcW w:w="432"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spacing w:line="240" w:lineRule="atLeast"/>
              <w:rPr>
                <w:rFonts w:ascii="Times New Roman" w:eastAsia="標楷體" w:hAnsi="Times New Roman" w:cs="Times New Roman"/>
                <w:b/>
                <w:bCs/>
                <w:color w:val="000000" w:themeColor="text1"/>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3</w:t>
            </w:r>
            <w:r w:rsidRPr="00606F16">
              <w:rPr>
                <w:rFonts w:ascii="Times New Roman" w:eastAsia="標楷體" w:hAnsi="Times New Roman" w:cs="Times New Roman"/>
                <w:b/>
                <w:bCs/>
                <w:color w:val="000000" w:themeColor="text1"/>
                <w:kern w:val="0"/>
                <w:sz w:val="22"/>
              </w:rPr>
              <w:t>季</w:t>
            </w:r>
            <w:proofErr w:type="gramStart"/>
            <w:r w:rsidRPr="00606F16">
              <w:rPr>
                <w:rFonts w:ascii="Times New Roman" w:eastAsia="標楷體" w:hAnsi="Times New Roman" w:cs="Times New Roman"/>
                <w:b/>
                <w:bCs/>
                <w:color w:val="000000" w:themeColor="text1"/>
              </w:rPr>
              <w:t>季</w:t>
            </w:r>
            <w:proofErr w:type="gramEnd"/>
          </w:p>
        </w:tc>
        <w:tc>
          <w:tcPr>
            <w:tcW w:w="425"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spacing w:line="240" w:lineRule="atLeast"/>
              <w:rPr>
                <w:rFonts w:ascii="Times New Roman" w:eastAsia="標楷體" w:hAnsi="Times New Roman" w:cs="Times New Roman"/>
                <w:b/>
                <w:bCs/>
                <w:color w:val="000000" w:themeColor="text1"/>
              </w:rPr>
            </w:pPr>
            <w:r w:rsidRPr="00606F16">
              <w:rPr>
                <w:rFonts w:ascii="Times New Roman" w:eastAsia="標楷體" w:hAnsi="Times New Roman" w:cs="Times New Roman"/>
                <w:b/>
                <w:bCs/>
                <w:color w:val="000000" w:themeColor="text1"/>
                <w:kern w:val="0"/>
                <w:sz w:val="22"/>
              </w:rPr>
              <w:t>第</w:t>
            </w:r>
            <w:r w:rsidRPr="00606F16">
              <w:rPr>
                <w:rFonts w:ascii="Times New Roman" w:eastAsia="標楷體" w:hAnsi="Times New Roman" w:cs="Times New Roman"/>
                <w:b/>
                <w:bCs/>
                <w:color w:val="000000" w:themeColor="text1"/>
                <w:kern w:val="0"/>
                <w:sz w:val="22"/>
              </w:rPr>
              <w:t>4</w:t>
            </w:r>
            <w:r w:rsidRPr="00606F16">
              <w:rPr>
                <w:rFonts w:ascii="Times New Roman" w:eastAsia="標楷體" w:hAnsi="Times New Roman" w:cs="Times New Roman"/>
                <w:b/>
                <w:bCs/>
                <w:color w:val="000000" w:themeColor="text1"/>
                <w:kern w:val="0"/>
                <w:sz w:val="22"/>
              </w:rPr>
              <w:t>季</w:t>
            </w:r>
            <w:r w:rsidRPr="00606F16">
              <w:rPr>
                <w:rFonts w:ascii="Times New Roman" w:eastAsia="標楷體" w:hAnsi="Times New Roman" w:cs="Times New Roman"/>
                <w:b/>
                <w:bCs/>
                <w:color w:val="000000" w:themeColor="text1"/>
              </w:rPr>
              <w:t>2u4</w:t>
            </w:r>
          </w:p>
        </w:tc>
      </w:tr>
      <w:tr w:rsidR="007E3448" w:rsidRPr="00606F16" w:rsidTr="007E3448">
        <w:trPr>
          <w:trHeight w:val="386"/>
          <w:jc w:val="center"/>
        </w:trPr>
        <w:tc>
          <w:tcPr>
            <w:tcW w:w="1706" w:type="pct"/>
            <w:tcBorders>
              <w:top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GDP</w:t>
            </w:r>
            <w:r w:rsidRPr="00606F16">
              <w:rPr>
                <w:rFonts w:ascii="Times New Roman" w:eastAsia="標楷體" w:hAnsi="Times New Roman" w:cs="Times New Roman"/>
                <w:b/>
                <w:bCs/>
                <w:color w:val="000000" w:themeColor="text1"/>
                <w:sz w:val="22"/>
              </w:rPr>
              <w:t>成長率（實質）</w:t>
            </w:r>
          </w:p>
        </w:tc>
        <w:tc>
          <w:tcPr>
            <w:tcW w:w="395" w:type="pct"/>
            <w:tcBorders>
              <w:top w:val="single"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6.9</w:t>
            </w:r>
          </w:p>
        </w:tc>
        <w:tc>
          <w:tcPr>
            <w:tcW w:w="425" w:type="pct"/>
            <w:tcBorders>
              <w:top w:val="single"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6.8</w:t>
            </w:r>
          </w:p>
        </w:tc>
        <w:tc>
          <w:tcPr>
            <w:tcW w:w="407" w:type="pct"/>
            <w:tcBorders>
              <w:top w:val="single"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6.8</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6.6</w:t>
            </w:r>
          </w:p>
        </w:tc>
        <w:tc>
          <w:tcPr>
            <w:tcW w:w="410"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6.8</w:t>
            </w:r>
          </w:p>
        </w:tc>
        <w:tc>
          <w:tcPr>
            <w:tcW w:w="392"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6.7</w:t>
            </w:r>
          </w:p>
        </w:tc>
        <w:tc>
          <w:tcPr>
            <w:tcW w:w="432"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6.5</w:t>
            </w:r>
          </w:p>
        </w:tc>
        <w:tc>
          <w:tcPr>
            <w:tcW w:w="425" w:type="pct"/>
            <w:tcBorders>
              <w:top w:val="single"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6.4</w:t>
            </w:r>
          </w:p>
        </w:tc>
      </w:tr>
      <w:tr w:rsidR="007E3448" w:rsidRPr="00606F16" w:rsidTr="007E3448">
        <w:trPr>
          <w:trHeight w:val="386"/>
          <w:jc w:val="center"/>
        </w:trPr>
        <w:tc>
          <w:tcPr>
            <w:tcW w:w="1706" w:type="pct"/>
            <w:tcBorders>
              <w:top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 xml:space="preserve">  </w:t>
            </w:r>
            <w:r w:rsidRPr="00606F16">
              <w:rPr>
                <w:rFonts w:ascii="Times New Roman" w:eastAsia="標楷體" w:hAnsi="Times New Roman" w:cs="Times New Roman"/>
                <w:b/>
                <w:bCs/>
                <w:color w:val="000000" w:themeColor="text1"/>
                <w:sz w:val="22"/>
              </w:rPr>
              <w:t>消費（名目）</w:t>
            </w:r>
          </w:p>
        </w:tc>
        <w:tc>
          <w:tcPr>
            <w:tcW w:w="395"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7"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8"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10" w:type="pct"/>
            <w:tcBorders>
              <w:top w:val="single" w:sz="4" w:space="0" w:color="auto"/>
              <w:lef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39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3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r>
      <w:tr w:rsidR="007E3448" w:rsidRPr="00606F16" w:rsidTr="007E3448">
        <w:trPr>
          <w:trHeight w:val="137"/>
          <w:jc w:val="center"/>
        </w:trPr>
        <w:tc>
          <w:tcPr>
            <w:tcW w:w="1706" w:type="pct"/>
            <w:tcBorders>
              <w:bottom w:val="dashed"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w:t>
            </w:r>
            <w:r w:rsidRPr="00606F16">
              <w:rPr>
                <w:rFonts w:ascii="Times New Roman" w:eastAsia="標楷體" w:hAnsi="Times New Roman" w:cs="Times New Roman"/>
                <w:color w:val="000000" w:themeColor="text1"/>
                <w:sz w:val="22"/>
              </w:rPr>
              <w:t>社會消費品零售總額年增率</w:t>
            </w:r>
          </w:p>
        </w:tc>
        <w:tc>
          <w:tcPr>
            <w:tcW w:w="395" w:type="pct"/>
            <w:tcBorders>
              <w:left w:val="single" w:sz="4" w:space="0" w:color="auto"/>
              <w:bottom w:val="dashed"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10.2</w:t>
            </w:r>
          </w:p>
        </w:tc>
        <w:tc>
          <w:tcPr>
            <w:tcW w:w="425" w:type="pct"/>
            <w:tcBorders>
              <w:left w:val="single" w:sz="4" w:space="0" w:color="auto"/>
              <w:bottom w:val="dashed"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10.3</w:t>
            </w:r>
          </w:p>
        </w:tc>
        <w:tc>
          <w:tcPr>
            <w:tcW w:w="407" w:type="pct"/>
            <w:tcBorders>
              <w:left w:val="single" w:sz="4" w:space="0" w:color="auto"/>
              <w:bottom w:val="dashed"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9.8</w:t>
            </w:r>
          </w:p>
        </w:tc>
        <w:tc>
          <w:tcPr>
            <w:tcW w:w="408" w:type="pct"/>
            <w:tcBorders>
              <w:left w:val="single" w:sz="4" w:space="0" w:color="auto"/>
              <w:bottom w:val="dashed"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9.0</w:t>
            </w:r>
          </w:p>
        </w:tc>
        <w:tc>
          <w:tcPr>
            <w:tcW w:w="410" w:type="pct"/>
            <w:tcBorders>
              <w:left w:val="single" w:sz="4" w:space="0" w:color="auto"/>
              <w:bottom w:val="dashed"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9.8</w:t>
            </w:r>
          </w:p>
        </w:tc>
        <w:tc>
          <w:tcPr>
            <w:tcW w:w="392" w:type="pct"/>
            <w:tcBorders>
              <w:left w:val="single" w:sz="4" w:space="0" w:color="auto"/>
              <w:bottom w:val="dashed"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9.0</w:t>
            </w:r>
          </w:p>
        </w:tc>
        <w:tc>
          <w:tcPr>
            <w:tcW w:w="432" w:type="pct"/>
            <w:tcBorders>
              <w:left w:val="single" w:sz="4" w:space="0" w:color="auto"/>
              <w:bottom w:val="dashed"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9.0</w:t>
            </w:r>
          </w:p>
        </w:tc>
        <w:tc>
          <w:tcPr>
            <w:tcW w:w="425" w:type="pct"/>
            <w:tcBorders>
              <w:left w:val="single" w:sz="4" w:space="0" w:color="auto"/>
              <w:bottom w:val="dashed"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8.2</w:t>
            </w:r>
          </w:p>
        </w:tc>
      </w:tr>
      <w:tr w:rsidR="007E3448" w:rsidRPr="00606F16" w:rsidTr="007E3448">
        <w:trPr>
          <w:trHeight w:val="386"/>
          <w:jc w:val="center"/>
        </w:trPr>
        <w:tc>
          <w:tcPr>
            <w:tcW w:w="1706" w:type="pct"/>
            <w:tcBorders>
              <w:top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 xml:space="preserve">  </w:t>
            </w:r>
            <w:r w:rsidRPr="00606F16">
              <w:rPr>
                <w:rFonts w:ascii="Times New Roman" w:eastAsia="標楷體" w:hAnsi="Times New Roman" w:cs="Times New Roman"/>
                <w:b/>
                <w:bCs/>
                <w:color w:val="000000" w:themeColor="text1"/>
                <w:sz w:val="22"/>
              </w:rPr>
              <w:t>投資（名目）</w:t>
            </w:r>
          </w:p>
        </w:tc>
        <w:tc>
          <w:tcPr>
            <w:tcW w:w="39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7"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8"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10"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39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3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r>
      <w:tr w:rsidR="007E3448" w:rsidRPr="00606F16" w:rsidTr="007E3448">
        <w:trPr>
          <w:trHeight w:val="271"/>
          <w:jc w:val="center"/>
        </w:trPr>
        <w:tc>
          <w:tcPr>
            <w:tcW w:w="1706" w:type="pct"/>
            <w:tcBorders>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rPr>
                <w:rFonts w:ascii="Times New Roman" w:eastAsia="標楷體" w:hAnsi="Times New Roman" w:cs="Times New Roman"/>
                <w:color w:val="000000" w:themeColor="text1"/>
                <w:sz w:val="22"/>
              </w:rPr>
            </w:pPr>
            <w:r w:rsidRPr="00606F16">
              <w:rPr>
                <w:rFonts w:ascii="Times New Roman" w:eastAsia="標楷體" w:hAnsi="Times New Roman" w:cs="Times New Roman"/>
                <w:bCs/>
                <w:color w:val="000000" w:themeColor="text1"/>
                <w:w w:val="90"/>
                <w:sz w:val="22"/>
              </w:rPr>
              <w:t xml:space="preserve">    </w:t>
            </w:r>
            <w:r w:rsidRPr="00606F16">
              <w:rPr>
                <w:rFonts w:ascii="Times New Roman" w:eastAsia="標楷體" w:hAnsi="Times New Roman" w:cs="Times New Roman"/>
                <w:bCs/>
                <w:color w:val="000000" w:themeColor="text1"/>
                <w:w w:val="90"/>
                <w:sz w:val="22"/>
              </w:rPr>
              <w:t>固定資產投資（不含農戶）成長率</w:t>
            </w:r>
          </w:p>
        </w:tc>
        <w:tc>
          <w:tcPr>
            <w:tcW w:w="395"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7.2</w:t>
            </w:r>
          </w:p>
        </w:tc>
        <w:tc>
          <w:tcPr>
            <w:tcW w:w="425"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5.3</w:t>
            </w:r>
          </w:p>
        </w:tc>
        <w:tc>
          <w:tcPr>
            <w:tcW w:w="407"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7.2</w:t>
            </w:r>
          </w:p>
        </w:tc>
        <w:tc>
          <w:tcPr>
            <w:tcW w:w="408"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5.9</w:t>
            </w:r>
          </w:p>
        </w:tc>
        <w:tc>
          <w:tcPr>
            <w:tcW w:w="410"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7.5</w:t>
            </w:r>
          </w:p>
        </w:tc>
        <w:tc>
          <w:tcPr>
            <w:tcW w:w="39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4.5</w:t>
            </w:r>
          </w:p>
        </w:tc>
        <w:tc>
          <w:tcPr>
            <w:tcW w:w="43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5.4</w:t>
            </w:r>
          </w:p>
        </w:tc>
        <w:tc>
          <w:tcPr>
            <w:tcW w:w="425"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5.9</w:t>
            </w:r>
          </w:p>
        </w:tc>
      </w:tr>
      <w:tr w:rsidR="007E3448" w:rsidRPr="00606F16" w:rsidTr="007E3448">
        <w:trPr>
          <w:trHeight w:val="307"/>
          <w:jc w:val="center"/>
        </w:trPr>
        <w:tc>
          <w:tcPr>
            <w:tcW w:w="1706" w:type="pct"/>
            <w:tcBorders>
              <w:top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firstLineChars="100" w:firstLine="220"/>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外貿（名目）</w:t>
            </w:r>
          </w:p>
        </w:tc>
        <w:tc>
          <w:tcPr>
            <w:tcW w:w="395"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7"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08"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10" w:type="pct"/>
            <w:tcBorders>
              <w:top w:val="single" w:sz="4" w:space="0" w:color="auto"/>
              <w:lef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39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32"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tc>
      </w:tr>
      <w:tr w:rsidR="007E3448" w:rsidRPr="00606F16" w:rsidTr="007E3448">
        <w:trPr>
          <w:trHeight w:val="386"/>
          <w:jc w:val="center"/>
        </w:trPr>
        <w:tc>
          <w:tcPr>
            <w:tcW w:w="1706" w:type="pct"/>
            <w:tcBorders>
              <w:right w:val="single" w:sz="4" w:space="0" w:color="auto"/>
            </w:tcBorders>
            <w:shd w:val="clear" w:color="auto" w:fill="auto"/>
            <w:vAlign w:val="center"/>
          </w:tcPr>
          <w:p w:rsidR="007E3448" w:rsidRPr="00606F16" w:rsidRDefault="007E3448" w:rsidP="007E3448">
            <w:pPr>
              <w:tabs>
                <w:tab w:val="left" w:pos="417"/>
              </w:tabs>
              <w:adjustRightInd w:val="0"/>
              <w:snapToGrid w:val="0"/>
              <w:spacing w:line="240" w:lineRule="atLeast"/>
              <w:ind w:firstLineChars="150" w:firstLine="330"/>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w:t>
            </w:r>
            <w:r w:rsidRPr="00606F16">
              <w:rPr>
                <w:rFonts w:ascii="Times New Roman" w:eastAsia="標楷體" w:hAnsi="Times New Roman" w:cs="Times New Roman"/>
                <w:color w:val="000000" w:themeColor="text1"/>
                <w:sz w:val="22"/>
              </w:rPr>
              <w:t>出口年增率</w:t>
            </w:r>
          </w:p>
        </w:tc>
        <w:tc>
          <w:tcPr>
            <w:tcW w:w="395" w:type="pct"/>
            <w:tcBorders>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7.9</w:t>
            </w:r>
          </w:p>
        </w:tc>
        <w:tc>
          <w:tcPr>
            <w:tcW w:w="425" w:type="pct"/>
            <w:tcBorders>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6.8</w:t>
            </w:r>
          </w:p>
        </w:tc>
        <w:tc>
          <w:tcPr>
            <w:tcW w:w="407" w:type="pct"/>
            <w:tcBorders>
              <w:left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11.9</w:t>
            </w:r>
          </w:p>
        </w:tc>
        <w:tc>
          <w:tcPr>
            <w:tcW w:w="408" w:type="pct"/>
            <w:tcBorders>
              <w:left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9.9</w:t>
            </w:r>
          </w:p>
        </w:tc>
        <w:tc>
          <w:tcPr>
            <w:tcW w:w="410" w:type="pct"/>
            <w:tcBorders>
              <w:lef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14.1</w:t>
            </w:r>
          </w:p>
        </w:tc>
        <w:tc>
          <w:tcPr>
            <w:tcW w:w="392" w:type="pct"/>
            <w:tcBorders>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11.2</w:t>
            </w:r>
          </w:p>
        </w:tc>
        <w:tc>
          <w:tcPr>
            <w:tcW w:w="432" w:type="pct"/>
            <w:tcBorders>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10.9</w:t>
            </w:r>
          </w:p>
        </w:tc>
        <w:tc>
          <w:tcPr>
            <w:tcW w:w="425" w:type="pct"/>
            <w:tcBorders>
              <w:lef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5.3</w:t>
            </w:r>
          </w:p>
        </w:tc>
      </w:tr>
      <w:tr w:rsidR="007E3448" w:rsidRPr="00606F16" w:rsidTr="007E3448">
        <w:trPr>
          <w:trHeight w:val="231"/>
          <w:jc w:val="center"/>
        </w:trPr>
        <w:tc>
          <w:tcPr>
            <w:tcW w:w="1706" w:type="pct"/>
            <w:tcBorders>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firstLineChars="150" w:firstLine="330"/>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w:t>
            </w:r>
            <w:r w:rsidRPr="00606F16">
              <w:rPr>
                <w:rFonts w:ascii="Times New Roman" w:eastAsia="標楷體" w:hAnsi="Times New Roman" w:cs="Times New Roman"/>
                <w:color w:val="000000" w:themeColor="text1"/>
                <w:sz w:val="22"/>
              </w:rPr>
              <w:t>進口年增率</w:t>
            </w:r>
          </w:p>
        </w:tc>
        <w:tc>
          <w:tcPr>
            <w:tcW w:w="395"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15.9</w:t>
            </w:r>
          </w:p>
        </w:tc>
        <w:tc>
          <w:tcPr>
            <w:tcW w:w="425"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14.6</w:t>
            </w:r>
          </w:p>
        </w:tc>
        <w:tc>
          <w:tcPr>
            <w:tcW w:w="407"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12.9</w:t>
            </w:r>
          </w:p>
        </w:tc>
        <w:tc>
          <w:tcPr>
            <w:tcW w:w="408"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15.8</w:t>
            </w:r>
          </w:p>
        </w:tc>
        <w:tc>
          <w:tcPr>
            <w:tcW w:w="410" w:type="pct"/>
            <w:tcBorders>
              <w:left w:val="single" w:sz="4" w:space="0" w:color="auto"/>
              <w:bottom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18.9</w:t>
            </w:r>
          </w:p>
        </w:tc>
        <w:tc>
          <w:tcPr>
            <w:tcW w:w="39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20.5</w:t>
            </w:r>
          </w:p>
        </w:tc>
        <w:tc>
          <w:tcPr>
            <w:tcW w:w="43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20.6</w:t>
            </w:r>
          </w:p>
        </w:tc>
        <w:tc>
          <w:tcPr>
            <w:tcW w:w="425"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5.1</w:t>
            </w:r>
          </w:p>
        </w:tc>
      </w:tr>
      <w:tr w:rsidR="007E3448" w:rsidRPr="00606F16" w:rsidTr="007E3448">
        <w:trPr>
          <w:trHeight w:val="386"/>
          <w:jc w:val="center"/>
        </w:trPr>
        <w:tc>
          <w:tcPr>
            <w:tcW w:w="1706" w:type="pct"/>
            <w:tcBorders>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b/>
                <w:bCs/>
                <w:color w:val="000000" w:themeColor="text1"/>
                <w:sz w:val="22"/>
              </w:rPr>
              <w:t>物價</w:t>
            </w:r>
          </w:p>
          <w:p w:rsidR="007E3448" w:rsidRPr="00606F16" w:rsidRDefault="007E3448" w:rsidP="007E3448">
            <w:pPr>
              <w:adjustRightInd w:val="0"/>
              <w:snapToGrid w:val="0"/>
              <w:spacing w:line="240" w:lineRule="atLeast"/>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w:t>
            </w:r>
            <w:r w:rsidRPr="00606F16">
              <w:rPr>
                <w:rFonts w:ascii="Times New Roman" w:eastAsia="標楷體" w:hAnsi="Times New Roman" w:cs="Times New Roman"/>
                <w:color w:val="000000" w:themeColor="text1"/>
                <w:sz w:val="22"/>
              </w:rPr>
              <w:t>居民消費價格指數上漲率</w:t>
            </w:r>
          </w:p>
        </w:tc>
        <w:tc>
          <w:tcPr>
            <w:tcW w:w="395"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1.6</w:t>
            </w:r>
          </w:p>
        </w:tc>
        <w:tc>
          <w:tcPr>
            <w:tcW w:w="425"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1.6</w:t>
            </w:r>
          </w:p>
        </w:tc>
        <w:tc>
          <w:tcPr>
            <w:tcW w:w="407" w:type="pct"/>
            <w:tcBorders>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1.8</w:t>
            </w:r>
          </w:p>
        </w:tc>
        <w:tc>
          <w:tcPr>
            <w:tcW w:w="408"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2.1</w:t>
            </w:r>
          </w:p>
        </w:tc>
        <w:tc>
          <w:tcPr>
            <w:tcW w:w="410" w:type="pct"/>
            <w:tcBorders>
              <w:left w:val="single" w:sz="4" w:space="0" w:color="auto"/>
              <w:bottom w:val="single" w:sz="4" w:space="0" w:color="auto"/>
            </w:tcBorders>
            <w:shd w:val="clear" w:color="auto" w:fill="auto"/>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2.1</w:t>
            </w:r>
          </w:p>
        </w:tc>
        <w:tc>
          <w:tcPr>
            <w:tcW w:w="39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1.9</w:t>
            </w:r>
          </w:p>
        </w:tc>
        <w:tc>
          <w:tcPr>
            <w:tcW w:w="432"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2.3</w:t>
            </w:r>
          </w:p>
        </w:tc>
        <w:tc>
          <w:tcPr>
            <w:tcW w:w="425" w:type="pct"/>
            <w:tcBorders>
              <w:left w:val="single" w:sz="4" w:space="0" w:color="auto"/>
              <w:bottom w:val="single" w:sz="4" w:space="0" w:color="auto"/>
            </w:tcBorders>
            <w:vAlign w:val="center"/>
          </w:tcPr>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p>
          <w:p w:rsidR="007E3448" w:rsidRPr="00606F16" w:rsidRDefault="007E3448" w:rsidP="007E3448">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2.3</w:t>
            </w:r>
          </w:p>
        </w:tc>
      </w:tr>
      <w:tr w:rsidR="007E3448" w:rsidRPr="00606F16" w:rsidTr="007E3448">
        <w:trPr>
          <w:trHeight w:val="386"/>
          <w:jc w:val="center"/>
        </w:trPr>
        <w:tc>
          <w:tcPr>
            <w:tcW w:w="1706" w:type="pct"/>
            <w:tcBorders>
              <w:top w:val="dashed"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工業生產成長率</w:t>
            </w:r>
          </w:p>
        </w:tc>
        <w:tc>
          <w:tcPr>
            <w:tcW w:w="395" w:type="pct"/>
            <w:tcBorders>
              <w:top w:val="dashed" w:sz="4" w:space="0" w:color="auto"/>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6.6</w:t>
            </w:r>
          </w:p>
        </w:tc>
        <w:tc>
          <w:tcPr>
            <w:tcW w:w="425" w:type="pct"/>
            <w:tcBorders>
              <w:top w:val="dashed"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6.3</w:t>
            </w:r>
          </w:p>
        </w:tc>
        <w:tc>
          <w:tcPr>
            <w:tcW w:w="407" w:type="pct"/>
            <w:tcBorders>
              <w:top w:val="dashed" w:sz="4" w:space="0" w:color="auto"/>
              <w:left w:val="single" w:sz="4" w:space="0" w:color="auto"/>
              <w:bottom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6.2</w:t>
            </w:r>
          </w:p>
        </w:tc>
        <w:tc>
          <w:tcPr>
            <w:tcW w:w="408" w:type="pct"/>
            <w:tcBorders>
              <w:top w:val="dashed" w:sz="4" w:space="0" w:color="auto"/>
              <w:left w:val="single" w:sz="4" w:space="0" w:color="auto"/>
              <w:bottom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6.2</w:t>
            </w:r>
          </w:p>
        </w:tc>
        <w:tc>
          <w:tcPr>
            <w:tcW w:w="410" w:type="pct"/>
            <w:tcBorders>
              <w:top w:val="dashed" w:sz="4" w:space="0" w:color="auto"/>
              <w:left w:val="single" w:sz="4" w:space="0" w:color="auto"/>
              <w:bottom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6.8</w:t>
            </w:r>
          </w:p>
        </w:tc>
        <w:tc>
          <w:tcPr>
            <w:tcW w:w="392" w:type="pct"/>
            <w:tcBorders>
              <w:top w:val="dashed"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6.6</w:t>
            </w:r>
          </w:p>
        </w:tc>
        <w:tc>
          <w:tcPr>
            <w:tcW w:w="432" w:type="pct"/>
            <w:tcBorders>
              <w:top w:val="dashed"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6.0</w:t>
            </w:r>
          </w:p>
        </w:tc>
        <w:tc>
          <w:tcPr>
            <w:tcW w:w="425" w:type="pct"/>
            <w:tcBorders>
              <w:top w:val="dashed" w:sz="4" w:space="0" w:color="auto"/>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5.4</w:t>
            </w:r>
          </w:p>
        </w:tc>
      </w:tr>
      <w:tr w:rsidR="007E3448" w:rsidRPr="00606F16" w:rsidTr="007E3448">
        <w:trPr>
          <w:trHeight w:val="335"/>
          <w:jc w:val="center"/>
        </w:trPr>
        <w:tc>
          <w:tcPr>
            <w:tcW w:w="1706" w:type="pct"/>
            <w:tcBorders>
              <w:top w:val="single" w:sz="4" w:space="0" w:color="auto"/>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貨幣市場</w:t>
            </w:r>
            <w:r w:rsidRPr="00606F16">
              <w:rPr>
                <w:rFonts w:ascii="Times New Roman" w:eastAsia="標楷體" w:hAnsi="Times New Roman" w:cs="Times New Roman"/>
                <w:b/>
                <w:color w:val="000000" w:themeColor="text1"/>
                <w:sz w:val="22"/>
              </w:rPr>
              <w:t>（期底數）</w:t>
            </w:r>
          </w:p>
        </w:tc>
        <w:tc>
          <w:tcPr>
            <w:tcW w:w="395"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07"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08"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10" w:type="pct"/>
            <w:tcBorders>
              <w:top w:val="single" w:sz="4" w:space="0" w:color="auto"/>
              <w:lef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392"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32"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c>
          <w:tcPr>
            <w:tcW w:w="425"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p>
        </w:tc>
      </w:tr>
      <w:tr w:rsidR="007E3448" w:rsidRPr="00606F16" w:rsidTr="007E3448">
        <w:trPr>
          <w:trHeight w:val="386"/>
          <w:jc w:val="center"/>
        </w:trPr>
        <w:tc>
          <w:tcPr>
            <w:tcW w:w="1706" w:type="pct"/>
            <w:tcBorders>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M1</w:t>
            </w:r>
            <w:r w:rsidRPr="00606F16">
              <w:rPr>
                <w:rFonts w:ascii="Times New Roman" w:eastAsia="標楷體" w:hAnsi="Times New Roman" w:cs="Times New Roman"/>
                <w:color w:val="000000" w:themeColor="text1"/>
                <w:sz w:val="22"/>
              </w:rPr>
              <w:t>增加率</w:t>
            </w:r>
          </w:p>
        </w:tc>
        <w:tc>
          <w:tcPr>
            <w:tcW w:w="395" w:type="pct"/>
            <w:tcBorders>
              <w:left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11.8</w:t>
            </w:r>
          </w:p>
        </w:tc>
        <w:tc>
          <w:tcPr>
            <w:tcW w:w="425" w:type="pct"/>
            <w:tcBorders>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14.0</w:t>
            </w:r>
          </w:p>
        </w:tc>
        <w:tc>
          <w:tcPr>
            <w:tcW w:w="407" w:type="pct"/>
            <w:tcBorders>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11.8</w:t>
            </w:r>
          </w:p>
        </w:tc>
        <w:tc>
          <w:tcPr>
            <w:tcW w:w="408" w:type="pct"/>
            <w:tcBorders>
              <w:left w:val="single" w:sz="4" w:space="0" w:color="auto"/>
              <w:right w:val="single" w:sz="4" w:space="0" w:color="auto"/>
            </w:tcBorders>
            <w:shd w:val="clear" w:color="auto" w:fill="auto"/>
            <w:vAlign w:val="center"/>
          </w:tcPr>
          <w:p w:rsidR="007E3448" w:rsidRPr="00606F16" w:rsidRDefault="00606F16" w:rsidP="007E3448">
            <w:pPr>
              <w:adjustRightInd w:val="0"/>
              <w:snapToGrid w:val="0"/>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1.5</w:t>
            </w:r>
          </w:p>
        </w:tc>
        <w:tc>
          <w:tcPr>
            <w:tcW w:w="410" w:type="pct"/>
            <w:tcBorders>
              <w:lef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7.1</w:t>
            </w:r>
          </w:p>
        </w:tc>
        <w:tc>
          <w:tcPr>
            <w:tcW w:w="392" w:type="pct"/>
            <w:tcBorders>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6.6</w:t>
            </w:r>
          </w:p>
        </w:tc>
        <w:tc>
          <w:tcPr>
            <w:tcW w:w="432" w:type="pct"/>
            <w:tcBorders>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4.0</w:t>
            </w:r>
          </w:p>
        </w:tc>
        <w:tc>
          <w:tcPr>
            <w:tcW w:w="425" w:type="pct"/>
            <w:tcBorders>
              <w:left w:val="single" w:sz="4" w:space="0" w:color="auto"/>
            </w:tcBorders>
            <w:vAlign w:val="center"/>
          </w:tcPr>
          <w:p w:rsidR="007E3448" w:rsidRPr="00606F16" w:rsidRDefault="00606F16" w:rsidP="007E3448">
            <w:pPr>
              <w:adjustRightInd w:val="0"/>
              <w:snapToGrid w:val="0"/>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1.5</w:t>
            </w:r>
          </w:p>
        </w:tc>
      </w:tr>
      <w:tr w:rsidR="007E3448" w:rsidRPr="00606F16" w:rsidTr="007E3448">
        <w:trPr>
          <w:trHeight w:val="243"/>
          <w:jc w:val="center"/>
        </w:trPr>
        <w:tc>
          <w:tcPr>
            <w:tcW w:w="1706" w:type="pct"/>
            <w:tcBorders>
              <w:bottom w:val="single" w:sz="4" w:space="0" w:color="auto"/>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M2</w:t>
            </w:r>
            <w:r w:rsidRPr="00606F16">
              <w:rPr>
                <w:rFonts w:ascii="Times New Roman" w:eastAsia="標楷體" w:hAnsi="Times New Roman" w:cs="Times New Roman"/>
                <w:color w:val="000000" w:themeColor="text1"/>
                <w:sz w:val="22"/>
              </w:rPr>
              <w:t>增加率</w:t>
            </w:r>
          </w:p>
        </w:tc>
        <w:tc>
          <w:tcPr>
            <w:tcW w:w="395" w:type="pct"/>
            <w:tcBorders>
              <w:left w:val="single" w:sz="4" w:space="0" w:color="auto"/>
              <w:bottom w:val="single" w:sz="4" w:space="0" w:color="auto"/>
              <w:right w:val="single" w:sz="4" w:space="0" w:color="auto"/>
            </w:tcBorders>
            <w:shd w:val="clear" w:color="auto" w:fill="auto"/>
            <w:vAlign w:val="center"/>
          </w:tcPr>
          <w:p w:rsidR="007E3448" w:rsidRPr="00606F16" w:rsidRDefault="007E3448" w:rsidP="00606F16">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w:t>
            </w:r>
            <w:r w:rsidR="00606F16">
              <w:rPr>
                <w:rFonts w:ascii="Times New Roman" w:eastAsia="標楷體" w:hAnsi="Times New Roman" w:cs="Times New Roman" w:hint="eastAsia"/>
                <w:color w:val="000000" w:themeColor="text1"/>
                <w:sz w:val="22"/>
              </w:rPr>
              <w:t>1</w:t>
            </w:r>
          </w:p>
        </w:tc>
        <w:tc>
          <w:tcPr>
            <w:tcW w:w="425" w:type="pct"/>
            <w:tcBorders>
              <w:left w:val="single" w:sz="4" w:space="0" w:color="auto"/>
              <w:bottom w:val="single" w:sz="4" w:space="0" w:color="auto"/>
              <w:right w:val="single" w:sz="4" w:space="0" w:color="auto"/>
            </w:tcBorders>
            <w:vAlign w:val="center"/>
          </w:tcPr>
          <w:p w:rsidR="007E3448" w:rsidRPr="00606F16" w:rsidRDefault="007E3448" w:rsidP="00606F16">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9.</w:t>
            </w:r>
            <w:r w:rsidR="00606F16">
              <w:rPr>
                <w:rFonts w:ascii="Times New Roman" w:eastAsia="標楷體" w:hAnsi="Times New Roman" w:cs="Times New Roman" w:hint="eastAsia"/>
                <w:color w:val="000000" w:themeColor="text1"/>
                <w:sz w:val="22"/>
              </w:rPr>
              <w:t>0</w:t>
            </w:r>
          </w:p>
        </w:tc>
        <w:tc>
          <w:tcPr>
            <w:tcW w:w="407" w:type="pct"/>
            <w:tcBorders>
              <w:left w:val="single" w:sz="4" w:space="0" w:color="auto"/>
              <w:bottom w:val="single" w:sz="4" w:space="0" w:color="auto"/>
              <w:right w:val="single" w:sz="4" w:space="0" w:color="auto"/>
            </w:tcBorders>
            <w:vAlign w:val="center"/>
          </w:tcPr>
          <w:p w:rsidR="007E3448" w:rsidRPr="00606F16" w:rsidRDefault="007E3448" w:rsidP="00606F16">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w:t>
            </w:r>
            <w:r w:rsidR="00606F16">
              <w:rPr>
                <w:rFonts w:ascii="Times New Roman" w:eastAsia="標楷體" w:hAnsi="Times New Roman" w:cs="Times New Roman" w:hint="eastAsia"/>
                <w:color w:val="000000" w:themeColor="text1"/>
                <w:sz w:val="22"/>
              </w:rPr>
              <w:t>1</w:t>
            </w:r>
          </w:p>
        </w:tc>
        <w:tc>
          <w:tcPr>
            <w:tcW w:w="408" w:type="pct"/>
            <w:tcBorders>
              <w:left w:val="single" w:sz="4" w:space="0" w:color="auto"/>
              <w:bottom w:val="single" w:sz="4" w:space="0" w:color="auto"/>
              <w:right w:val="single" w:sz="4" w:space="0" w:color="auto"/>
            </w:tcBorders>
            <w:shd w:val="clear" w:color="auto" w:fill="auto"/>
            <w:vAlign w:val="center"/>
          </w:tcPr>
          <w:p w:rsidR="007E3448" w:rsidRPr="00606F16" w:rsidRDefault="00606F16" w:rsidP="007E3448">
            <w:pPr>
              <w:adjustRightInd w:val="0"/>
              <w:snapToGrid w:val="0"/>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8.1</w:t>
            </w:r>
          </w:p>
        </w:tc>
        <w:tc>
          <w:tcPr>
            <w:tcW w:w="410" w:type="pct"/>
            <w:tcBorders>
              <w:left w:val="single" w:sz="4" w:space="0" w:color="auto"/>
              <w:bottom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8.2</w:t>
            </w:r>
          </w:p>
        </w:tc>
        <w:tc>
          <w:tcPr>
            <w:tcW w:w="392" w:type="pct"/>
            <w:tcBorders>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8.0</w:t>
            </w:r>
          </w:p>
        </w:tc>
        <w:tc>
          <w:tcPr>
            <w:tcW w:w="432" w:type="pct"/>
            <w:tcBorders>
              <w:left w:val="single" w:sz="4" w:space="0" w:color="auto"/>
              <w:bottom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8.3</w:t>
            </w:r>
          </w:p>
        </w:tc>
        <w:tc>
          <w:tcPr>
            <w:tcW w:w="425" w:type="pct"/>
            <w:tcBorders>
              <w:left w:val="single" w:sz="4" w:space="0" w:color="auto"/>
              <w:bottom w:val="single" w:sz="4" w:space="0" w:color="auto"/>
            </w:tcBorders>
            <w:vAlign w:val="center"/>
          </w:tcPr>
          <w:p w:rsidR="007E3448" w:rsidRPr="00606F16" w:rsidRDefault="00606F16" w:rsidP="007E3448">
            <w:pPr>
              <w:adjustRightInd w:val="0"/>
              <w:snapToGrid w:val="0"/>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8.1</w:t>
            </w:r>
          </w:p>
        </w:tc>
      </w:tr>
      <w:tr w:rsidR="007E3448" w:rsidRPr="00606F16" w:rsidTr="007E3448">
        <w:trPr>
          <w:trHeight w:val="307"/>
          <w:jc w:val="center"/>
        </w:trPr>
        <w:tc>
          <w:tcPr>
            <w:tcW w:w="1706" w:type="pct"/>
            <w:tcBorders>
              <w:top w:val="single" w:sz="4" w:space="0" w:color="auto"/>
              <w:right w:val="single" w:sz="4" w:space="0" w:color="auto"/>
            </w:tcBorders>
            <w:shd w:val="clear" w:color="auto" w:fill="auto"/>
            <w:vAlign w:val="center"/>
          </w:tcPr>
          <w:p w:rsidR="007E3448" w:rsidRPr="00606F16" w:rsidRDefault="007E3448" w:rsidP="007E3448">
            <w:pPr>
              <w:adjustRightInd w:val="0"/>
              <w:snapToGrid w:val="0"/>
              <w:jc w:val="both"/>
              <w:rPr>
                <w:rFonts w:ascii="Times New Roman" w:eastAsia="標楷體" w:hAnsi="Times New Roman" w:cs="Times New Roman"/>
                <w:b/>
                <w:bCs/>
                <w:color w:val="000000" w:themeColor="text1"/>
                <w:sz w:val="22"/>
              </w:rPr>
            </w:pPr>
            <w:r w:rsidRPr="00606F16">
              <w:rPr>
                <w:rFonts w:ascii="Times New Roman" w:eastAsia="標楷體" w:hAnsi="Times New Roman" w:cs="Times New Roman"/>
                <w:b/>
                <w:bCs/>
                <w:color w:val="000000" w:themeColor="text1"/>
                <w:sz w:val="22"/>
              </w:rPr>
              <w:t>股</w:t>
            </w:r>
            <w:proofErr w:type="gramStart"/>
            <w:r w:rsidRPr="00606F16">
              <w:rPr>
                <w:rFonts w:ascii="Times New Roman" w:eastAsia="標楷體" w:hAnsi="Times New Roman" w:cs="Times New Roman"/>
                <w:b/>
                <w:bCs/>
                <w:color w:val="000000" w:themeColor="text1"/>
                <w:sz w:val="22"/>
              </w:rPr>
              <w:t>匯</w:t>
            </w:r>
            <w:proofErr w:type="gramEnd"/>
            <w:r w:rsidRPr="00606F16">
              <w:rPr>
                <w:rFonts w:ascii="Times New Roman" w:eastAsia="標楷體" w:hAnsi="Times New Roman" w:cs="Times New Roman"/>
                <w:b/>
                <w:bCs/>
                <w:color w:val="000000" w:themeColor="text1"/>
                <w:sz w:val="22"/>
              </w:rPr>
              <w:t>市（期底數）</w:t>
            </w:r>
          </w:p>
        </w:tc>
        <w:tc>
          <w:tcPr>
            <w:tcW w:w="395"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25"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07" w:type="pct"/>
            <w:tcBorders>
              <w:top w:val="single" w:sz="4" w:space="0" w:color="auto"/>
              <w:left w:val="single" w:sz="4" w:space="0" w:color="auto"/>
              <w:righ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08" w:type="pct"/>
            <w:tcBorders>
              <w:top w:val="single" w:sz="4" w:space="0" w:color="auto"/>
              <w:left w:val="single" w:sz="4" w:space="0" w:color="auto"/>
              <w:righ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10" w:type="pct"/>
            <w:tcBorders>
              <w:top w:val="single" w:sz="4" w:space="0" w:color="auto"/>
              <w:left w:val="single" w:sz="4" w:space="0" w:color="auto"/>
            </w:tcBorders>
            <w:shd w:val="clear" w:color="auto" w:fill="auto"/>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392"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32"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c>
          <w:tcPr>
            <w:tcW w:w="425" w:type="pct"/>
            <w:tcBorders>
              <w:top w:val="single" w:sz="4" w:space="0" w:color="auto"/>
              <w:left w:val="single" w:sz="4" w:space="0" w:color="auto"/>
            </w:tcBorders>
            <w:vAlign w:val="center"/>
          </w:tcPr>
          <w:p w:rsidR="007E3448" w:rsidRPr="00606F16" w:rsidRDefault="007E3448" w:rsidP="007E3448">
            <w:pPr>
              <w:adjustRightInd w:val="0"/>
              <w:snapToGrid w:val="0"/>
              <w:ind w:rightChars="50" w:right="120"/>
              <w:jc w:val="center"/>
              <w:rPr>
                <w:rFonts w:ascii="Times New Roman" w:eastAsia="標楷體" w:hAnsi="Times New Roman" w:cs="Times New Roman"/>
                <w:bCs/>
                <w:color w:val="000000" w:themeColor="text1"/>
                <w:sz w:val="22"/>
              </w:rPr>
            </w:pPr>
          </w:p>
        </w:tc>
      </w:tr>
      <w:tr w:rsidR="00466551" w:rsidRPr="00606F16" w:rsidTr="00466551">
        <w:trPr>
          <w:trHeight w:val="386"/>
          <w:jc w:val="center"/>
        </w:trPr>
        <w:tc>
          <w:tcPr>
            <w:tcW w:w="1706" w:type="pct"/>
            <w:tcBorders>
              <w:right w:val="single" w:sz="4" w:space="0" w:color="auto"/>
            </w:tcBorders>
            <w:shd w:val="clear" w:color="auto" w:fill="auto"/>
            <w:vAlign w:val="center"/>
          </w:tcPr>
          <w:p w:rsidR="00466551" w:rsidRPr="00606F16" w:rsidRDefault="00466551" w:rsidP="007E3448">
            <w:pPr>
              <w:widowControl/>
              <w:spacing w:line="240" w:lineRule="exact"/>
              <w:rPr>
                <w:rFonts w:ascii="Times New Roman" w:eastAsia="標楷體" w:hAnsi="Times New Roman" w:cs="Times New Roman"/>
                <w:color w:val="000000" w:themeColor="text1"/>
                <w:sz w:val="22"/>
              </w:rPr>
            </w:pPr>
            <w:r w:rsidRPr="00606F16">
              <w:rPr>
                <w:rFonts w:ascii="Times New Roman" w:eastAsia="標楷體" w:hAnsi="Times New Roman" w:cs="Times New Roman"/>
                <w:bCs/>
                <w:color w:val="000000" w:themeColor="text1"/>
                <w:kern w:val="0"/>
                <w:sz w:val="22"/>
              </w:rPr>
              <w:t xml:space="preserve"> </w:t>
            </w:r>
            <w:r w:rsidRPr="00606F16">
              <w:rPr>
                <w:rFonts w:ascii="Times New Roman" w:eastAsia="標楷體" w:hAnsi="Times New Roman" w:cs="Times New Roman"/>
                <w:bCs/>
                <w:color w:val="000000" w:themeColor="text1"/>
                <w:kern w:val="0"/>
                <w:sz w:val="22"/>
              </w:rPr>
              <w:t>股市</w:t>
            </w:r>
            <w:r w:rsidRPr="00606F16">
              <w:rPr>
                <w:rFonts w:ascii="Times New Roman" w:eastAsia="標楷體" w:hAnsi="Times New Roman" w:cs="Times New Roman"/>
                <w:bCs/>
                <w:color w:val="000000" w:themeColor="text1"/>
                <w:kern w:val="0"/>
                <w:sz w:val="22"/>
              </w:rPr>
              <w:t>-</w:t>
            </w:r>
            <w:r w:rsidRPr="00606F16">
              <w:rPr>
                <w:rFonts w:ascii="Times New Roman" w:eastAsia="標楷體" w:hAnsi="Times New Roman" w:cs="Times New Roman"/>
                <w:bCs/>
                <w:color w:val="000000" w:themeColor="text1"/>
                <w:kern w:val="0"/>
                <w:sz w:val="22"/>
              </w:rPr>
              <w:t>上海綜合指數上漲率</w:t>
            </w:r>
            <w:r w:rsidRPr="00606F16">
              <w:rPr>
                <w:rFonts w:ascii="Times New Roman" w:eastAsia="標楷體" w:hAnsi="Times New Roman" w:cs="Times New Roman"/>
                <w:bCs/>
                <w:color w:val="000000" w:themeColor="text1"/>
                <w:kern w:val="0"/>
                <w:sz w:val="22"/>
              </w:rPr>
              <w:t>*</w:t>
            </w:r>
          </w:p>
        </w:tc>
        <w:tc>
          <w:tcPr>
            <w:tcW w:w="395" w:type="pct"/>
            <w:tcBorders>
              <w:left w:val="single" w:sz="4" w:space="0" w:color="auto"/>
              <w:right w:val="single" w:sz="4" w:space="0" w:color="auto"/>
            </w:tcBorders>
            <w:shd w:val="clear" w:color="auto" w:fill="auto"/>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6.9</w:t>
            </w:r>
          </w:p>
        </w:tc>
        <w:tc>
          <w:tcPr>
            <w:tcW w:w="425" w:type="pct"/>
            <w:tcBorders>
              <w:left w:val="single" w:sz="4" w:space="0" w:color="auto"/>
              <w:right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9.0</w:t>
            </w:r>
          </w:p>
        </w:tc>
        <w:tc>
          <w:tcPr>
            <w:tcW w:w="407" w:type="pct"/>
            <w:tcBorders>
              <w:left w:val="single" w:sz="4" w:space="0" w:color="auto"/>
              <w:right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11.5</w:t>
            </w:r>
          </w:p>
        </w:tc>
        <w:tc>
          <w:tcPr>
            <w:tcW w:w="408" w:type="pct"/>
            <w:tcBorders>
              <w:left w:val="single" w:sz="4" w:space="0" w:color="auto"/>
              <w:right w:val="single" w:sz="4" w:space="0" w:color="auto"/>
            </w:tcBorders>
            <w:shd w:val="clear" w:color="auto" w:fill="auto"/>
            <w:vAlign w:val="center"/>
          </w:tcPr>
          <w:p w:rsidR="00466551" w:rsidRPr="00606F16" w:rsidRDefault="00466551" w:rsidP="00466551">
            <w:pPr>
              <w:spacing w:line="240" w:lineRule="exact"/>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-24.6</w:t>
            </w:r>
          </w:p>
        </w:tc>
        <w:tc>
          <w:tcPr>
            <w:tcW w:w="410" w:type="pct"/>
            <w:tcBorders>
              <w:left w:val="single" w:sz="4" w:space="0" w:color="auto"/>
            </w:tcBorders>
            <w:shd w:val="clear" w:color="auto" w:fill="auto"/>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-1.7</w:t>
            </w:r>
          </w:p>
        </w:tc>
        <w:tc>
          <w:tcPr>
            <w:tcW w:w="392" w:type="pct"/>
            <w:tcBorders>
              <w:left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-11.1</w:t>
            </w:r>
          </w:p>
        </w:tc>
        <w:tc>
          <w:tcPr>
            <w:tcW w:w="432" w:type="pct"/>
            <w:tcBorders>
              <w:left w:val="single" w:sz="4" w:space="0" w:color="auto"/>
            </w:tcBorders>
            <w:vAlign w:val="center"/>
          </w:tcPr>
          <w:p w:rsidR="00466551" w:rsidRPr="00466551" w:rsidRDefault="00466551" w:rsidP="00466551">
            <w:pPr>
              <w:widowControl/>
              <w:spacing w:line="0" w:lineRule="atLeast"/>
              <w:ind w:rightChars="50" w:right="120"/>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-15.8</w:t>
            </w:r>
          </w:p>
        </w:tc>
        <w:tc>
          <w:tcPr>
            <w:tcW w:w="425" w:type="pct"/>
            <w:tcBorders>
              <w:left w:val="single" w:sz="4" w:space="0" w:color="auto"/>
            </w:tcBorders>
            <w:vAlign w:val="center"/>
          </w:tcPr>
          <w:p w:rsidR="00466551" w:rsidRPr="00606F16" w:rsidRDefault="00466551" w:rsidP="00466551">
            <w:pPr>
              <w:spacing w:line="240" w:lineRule="exact"/>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-24.6</w:t>
            </w:r>
          </w:p>
        </w:tc>
      </w:tr>
      <w:tr w:rsidR="00466551" w:rsidRPr="00606F16" w:rsidTr="00466551">
        <w:trPr>
          <w:trHeight w:val="243"/>
          <w:jc w:val="center"/>
        </w:trPr>
        <w:tc>
          <w:tcPr>
            <w:tcW w:w="1706" w:type="pct"/>
            <w:tcBorders>
              <w:bottom w:val="single" w:sz="4" w:space="0" w:color="auto"/>
              <w:right w:val="single" w:sz="4" w:space="0" w:color="auto"/>
            </w:tcBorders>
            <w:shd w:val="clear" w:color="auto" w:fill="auto"/>
            <w:vAlign w:val="center"/>
          </w:tcPr>
          <w:p w:rsidR="00466551" w:rsidRPr="00606F16" w:rsidRDefault="00466551" w:rsidP="007E3448">
            <w:pPr>
              <w:adjustRightInd w:val="0"/>
              <w:snapToGrid w:val="0"/>
              <w:spacing w:line="240" w:lineRule="atLeast"/>
              <w:jc w:val="both"/>
              <w:rPr>
                <w:rFonts w:ascii="Times New Roman" w:eastAsia="標楷體" w:hAnsi="Times New Roman" w:cs="Times New Roman"/>
                <w:color w:val="000000" w:themeColor="text1"/>
                <w:sz w:val="22"/>
              </w:rPr>
            </w:pPr>
            <w:r w:rsidRPr="00606F16">
              <w:rPr>
                <w:rFonts w:ascii="Times New Roman" w:eastAsia="標楷體" w:hAnsi="Times New Roman" w:cs="Times New Roman"/>
                <w:color w:val="000000" w:themeColor="text1"/>
                <w:sz w:val="22"/>
              </w:rPr>
              <w:t xml:space="preserve"> </w:t>
            </w:r>
            <w:r w:rsidRPr="00606F16">
              <w:rPr>
                <w:rFonts w:ascii="Times New Roman" w:eastAsia="標楷體" w:hAnsi="Times New Roman" w:cs="Times New Roman"/>
                <w:color w:val="000000" w:themeColor="text1"/>
                <w:sz w:val="22"/>
              </w:rPr>
              <w:t>人民幣兌美元升（貶）幅度</w:t>
            </w:r>
            <w:r w:rsidRPr="00606F16">
              <w:rPr>
                <w:rFonts w:ascii="Times New Roman" w:eastAsia="標楷體" w:hAnsi="Times New Roman" w:cs="Times New Roman"/>
                <w:color w:val="000000" w:themeColor="text1"/>
                <w:sz w:val="22"/>
              </w:rPr>
              <w:t>*</w:t>
            </w:r>
          </w:p>
        </w:tc>
        <w:tc>
          <w:tcPr>
            <w:tcW w:w="395" w:type="pct"/>
            <w:tcBorders>
              <w:left w:val="single" w:sz="4" w:space="0" w:color="auto"/>
              <w:bottom w:val="single" w:sz="4" w:space="0" w:color="auto"/>
              <w:right w:val="single" w:sz="4" w:space="0" w:color="auto"/>
            </w:tcBorders>
            <w:shd w:val="clear" w:color="auto" w:fill="auto"/>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5.8</w:t>
            </w:r>
          </w:p>
        </w:tc>
        <w:tc>
          <w:tcPr>
            <w:tcW w:w="425" w:type="pct"/>
            <w:tcBorders>
              <w:left w:val="single" w:sz="4" w:space="0" w:color="auto"/>
              <w:bottom w:val="single" w:sz="4" w:space="0" w:color="auto"/>
              <w:right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-2.1</w:t>
            </w:r>
          </w:p>
        </w:tc>
        <w:tc>
          <w:tcPr>
            <w:tcW w:w="407" w:type="pct"/>
            <w:tcBorders>
              <w:left w:val="single" w:sz="4" w:space="0" w:color="auto"/>
              <w:bottom w:val="single" w:sz="4" w:space="0" w:color="auto"/>
              <w:right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0.6</w:t>
            </w:r>
          </w:p>
        </w:tc>
        <w:tc>
          <w:tcPr>
            <w:tcW w:w="408" w:type="pct"/>
            <w:tcBorders>
              <w:left w:val="single" w:sz="4" w:space="0" w:color="auto"/>
              <w:bottom w:val="single" w:sz="4" w:space="0" w:color="auto"/>
              <w:right w:val="single" w:sz="4" w:space="0" w:color="auto"/>
            </w:tcBorders>
            <w:shd w:val="clear" w:color="auto" w:fill="auto"/>
            <w:vAlign w:val="center"/>
          </w:tcPr>
          <w:p w:rsidR="00466551" w:rsidRPr="00606F16" w:rsidRDefault="00466551" w:rsidP="00466551">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-5.0</w:t>
            </w:r>
          </w:p>
        </w:tc>
        <w:tc>
          <w:tcPr>
            <w:tcW w:w="410" w:type="pct"/>
            <w:tcBorders>
              <w:left w:val="single" w:sz="4" w:space="0" w:color="auto"/>
              <w:bottom w:val="single" w:sz="4" w:space="0" w:color="auto"/>
            </w:tcBorders>
            <w:shd w:val="clear" w:color="auto" w:fill="auto"/>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3.8</w:t>
            </w:r>
          </w:p>
        </w:tc>
        <w:tc>
          <w:tcPr>
            <w:tcW w:w="392" w:type="pct"/>
            <w:tcBorders>
              <w:left w:val="single" w:sz="4" w:space="0" w:color="auto"/>
              <w:bottom w:val="single" w:sz="4" w:space="0" w:color="auto"/>
            </w:tcBorders>
            <w:vAlign w:val="center"/>
          </w:tcPr>
          <w:p w:rsidR="00466551" w:rsidRPr="00466551" w:rsidRDefault="00466551" w:rsidP="00466551">
            <w:pPr>
              <w:spacing w:line="0" w:lineRule="atLeast"/>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2.4</w:t>
            </w:r>
          </w:p>
        </w:tc>
        <w:tc>
          <w:tcPr>
            <w:tcW w:w="432" w:type="pct"/>
            <w:tcBorders>
              <w:left w:val="single" w:sz="4" w:space="0" w:color="auto"/>
              <w:bottom w:val="single" w:sz="4" w:space="0" w:color="auto"/>
            </w:tcBorders>
            <w:vAlign w:val="center"/>
          </w:tcPr>
          <w:p w:rsidR="00466551" w:rsidRPr="00466551" w:rsidRDefault="00466551" w:rsidP="00466551">
            <w:pPr>
              <w:adjustRightInd w:val="0"/>
              <w:snapToGrid w:val="0"/>
              <w:spacing w:line="0" w:lineRule="atLeast"/>
              <w:ind w:rightChars="50" w:right="120"/>
              <w:jc w:val="center"/>
              <w:rPr>
                <w:rFonts w:ascii="Times New Roman" w:eastAsia="標楷體" w:hAnsi="Times New Roman" w:cs="Times New Roman"/>
                <w:color w:val="000000" w:themeColor="text1"/>
                <w:sz w:val="22"/>
              </w:rPr>
            </w:pPr>
            <w:r w:rsidRPr="00466551">
              <w:rPr>
                <w:rFonts w:ascii="Times New Roman" w:eastAsia="標楷體" w:hAnsi="Times New Roman" w:cs="Times New Roman"/>
                <w:color w:val="000000" w:themeColor="text1"/>
                <w:sz w:val="22"/>
              </w:rPr>
              <w:t>-3.6</w:t>
            </w:r>
          </w:p>
        </w:tc>
        <w:tc>
          <w:tcPr>
            <w:tcW w:w="425" w:type="pct"/>
            <w:tcBorders>
              <w:left w:val="single" w:sz="4" w:space="0" w:color="auto"/>
              <w:bottom w:val="single" w:sz="4" w:space="0" w:color="auto"/>
            </w:tcBorders>
            <w:vAlign w:val="center"/>
          </w:tcPr>
          <w:p w:rsidR="00466551" w:rsidRPr="00606F16" w:rsidRDefault="00466551" w:rsidP="00466551">
            <w:pPr>
              <w:adjustRightInd w:val="0"/>
              <w:snapToGrid w:val="0"/>
              <w:spacing w:line="240" w:lineRule="atLeast"/>
              <w:ind w:rightChars="50" w:right="12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-5.0</w:t>
            </w:r>
          </w:p>
        </w:tc>
      </w:tr>
    </w:tbl>
    <w:p w:rsidR="007E3448" w:rsidRPr="00606F16" w:rsidRDefault="007E3448" w:rsidP="007E3448">
      <w:pPr>
        <w:widowControl/>
        <w:spacing w:line="280" w:lineRule="exact"/>
        <w:rPr>
          <w:rFonts w:ascii="Times New Roman" w:eastAsia="標楷體" w:hAnsi="Times New Roman" w:cs="Times New Roman"/>
          <w:color w:val="000000" w:themeColor="text1"/>
          <w:sz w:val="20"/>
          <w:szCs w:val="20"/>
        </w:rPr>
      </w:pPr>
      <w:proofErr w:type="gramStart"/>
      <w:r w:rsidRPr="00606F16">
        <w:rPr>
          <w:rFonts w:ascii="Times New Roman" w:eastAsia="標楷體" w:hAnsi="Times New Roman" w:cs="Times New Roman"/>
          <w:color w:val="000000" w:themeColor="text1"/>
          <w:sz w:val="20"/>
          <w:szCs w:val="20"/>
        </w:rPr>
        <w:t>註</w:t>
      </w:r>
      <w:proofErr w:type="gramEnd"/>
      <w:r w:rsidRPr="00606F16">
        <w:rPr>
          <w:rFonts w:ascii="Times New Roman" w:eastAsia="標楷體" w:hAnsi="Times New Roman" w:cs="Times New Roman"/>
          <w:color w:val="000000" w:themeColor="text1"/>
          <w:sz w:val="20"/>
          <w:szCs w:val="20"/>
        </w:rPr>
        <w:t>：</w:t>
      </w:r>
      <w:r w:rsidRPr="00606F16">
        <w:rPr>
          <w:rFonts w:ascii="Times New Roman" w:eastAsia="標楷體" w:hAnsi="Times New Roman" w:cs="Times New Roman"/>
          <w:color w:val="000000" w:themeColor="text1"/>
          <w:sz w:val="20"/>
          <w:szCs w:val="20"/>
        </w:rPr>
        <w:t>*</w:t>
      </w:r>
      <w:r w:rsidRPr="00606F16">
        <w:rPr>
          <w:rFonts w:ascii="Times New Roman" w:eastAsia="標楷體" w:hAnsi="Times New Roman" w:cs="Times New Roman"/>
          <w:color w:val="000000" w:themeColor="text1"/>
          <w:sz w:val="20"/>
          <w:szCs w:val="20"/>
        </w:rPr>
        <w:t>為較上季或上期增減比率，其餘變動率為較上年或上年同期增減比率。</w:t>
      </w:r>
    </w:p>
    <w:p w:rsidR="007E3448" w:rsidRPr="00606F16" w:rsidRDefault="007E3448" w:rsidP="007E3448">
      <w:pPr>
        <w:widowControl/>
        <w:spacing w:line="280" w:lineRule="exact"/>
        <w:rPr>
          <w:rFonts w:ascii="Times New Roman" w:eastAsia="標楷體" w:hAnsi="Times New Roman" w:cs="Times New Roman"/>
          <w:color w:val="000000" w:themeColor="text1"/>
          <w:sz w:val="20"/>
          <w:szCs w:val="20"/>
        </w:rPr>
      </w:pPr>
      <w:r w:rsidRPr="00606F16">
        <w:rPr>
          <w:rFonts w:ascii="Times New Roman" w:eastAsia="標楷體" w:hAnsi="Times New Roman" w:cs="Times New Roman"/>
          <w:color w:val="000000" w:themeColor="text1"/>
          <w:sz w:val="20"/>
          <w:szCs w:val="20"/>
        </w:rPr>
        <w:t>資料來源：</w:t>
      </w:r>
      <w:r w:rsidRPr="00606F16">
        <w:rPr>
          <w:rFonts w:ascii="Times New Roman" w:eastAsia="標楷體" w:hAnsi="Times New Roman" w:cs="Times New Roman"/>
          <w:color w:val="000000" w:themeColor="text1"/>
          <w:sz w:val="20"/>
          <w:szCs w:val="20"/>
        </w:rPr>
        <w:t>CEIC</w:t>
      </w:r>
      <w:r w:rsidRPr="00606F16">
        <w:rPr>
          <w:rFonts w:ascii="Times New Roman" w:eastAsia="標楷體" w:hAnsi="Times New Roman" w:cs="Times New Roman"/>
          <w:color w:val="000000" w:themeColor="text1"/>
          <w:sz w:val="20"/>
          <w:szCs w:val="20"/>
        </w:rPr>
        <w:t>資料庫。</w:t>
      </w:r>
    </w:p>
    <w:p w:rsidR="00644C52" w:rsidRPr="00606F16" w:rsidRDefault="00644C52" w:rsidP="007E3448">
      <w:pPr>
        <w:widowControl/>
        <w:snapToGrid w:val="0"/>
        <w:spacing w:beforeLines="50" w:before="180" w:line="480" w:lineRule="exact"/>
        <w:jc w:val="both"/>
        <w:rPr>
          <w:rFonts w:ascii="Times New Roman" w:eastAsia="標楷體" w:hAnsi="Times New Roman" w:cs="Times New Roman"/>
          <w:b/>
          <w:color w:val="000000" w:themeColor="text1"/>
          <w:kern w:val="0"/>
          <w:sz w:val="28"/>
          <w:szCs w:val="32"/>
        </w:rPr>
      </w:pPr>
      <w:r w:rsidRPr="00606F16">
        <w:rPr>
          <w:rFonts w:ascii="Times New Roman" w:eastAsia="標楷體" w:hAnsi="Times New Roman" w:cs="Times New Roman"/>
          <w:b/>
          <w:color w:val="000000" w:themeColor="text1"/>
          <w:kern w:val="0"/>
          <w:sz w:val="28"/>
          <w:szCs w:val="32"/>
        </w:rPr>
        <w:t>【兩岸經貿】</w:t>
      </w:r>
    </w:p>
    <w:p w:rsidR="00644C52" w:rsidRPr="00606F16" w:rsidRDefault="005D27BC" w:rsidP="00644C52">
      <w:pPr>
        <w:widowControl/>
        <w:snapToGrid w:val="0"/>
        <w:spacing w:beforeLines="25" w:before="90" w:afterLines="23" w:after="82" w:line="500" w:lineRule="exact"/>
        <w:ind w:firstLineChars="200" w:firstLine="560"/>
        <w:jc w:val="both"/>
        <w:rPr>
          <w:rFonts w:ascii="Times New Roman" w:eastAsia="標楷體" w:hAnsi="Times New Roman" w:cs="Times New Roman"/>
          <w:color w:val="000000" w:themeColor="text1"/>
          <w:kern w:val="0"/>
          <w:sz w:val="28"/>
          <w:szCs w:val="32"/>
        </w:rPr>
      </w:pPr>
      <w:r w:rsidRPr="00606F16">
        <w:rPr>
          <w:rFonts w:ascii="Times New Roman" w:eastAsia="標楷體" w:hAnsi="Times New Roman" w:cs="Times New Roman"/>
          <w:color w:val="000000" w:themeColor="text1"/>
          <w:kern w:val="0"/>
          <w:sz w:val="28"/>
          <w:szCs w:val="32"/>
        </w:rPr>
        <w:t>製造業投資意願</w:t>
      </w:r>
      <w:r w:rsidR="00644C52" w:rsidRPr="00606F16">
        <w:rPr>
          <w:rFonts w:ascii="Times New Roman" w:eastAsia="標楷體" w:hAnsi="Times New Roman" w:cs="Times New Roman"/>
          <w:color w:val="000000" w:themeColor="text1"/>
          <w:kern w:val="0"/>
          <w:sz w:val="28"/>
          <w:szCs w:val="32"/>
        </w:rPr>
        <w:t>受美中貿易戰影響，</w:t>
      </w:r>
      <w:r w:rsidR="00644C52" w:rsidRPr="00606F16">
        <w:rPr>
          <w:rFonts w:ascii="Times New Roman" w:eastAsia="標楷體" w:hAnsi="Times New Roman" w:cs="Times New Roman"/>
          <w:color w:val="000000" w:themeColor="text1"/>
          <w:kern w:val="0"/>
          <w:sz w:val="28"/>
          <w:szCs w:val="32"/>
        </w:rPr>
        <w:t>2018</w:t>
      </w:r>
      <w:r w:rsidR="00644C52" w:rsidRPr="00606F16">
        <w:rPr>
          <w:rFonts w:ascii="Times New Roman" w:eastAsia="標楷體" w:hAnsi="Times New Roman" w:cs="Times New Roman"/>
          <w:color w:val="000000" w:themeColor="text1"/>
          <w:kern w:val="0"/>
          <w:sz w:val="28"/>
          <w:szCs w:val="32"/>
        </w:rPr>
        <w:t>年，</w:t>
      </w:r>
      <w:proofErr w:type="gramStart"/>
      <w:r w:rsidR="00644C52" w:rsidRPr="00606F16">
        <w:rPr>
          <w:rFonts w:ascii="Times New Roman" w:eastAsia="標楷體" w:hAnsi="Times New Roman" w:cs="Times New Roman"/>
          <w:color w:val="000000" w:themeColor="text1"/>
          <w:kern w:val="0"/>
          <w:sz w:val="28"/>
          <w:szCs w:val="32"/>
        </w:rPr>
        <w:t>臺</w:t>
      </w:r>
      <w:proofErr w:type="gramEnd"/>
      <w:r w:rsidR="00644C52" w:rsidRPr="00606F16">
        <w:rPr>
          <w:rFonts w:ascii="Times New Roman" w:eastAsia="標楷體" w:hAnsi="Times New Roman" w:cs="Times New Roman"/>
          <w:color w:val="000000" w:themeColor="text1"/>
          <w:kern w:val="0"/>
          <w:sz w:val="28"/>
          <w:szCs w:val="32"/>
        </w:rPr>
        <w:t>商赴陸投資金額縮減；陸資來</w:t>
      </w:r>
      <w:proofErr w:type="gramStart"/>
      <w:r w:rsidR="00644C52" w:rsidRPr="00606F16">
        <w:rPr>
          <w:rFonts w:ascii="Times New Roman" w:eastAsia="標楷體" w:hAnsi="Times New Roman" w:cs="Times New Roman"/>
          <w:color w:val="000000" w:themeColor="text1"/>
          <w:kern w:val="0"/>
          <w:sz w:val="28"/>
          <w:szCs w:val="32"/>
        </w:rPr>
        <w:t>臺</w:t>
      </w:r>
      <w:proofErr w:type="gramEnd"/>
      <w:r w:rsidR="00644C52" w:rsidRPr="00606F16">
        <w:rPr>
          <w:rFonts w:ascii="Times New Roman" w:eastAsia="標楷體" w:hAnsi="Times New Roman" w:cs="Times New Roman"/>
          <w:color w:val="000000" w:themeColor="text1"/>
          <w:kern w:val="0"/>
          <w:sz w:val="28"/>
          <w:szCs w:val="32"/>
        </w:rPr>
        <w:t>投資金額減少。在雙邊貿易方面，</w:t>
      </w:r>
      <w:r w:rsidR="00644C52" w:rsidRPr="00606F16">
        <w:rPr>
          <w:rFonts w:ascii="Times New Roman" w:eastAsia="標楷體" w:hAnsi="Times New Roman" w:cs="Times New Roman"/>
          <w:color w:val="000000" w:themeColor="text1"/>
          <w:kern w:val="0"/>
          <w:sz w:val="28"/>
          <w:szCs w:val="32"/>
        </w:rPr>
        <w:t>2018</w:t>
      </w:r>
      <w:r w:rsidR="00644C52" w:rsidRPr="00606F16">
        <w:rPr>
          <w:rFonts w:ascii="Times New Roman" w:eastAsia="標楷體" w:hAnsi="Times New Roman" w:cs="Times New Roman"/>
          <w:color w:val="000000" w:themeColor="text1"/>
          <w:kern w:val="0"/>
          <w:sz w:val="28"/>
          <w:szCs w:val="32"/>
        </w:rPr>
        <w:t>年我對中國大陸出口全年仍持續成長，惟受美中貿易戰影響，</w:t>
      </w:r>
      <w:r w:rsidR="00644C52" w:rsidRPr="00606F16">
        <w:rPr>
          <w:rFonts w:ascii="Times New Roman" w:eastAsia="標楷體" w:hAnsi="Times New Roman" w:cs="Times New Roman"/>
          <w:color w:val="000000" w:themeColor="text1"/>
          <w:kern w:val="0"/>
          <w:sz w:val="28"/>
          <w:szCs w:val="32"/>
        </w:rPr>
        <w:t>2018</w:t>
      </w:r>
      <w:r w:rsidR="00644C52" w:rsidRPr="00606F16">
        <w:rPr>
          <w:rFonts w:ascii="Times New Roman" w:eastAsia="標楷體" w:hAnsi="Times New Roman" w:cs="Times New Roman"/>
          <w:color w:val="000000" w:themeColor="text1"/>
          <w:kern w:val="0"/>
          <w:sz w:val="28"/>
          <w:szCs w:val="32"/>
        </w:rPr>
        <w:t>年</w:t>
      </w:r>
      <w:r w:rsidR="00644C52" w:rsidRPr="00606F16">
        <w:rPr>
          <w:rFonts w:ascii="Times New Roman" w:eastAsia="標楷體" w:hAnsi="Times New Roman" w:cs="Times New Roman"/>
          <w:color w:val="000000" w:themeColor="text1"/>
          <w:kern w:val="0"/>
          <w:sz w:val="28"/>
          <w:szCs w:val="32"/>
        </w:rPr>
        <w:t>11</w:t>
      </w:r>
      <w:r w:rsidR="00644C52" w:rsidRPr="00606F16">
        <w:rPr>
          <w:rFonts w:ascii="Times New Roman" w:eastAsia="標楷體" w:hAnsi="Times New Roman" w:cs="Times New Roman"/>
          <w:color w:val="000000" w:themeColor="text1"/>
          <w:kern w:val="0"/>
          <w:sz w:val="28"/>
          <w:szCs w:val="32"/>
        </w:rPr>
        <w:t>月及</w:t>
      </w:r>
      <w:r w:rsidR="00644C52" w:rsidRPr="00606F16">
        <w:rPr>
          <w:rFonts w:ascii="Times New Roman" w:eastAsia="標楷體" w:hAnsi="Times New Roman" w:cs="Times New Roman"/>
          <w:color w:val="000000" w:themeColor="text1"/>
          <w:kern w:val="0"/>
          <w:sz w:val="28"/>
          <w:szCs w:val="32"/>
        </w:rPr>
        <w:t>12</w:t>
      </w:r>
      <w:r w:rsidR="00644C52" w:rsidRPr="00606F16">
        <w:rPr>
          <w:rFonts w:ascii="Times New Roman" w:eastAsia="標楷體" w:hAnsi="Times New Roman" w:cs="Times New Roman"/>
          <w:color w:val="000000" w:themeColor="text1"/>
          <w:kern w:val="0"/>
          <w:sz w:val="28"/>
          <w:szCs w:val="32"/>
        </w:rPr>
        <w:t>月對陸出口已現衰退走勢。</w:t>
      </w:r>
    </w:p>
    <w:p w:rsidR="00644C52" w:rsidRPr="00606F16" w:rsidRDefault="00644C52" w:rsidP="002A4962">
      <w:pPr>
        <w:pStyle w:val="a3"/>
        <w:widowControl/>
        <w:numPr>
          <w:ilvl w:val="0"/>
          <w:numId w:val="19"/>
        </w:numPr>
        <w:snapToGrid w:val="0"/>
        <w:spacing w:beforeLines="25" w:before="90" w:line="480" w:lineRule="exact"/>
        <w:ind w:leftChars="0"/>
        <w:jc w:val="both"/>
        <w:rPr>
          <w:rFonts w:eastAsia="標楷體"/>
          <w:sz w:val="28"/>
          <w:szCs w:val="28"/>
        </w:rPr>
      </w:pPr>
      <w:r w:rsidRPr="00606F16">
        <w:rPr>
          <w:rFonts w:eastAsia="標楷體"/>
          <w:b/>
          <w:sz w:val="28"/>
          <w:szCs w:val="32"/>
        </w:rPr>
        <w:t>對中國大陸投資金額</w:t>
      </w:r>
      <w:proofErr w:type="gramStart"/>
      <w:r w:rsidRPr="00606F16">
        <w:rPr>
          <w:rFonts w:eastAsia="標楷體"/>
          <w:b/>
          <w:sz w:val="28"/>
          <w:szCs w:val="32"/>
        </w:rPr>
        <w:t>減少惟件數</w:t>
      </w:r>
      <w:proofErr w:type="gramEnd"/>
      <w:r w:rsidRPr="00606F16">
        <w:rPr>
          <w:rFonts w:eastAsia="標楷體"/>
          <w:b/>
          <w:sz w:val="28"/>
          <w:szCs w:val="32"/>
        </w:rPr>
        <w:t>增加</w:t>
      </w:r>
      <w:r w:rsidRPr="00606F16">
        <w:rPr>
          <w:rFonts w:eastAsia="標楷體"/>
          <w:b/>
          <w:kern w:val="0"/>
          <w:sz w:val="28"/>
          <w:szCs w:val="32"/>
        </w:rPr>
        <w:t>：</w:t>
      </w:r>
      <w:r w:rsidRPr="00606F16">
        <w:rPr>
          <w:rFonts w:eastAsia="標楷體"/>
          <w:sz w:val="28"/>
          <w:szCs w:val="32"/>
        </w:rPr>
        <w:t>2018</w:t>
      </w:r>
      <w:r w:rsidRPr="00606F16">
        <w:rPr>
          <w:rFonts w:eastAsia="標楷體"/>
          <w:sz w:val="28"/>
          <w:szCs w:val="32"/>
        </w:rPr>
        <w:t>年核准</w:t>
      </w:r>
      <w:proofErr w:type="gramStart"/>
      <w:r w:rsidRPr="00606F16">
        <w:rPr>
          <w:rFonts w:eastAsia="標楷體"/>
          <w:sz w:val="28"/>
          <w:szCs w:val="32"/>
        </w:rPr>
        <w:t>對陸</w:t>
      </w:r>
      <w:r w:rsidRPr="00606F16">
        <w:rPr>
          <w:rFonts w:eastAsia="標楷體"/>
          <w:sz w:val="28"/>
          <w:szCs w:val="28"/>
        </w:rPr>
        <w:t>投</w:t>
      </w:r>
      <w:proofErr w:type="gramEnd"/>
      <w:r w:rsidRPr="00606F16">
        <w:rPr>
          <w:rFonts w:eastAsia="標楷體"/>
          <w:sz w:val="28"/>
          <w:szCs w:val="32"/>
        </w:rPr>
        <w:t>（增）</w:t>
      </w:r>
      <w:proofErr w:type="gramStart"/>
      <w:r w:rsidRPr="00606F16">
        <w:rPr>
          <w:rFonts w:eastAsia="標楷體"/>
          <w:sz w:val="28"/>
          <w:szCs w:val="28"/>
        </w:rPr>
        <w:t>資件數</w:t>
      </w:r>
      <w:proofErr w:type="gramEnd"/>
      <w:r w:rsidRPr="00606F16">
        <w:rPr>
          <w:rFonts w:eastAsia="標楷體"/>
          <w:sz w:val="28"/>
          <w:szCs w:val="28"/>
        </w:rPr>
        <w:t>為</w:t>
      </w:r>
      <w:r w:rsidRPr="00606F16">
        <w:rPr>
          <w:rFonts w:eastAsia="標楷體"/>
          <w:sz w:val="28"/>
          <w:szCs w:val="28"/>
        </w:rPr>
        <w:t>726</w:t>
      </w:r>
      <w:r w:rsidRPr="00606F16">
        <w:rPr>
          <w:rFonts w:eastAsia="標楷體"/>
          <w:sz w:val="28"/>
          <w:szCs w:val="28"/>
        </w:rPr>
        <w:t>件，較上年增加</w:t>
      </w:r>
      <w:r w:rsidRPr="00606F16">
        <w:rPr>
          <w:rFonts w:eastAsia="標楷體"/>
          <w:sz w:val="28"/>
          <w:szCs w:val="28"/>
        </w:rPr>
        <w:t>25.2%</w:t>
      </w:r>
      <w:r w:rsidRPr="00606F16">
        <w:rPr>
          <w:rFonts w:eastAsia="標楷體"/>
          <w:sz w:val="28"/>
          <w:szCs w:val="32"/>
        </w:rPr>
        <w:t>；核准金額為</w:t>
      </w:r>
      <w:r w:rsidRPr="00606F16">
        <w:rPr>
          <w:rFonts w:eastAsia="標楷體"/>
          <w:sz w:val="28"/>
          <w:szCs w:val="32"/>
        </w:rPr>
        <w:t>85.0</w:t>
      </w:r>
      <w:r w:rsidRPr="00606F16">
        <w:rPr>
          <w:rFonts w:eastAsia="標楷體"/>
          <w:sz w:val="28"/>
          <w:szCs w:val="32"/>
        </w:rPr>
        <w:t>億美元，減少</w:t>
      </w:r>
      <w:r w:rsidRPr="00606F16">
        <w:rPr>
          <w:rFonts w:eastAsia="標楷體"/>
          <w:sz w:val="28"/>
          <w:szCs w:val="28"/>
        </w:rPr>
        <w:t>8.1%</w:t>
      </w:r>
      <w:r w:rsidRPr="00606F16">
        <w:rPr>
          <w:rFonts w:eastAsia="標楷體"/>
          <w:sz w:val="28"/>
          <w:szCs w:val="28"/>
        </w:rPr>
        <w:t>。</w:t>
      </w:r>
      <w:r w:rsidRPr="00606F16">
        <w:rPr>
          <w:rFonts w:eastAsia="標楷體"/>
          <w:sz w:val="28"/>
          <w:szCs w:val="32"/>
        </w:rPr>
        <w:t>2018</w:t>
      </w:r>
      <w:r w:rsidRPr="00606F16">
        <w:rPr>
          <w:rFonts w:eastAsia="標楷體"/>
          <w:sz w:val="28"/>
          <w:szCs w:val="32"/>
        </w:rPr>
        <w:t>年</w:t>
      </w:r>
      <w:r w:rsidRPr="00606F16">
        <w:rPr>
          <w:rFonts w:eastAsia="標楷體"/>
          <w:sz w:val="28"/>
          <w:szCs w:val="28"/>
        </w:rPr>
        <w:t>赴陸投資主要集中在電子零組件製造業（占比</w:t>
      </w:r>
      <w:r w:rsidRPr="00606F16">
        <w:rPr>
          <w:rFonts w:eastAsia="標楷體"/>
          <w:sz w:val="28"/>
          <w:szCs w:val="28"/>
        </w:rPr>
        <w:t>21.7%</w:t>
      </w:r>
      <w:r w:rsidRPr="00606F16">
        <w:rPr>
          <w:rFonts w:eastAsia="標楷體"/>
          <w:sz w:val="28"/>
          <w:szCs w:val="28"/>
        </w:rPr>
        <w:t>）、批發及零售業（占比</w:t>
      </w:r>
      <w:r w:rsidRPr="00606F16">
        <w:rPr>
          <w:rFonts w:eastAsia="標楷體"/>
          <w:sz w:val="28"/>
          <w:szCs w:val="28"/>
        </w:rPr>
        <w:t>14.0%</w:t>
      </w:r>
      <w:r w:rsidRPr="00606F16">
        <w:rPr>
          <w:rFonts w:eastAsia="標楷體"/>
          <w:sz w:val="28"/>
          <w:szCs w:val="28"/>
        </w:rPr>
        <w:t>）</w:t>
      </w:r>
      <w:r w:rsidRPr="00606F16">
        <w:rPr>
          <w:rFonts w:eastAsia="標楷體"/>
          <w:sz w:val="28"/>
          <w:szCs w:val="32"/>
        </w:rPr>
        <w:t>、化學材料製造業（占比</w:t>
      </w:r>
      <w:r w:rsidRPr="00606F16">
        <w:rPr>
          <w:rFonts w:eastAsia="標楷體"/>
          <w:sz w:val="28"/>
          <w:szCs w:val="32"/>
        </w:rPr>
        <w:t>9.4%</w:t>
      </w:r>
      <w:r w:rsidRPr="00606F16">
        <w:rPr>
          <w:rFonts w:eastAsia="標楷體"/>
          <w:sz w:val="28"/>
          <w:szCs w:val="32"/>
        </w:rPr>
        <w:t>）</w:t>
      </w:r>
      <w:r w:rsidRPr="00606F16">
        <w:rPr>
          <w:rFonts w:eastAsia="標楷體"/>
          <w:sz w:val="28"/>
          <w:szCs w:val="28"/>
        </w:rPr>
        <w:t>、電腦、電子產品及光學製品製造業（占比</w:t>
      </w:r>
      <w:r w:rsidRPr="00606F16">
        <w:rPr>
          <w:rFonts w:eastAsia="標楷體"/>
          <w:sz w:val="28"/>
          <w:szCs w:val="28"/>
        </w:rPr>
        <w:t>9.0%</w:t>
      </w:r>
      <w:r w:rsidRPr="00606F16">
        <w:rPr>
          <w:rFonts w:eastAsia="標楷體"/>
          <w:sz w:val="28"/>
          <w:szCs w:val="28"/>
        </w:rPr>
        <w:t>）等。</w:t>
      </w:r>
    </w:p>
    <w:p w:rsidR="00644C52" w:rsidRPr="00606F16" w:rsidRDefault="00644C52" w:rsidP="002A4962">
      <w:pPr>
        <w:pStyle w:val="a3"/>
        <w:widowControl/>
        <w:numPr>
          <w:ilvl w:val="0"/>
          <w:numId w:val="19"/>
        </w:numPr>
        <w:snapToGrid w:val="0"/>
        <w:spacing w:beforeLines="25" w:before="90" w:line="480" w:lineRule="exact"/>
        <w:ind w:leftChars="0"/>
        <w:jc w:val="both"/>
        <w:rPr>
          <w:rFonts w:eastAsia="標楷體"/>
          <w:color w:val="FF0000"/>
          <w:sz w:val="28"/>
          <w:szCs w:val="32"/>
        </w:rPr>
      </w:pPr>
      <w:r w:rsidRPr="00606F16">
        <w:rPr>
          <w:rFonts w:eastAsia="標楷體"/>
          <w:b/>
          <w:sz w:val="28"/>
          <w:szCs w:val="32"/>
        </w:rPr>
        <w:t>陸資來</w:t>
      </w:r>
      <w:proofErr w:type="gramStart"/>
      <w:r w:rsidRPr="00606F16">
        <w:rPr>
          <w:rFonts w:eastAsia="標楷體"/>
          <w:b/>
          <w:sz w:val="28"/>
          <w:szCs w:val="32"/>
        </w:rPr>
        <w:t>臺</w:t>
      </w:r>
      <w:proofErr w:type="gramEnd"/>
      <w:r w:rsidRPr="00606F16">
        <w:rPr>
          <w:rFonts w:eastAsia="標楷體"/>
          <w:b/>
          <w:sz w:val="28"/>
          <w:szCs w:val="32"/>
        </w:rPr>
        <w:t>投資金額</w:t>
      </w:r>
      <w:r w:rsidR="005D27BC">
        <w:rPr>
          <w:rFonts w:eastAsia="標楷體" w:hint="eastAsia"/>
          <w:b/>
          <w:sz w:val="28"/>
          <w:szCs w:val="32"/>
        </w:rPr>
        <w:t>減少</w:t>
      </w:r>
      <w:r w:rsidRPr="00606F16">
        <w:rPr>
          <w:rFonts w:eastAsia="標楷體"/>
          <w:b/>
          <w:sz w:val="28"/>
          <w:szCs w:val="32"/>
        </w:rPr>
        <w:t>：</w:t>
      </w:r>
      <w:r w:rsidRPr="00606F16">
        <w:rPr>
          <w:rFonts w:eastAsia="標楷體"/>
          <w:sz w:val="28"/>
          <w:szCs w:val="32"/>
        </w:rPr>
        <w:t>2018</w:t>
      </w:r>
      <w:r w:rsidRPr="00606F16">
        <w:rPr>
          <w:rFonts w:eastAsia="標楷體"/>
          <w:sz w:val="28"/>
          <w:szCs w:val="32"/>
        </w:rPr>
        <w:t>年核准陸資來</w:t>
      </w:r>
      <w:proofErr w:type="gramStart"/>
      <w:r w:rsidRPr="00606F16">
        <w:rPr>
          <w:rFonts w:eastAsia="標楷體"/>
          <w:sz w:val="28"/>
          <w:szCs w:val="32"/>
        </w:rPr>
        <w:t>臺</w:t>
      </w:r>
      <w:proofErr w:type="gramEnd"/>
      <w:r w:rsidRPr="00606F16">
        <w:rPr>
          <w:rFonts w:eastAsia="標楷體"/>
          <w:sz w:val="28"/>
          <w:szCs w:val="32"/>
        </w:rPr>
        <w:t>投資金額為</w:t>
      </w:r>
      <w:r w:rsidRPr="00606F16">
        <w:rPr>
          <w:rFonts w:eastAsia="標楷體"/>
          <w:sz w:val="28"/>
          <w:szCs w:val="32"/>
        </w:rPr>
        <w:t>2.3</w:t>
      </w:r>
      <w:r w:rsidRPr="00606F16">
        <w:rPr>
          <w:rFonts w:eastAsia="標楷體"/>
          <w:sz w:val="28"/>
          <w:szCs w:val="32"/>
        </w:rPr>
        <w:t>億美元，較上年減少</w:t>
      </w:r>
      <w:r w:rsidRPr="00606F16">
        <w:rPr>
          <w:rFonts w:eastAsia="標楷體"/>
          <w:sz w:val="28"/>
          <w:szCs w:val="32"/>
        </w:rPr>
        <w:t>13.0%</w:t>
      </w:r>
      <w:r w:rsidRPr="00606F16">
        <w:rPr>
          <w:rFonts w:eastAsia="標楷體"/>
          <w:sz w:val="28"/>
          <w:szCs w:val="32"/>
        </w:rPr>
        <w:t>，自</w:t>
      </w:r>
      <w:r w:rsidRPr="00606F16">
        <w:rPr>
          <w:rFonts w:eastAsia="標楷體"/>
          <w:sz w:val="28"/>
          <w:szCs w:val="32"/>
        </w:rPr>
        <w:t>2009</w:t>
      </w:r>
      <w:r w:rsidRPr="00606F16">
        <w:rPr>
          <w:rFonts w:eastAsia="標楷體"/>
          <w:sz w:val="28"/>
          <w:szCs w:val="32"/>
        </w:rPr>
        <w:t>年</w:t>
      </w:r>
      <w:r w:rsidRPr="00606F16">
        <w:rPr>
          <w:rFonts w:eastAsia="標楷體"/>
          <w:sz w:val="28"/>
          <w:szCs w:val="32"/>
        </w:rPr>
        <w:t>6</w:t>
      </w:r>
      <w:r w:rsidRPr="00606F16">
        <w:rPr>
          <w:rFonts w:eastAsia="標楷體"/>
          <w:sz w:val="28"/>
          <w:szCs w:val="32"/>
        </w:rPr>
        <w:t>月開放陸資來</w:t>
      </w:r>
      <w:proofErr w:type="gramStart"/>
      <w:r w:rsidRPr="00606F16">
        <w:rPr>
          <w:rFonts w:eastAsia="標楷體"/>
          <w:sz w:val="28"/>
          <w:szCs w:val="32"/>
        </w:rPr>
        <w:t>臺</w:t>
      </w:r>
      <w:proofErr w:type="gramEnd"/>
      <w:r w:rsidRPr="00606F16">
        <w:rPr>
          <w:rFonts w:eastAsia="標楷體"/>
          <w:sz w:val="28"/>
          <w:szCs w:val="32"/>
        </w:rPr>
        <w:t>至</w:t>
      </w:r>
      <w:r w:rsidRPr="00606F16">
        <w:rPr>
          <w:rFonts w:eastAsia="標楷體"/>
          <w:sz w:val="28"/>
          <w:szCs w:val="32"/>
        </w:rPr>
        <w:t>2018</w:t>
      </w:r>
      <w:r w:rsidRPr="00606F16">
        <w:rPr>
          <w:rFonts w:eastAsia="標楷體"/>
          <w:sz w:val="28"/>
          <w:szCs w:val="32"/>
        </w:rPr>
        <w:lastRenderedPageBreak/>
        <w:t>年第</w:t>
      </w:r>
      <w:r w:rsidRPr="00606F16">
        <w:rPr>
          <w:rFonts w:eastAsia="標楷體"/>
          <w:sz w:val="28"/>
          <w:szCs w:val="32"/>
        </w:rPr>
        <w:t>4</w:t>
      </w:r>
      <w:r w:rsidRPr="00606F16">
        <w:rPr>
          <w:rFonts w:eastAsia="標楷體"/>
          <w:sz w:val="28"/>
          <w:szCs w:val="32"/>
        </w:rPr>
        <w:t>季，累計核准來</w:t>
      </w:r>
      <w:proofErr w:type="gramStart"/>
      <w:r w:rsidRPr="00606F16">
        <w:rPr>
          <w:rFonts w:eastAsia="標楷體"/>
          <w:sz w:val="28"/>
          <w:szCs w:val="32"/>
        </w:rPr>
        <w:t>臺</w:t>
      </w:r>
      <w:proofErr w:type="gramEnd"/>
      <w:r w:rsidRPr="00606F16">
        <w:rPr>
          <w:rFonts w:eastAsia="標楷體"/>
          <w:sz w:val="28"/>
          <w:szCs w:val="32"/>
        </w:rPr>
        <w:t>投資核准金額</w:t>
      </w:r>
      <w:r w:rsidRPr="00606F16">
        <w:rPr>
          <w:rFonts w:eastAsia="標楷體"/>
          <w:sz w:val="28"/>
          <w:szCs w:val="32"/>
        </w:rPr>
        <w:t>21.9</w:t>
      </w:r>
      <w:r w:rsidRPr="00606F16">
        <w:rPr>
          <w:rFonts w:eastAsia="標楷體"/>
          <w:sz w:val="28"/>
          <w:szCs w:val="32"/>
        </w:rPr>
        <w:t>億美元。其中，批發及零售業（占比</w:t>
      </w:r>
      <w:r w:rsidRPr="00606F16">
        <w:rPr>
          <w:rFonts w:eastAsia="標楷體"/>
          <w:sz w:val="28"/>
          <w:szCs w:val="32"/>
        </w:rPr>
        <w:t>27.3%</w:t>
      </w:r>
      <w:r w:rsidRPr="00606F16">
        <w:rPr>
          <w:rFonts w:eastAsia="標楷體"/>
          <w:sz w:val="28"/>
          <w:szCs w:val="32"/>
        </w:rPr>
        <w:t>）、電子零組件製造業（占比</w:t>
      </w:r>
      <w:r w:rsidRPr="00606F16">
        <w:rPr>
          <w:rFonts w:eastAsia="標楷體"/>
          <w:sz w:val="28"/>
          <w:szCs w:val="32"/>
        </w:rPr>
        <w:t>13.0%</w:t>
      </w:r>
      <w:r w:rsidRPr="00606F16">
        <w:rPr>
          <w:rFonts w:eastAsia="標楷體"/>
          <w:sz w:val="28"/>
          <w:szCs w:val="32"/>
        </w:rPr>
        <w:t>）及銀行業（占比</w:t>
      </w:r>
      <w:r w:rsidRPr="00606F16">
        <w:rPr>
          <w:rFonts w:eastAsia="標楷體"/>
          <w:sz w:val="28"/>
          <w:szCs w:val="32"/>
        </w:rPr>
        <w:t>9.2%</w:t>
      </w:r>
      <w:r w:rsidRPr="00606F16">
        <w:rPr>
          <w:rFonts w:eastAsia="標楷體"/>
          <w:sz w:val="28"/>
          <w:szCs w:val="32"/>
        </w:rPr>
        <w:t>）居來</w:t>
      </w:r>
      <w:proofErr w:type="gramStart"/>
      <w:r w:rsidRPr="00606F16">
        <w:rPr>
          <w:rFonts w:eastAsia="標楷體"/>
          <w:sz w:val="28"/>
          <w:szCs w:val="32"/>
        </w:rPr>
        <w:t>臺</w:t>
      </w:r>
      <w:proofErr w:type="gramEnd"/>
      <w:r w:rsidRPr="00606F16">
        <w:rPr>
          <w:rFonts w:eastAsia="標楷體"/>
          <w:sz w:val="28"/>
          <w:szCs w:val="32"/>
        </w:rPr>
        <w:t>投資前</w:t>
      </w:r>
      <w:r w:rsidRPr="00606F16">
        <w:rPr>
          <w:rFonts w:eastAsia="標楷體"/>
          <w:sz w:val="28"/>
          <w:szCs w:val="32"/>
        </w:rPr>
        <w:t>3</w:t>
      </w:r>
      <w:r w:rsidRPr="00606F16">
        <w:rPr>
          <w:rFonts w:eastAsia="標楷體"/>
          <w:sz w:val="28"/>
          <w:szCs w:val="32"/>
        </w:rPr>
        <w:t>名。</w:t>
      </w:r>
    </w:p>
    <w:p w:rsidR="00644C52" w:rsidRPr="00606F16" w:rsidRDefault="00644C52" w:rsidP="002A4962">
      <w:pPr>
        <w:pStyle w:val="a3"/>
        <w:widowControl/>
        <w:numPr>
          <w:ilvl w:val="0"/>
          <w:numId w:val="19"/>
        </w:numPr>
        <w:snapToGrid w:val="0"/>
        <w:spacing w:beforeLines="25" w:before="90" w:line="480" w:lineRule="exact"/>
        <w:ind w:leftChars="0"/>
        <w:jc w:val="both"/>
        <w:rPr>
          <w:rFonts w:eastAsia="標楷體"/>
          <w:color w:val="000000" w:themeColor="text1"/>
          <w:kern w:val="0"/>
          <w:sz w:val="28"/>
          <w:szCs w:val="32"/>
        </w:rPr>
      </w:pPr>
      <w:r w:rsidRPr="00606F16">
        <w:rPr>
          <w:rFonts w:eastAsia="標楷體"/>
          <w:b/>
          <w:color w:val="000000" w:themeColor="text1"/>
          <w:kern w:val="0"/>
          <w:sz w:val="28"/>
          <w:szCs w:val="32"/>
        </w:rPr>
        <w:t>對中國大陸出、進口成長：</w:t>
      </w:r>
      <w:r w:rsidRPr="00606F16">
        <w:rPr>
          <w:rFonts w:eastAsia="標楷體"/>
          <w:color w:val="000000" w:themeColor="text1"/>
          <w:kern w:val="0"/>
          <w:sz w:val="28"/>
          <w:szCs w:val="32"/>
        </w:rPr>
        <w:t>2018</w:t>
      </w:r>
      <w:r w:rsidRPr="00606F16">
        <w:rPr>
          <w:rFonts w:eastAsia="標楷體"/>
          <w:color w:val="000000" w:themeColor="text1"/>
          <w:kern w:val="0"/>
          <w:sz w:val="28"/>
          <w:szCs w:val="32"/>
        </w:rPr>
        <w:t>年對中國大陸貿易出口為</w:t>
      </w:r>
      <w:r w:rsidRPr="00606F16">
        <w:rPr>
          <w:rFonts w:eastAsia="標楷體"/>
          <w:color w:val="000000" w:themeColor="text1"/>
          <w:kern w:val="0"/>
          <w:sz w:val="28"/>
          <w:szCs w:val="32"/>
        </w:rPr>
        <w:t>968.0</w:t>
      </w:r>
      <w:r w:rsidRPr="00606F16">
        <w:rPr>
          <w:rFonts w:eastAsia="標楷體"/>
          <w:color w:val="000000" w:themeColor="text1"/>
          <w:kern w:val="0"/>
          <w:sz w:val="28"/>
          <w:szCs w:val="32"/>
        </w:rPr>
        <w:t>億美元（占我出口總額</w:t>
      </w:r>
      <w:r w:rsidRPr="00606F16">
        <w:rPr>
          <w:rFonts w:eastAsia="標楷體"/>
          <w:color w:val="000000" w:themeColor="text1"/>
          <w:kern w:val="0"/>
          <w:sz w:val="28"/>
          <w:szCs w:val="32"/>
        </w:rPr>
        <w:t>28.8</w:t>
      </w:r>
      <w:r w:rsidRPr="00606F16">
        <w:rPr>
          <w:rFonts w:eastAsia="標楷體"/>
          <w:color w:val="000000" w:themeColor="text1"/>
          <w:sz w:val="28"/>
          <w:szCs w:val="32"/>
        </w:rPr>
        <w:t>%</w:t>
      </w:r>
      <w:r w:rsidRPr="00606F16">
        <w:rPr>
          <w:rFonts w:eastAsia="標楷體"/>
          <w:color w:val="000000" w:themeColor="text1"/>
          <w:kern w:val="0"/>
          <w:sz w:val="28"/>
          <w:szCs w:val="32"/>
        </w:rPr>
        <w:t>），較上年增加</w:t>
      </w:r>
      <w:r w:rsidRPr="00606F16">
        <w:rPr>
          <w:rFonts w:eastAsia="標楷體"/>
          <w:color w:val="000000" w:themeColor="text1"/>
          <w:kern w:val="0"/>
          <w:sz w:val="28"/>
          <w:szCs w:val="32"/>
        </w:rPr>
        <w:t>8.8</w:t>
      </w:r>
      <w:r w:rsidRPr="00606F16">
        <w:rPr>
          <w:rFonts w:eastAsia="標楷體"/>
          <w:color w:val="000000" w:themeColor="text1"/>
          <w:sz w:val="28"/>
          <w:szCs w:val="32"/>
        </w:rPr>
        <w:t>%</w:t>
      </w:r>
      <w:r w:rsidRPr="00606F16">
        <w:rPr>
          <w:rFonts w:eastAsia="標楷體"/>
          <w:color w:val="000000" w:themeColor="text1"/>
          <w:kern w:val="0"/>
          <w:sz w:val="28"/>
          <w:szCs w:val="32"/>
        </w:rPr>
        <w:t>；進口為</w:t>
      </w:r>
      <w:r w:rsidRPr="00606F16">
        <w:rPr>
          <w:rFonts w:eastAsia="標楷體"/>
          <w:color w:val="000000" w:themeColor="text1"/>
          <w:kern w:val="0"/>
          <w:sz w:val="28"/>
          <w:szCs w:val="32"/>
        </w:rPr>
        <w:t>538.0</w:t>
      </w:r>
      <w:r w:rsidRPr="00606F16">
        <w:rPr>
          <w:rFonts w:eastAsia="標楷體"/>
          <w:color w:val="000000" w:themeColor="text1"/>
          <w:kern w:val="0"/>
          <w:sz w:val="28"/>
          <w:szCs w:val="32"/>
        </w:rPr>
        <w:t>億美元（占我進口總額</w:t>
      </w:r>
      <w:r w:rsidRPr="00606F16">
        <w:rPr>
          <w:rFonts w:eastAsia="標楷體"/>
          <w:color w:val="000000" w:themeColor="text1"/>
          <w:kern w:val="0"/>
          <w:sz w:val="28"/>
          <w:szCs w:val="32"/>
        </w:rPr>
        <w:t>18.8</w:t>
      </w:r>
      <w:r w:rsidRPr="00606F16">
        <w:rPr>
          <w:rFonts w:eastAsia="標楷體"/>
          <w:color w:val="000000" w:themeColor="text1"/>
          <w:sz w:val="28"/>
          <w:szCs w:val="32"/>
        </w:rPr>
        <w:t>%</w:t>
      </w:r>
      <w:r w:rsidRPr="00606F16">
        <w:rPr>
          <w:rFonts w:eastAsia="標楷體"/>
          <w:color w:val="000000" w:themeColor="text1"/>
          <w:kern w:val="0"/>
          <w:sz w:val="28"/>
          <w:szCs w:val="32"/>
        </w:rPr>
        <w:t>），增加</w:t>
      </w:r>
      <w:r w:rsidRPr="00606F16">
        <w:rPr>
          <w:rFonts w:eastAsia="標楷體"/>
          <w:color w:val="000000" w:themeColor="text1"/>
          <w:kern w:val="0"/>
          <w:sz w:val="28"/>
          <w:szCs w:val="32"/>
        </w:rPr>
        <w:t>7.5</w:t>
      </w:r>
      <w:r w:rsidRPr="00606F16">
        <w:rPr>
          <w:rFonts w:eastAsia="標楷體"/>
          <w:color w:val="000000" w:themeColor="text1"/>
          <w:sz w:val="28"/>
          <w:szCs w:val="32"/>
        </w:rPr>
        <w:t>%</w:t>
      </w:r>
      <w:r w:rsidRPr="00606F16">
        <w:rPr>
          <w:rFonts w:eastAsia="標楷體"/>
          <w:color w:val="000000" w:themeColor="text1"/>
          <w:kern w:val="0"/>
          <w:sz w:val="28"/>
          <w:szCs w:val="32"/>
        </w:rPr>
        <w:t>。另</w:t>
      </w:r>
      <w:r w:rsidRPr="00606F16">
        <w:rPr>
          <w:rFonts w:eastAsia="標楷體"/>
          <w:color w:val="000000" w:themeColor="text1"/>
          <w:kern w:val="0"/>
          <w:sz w:val="28"/>
          <w:szCs w:val="32"/>
        </w:rPr>
        <w:t>2018</w:t>
      </w:r>
      <w:r w:rsidRPr="00606F16">
        <w:rPr>
          <w:rFonts w:eastAsia="標楷體"/>
          <w:color w:val="000000" w:themeColor="text1"/>
          <w:kern w:val="0"/>
          <w:sz w:val="28"/>
          <w:szCs w:val="32"/>
        </w:rPr>
        <w:t>年對中國大陸及香港出口金額</w:t>
      </w:r>
      <w:r w:rsidRPr="00606F16">
        <w:rPr>
          <w:rFonts w:eastAsia="標楷體"/>
          <w:color w:val="000000" w:themeColor="text1"/>
          <w:kern w:val="0"/>
          <w:sz w:val="28"/>
          <w:szCs w:val="32"/>
        </w:rPr>
        <w:t>1,384.0</w:t>
      </w:r>
      <w:r w:rsidRPr="00606F16">
        <w:rPr>
          <w:rFonts w:eastAsia="標楷體"/>
          <w:color w:val="000000" w:themeColor="text1"/>
          <w:kern w:val="0"/>
          <w:sz w:val="28"/>
          <w:szCs w:val="32"/>
        </w:rPr>
        <w:t>億美元（占我出口總額</w:t>
      </w:r>
      <w:r w:rsidRPr="00606F16">
        <w:rPr>
          <w:rFonts w:eastAsia="標楷體"/>
          <w:color w:val="000000" w:themeColor="text1"/>
          <w:kern w:val="0"/>
          <w:sz w:val="28"/>
          <w:szCs w:val="32"/>
        </w:rPr>
        <w:t>41.0</w:t>
      </w:r>
      <w:r w:rsidRPr="00606F16">
        <w:rPr>
          <w:rFonts w:eastAsia="標楷體"/>
          <w:color w:val="000000" w:themeColor="text1"/>
          <w:sz w:val="28"/>
          <w:szCs w:val="32"/>
        </w:rPr>
        <w:t>%</w:t>
      </w:r>
      <w:r w:rsidRPr="00606F16">
        <w:rPr>
          <w:rFonts w:eastAsia="標楷體"/>
          <w:color w:val="000000" w:themeColor="text1"/>
          <w:kern w:val="0"/>
          <w:sz w:val="28"/>
          <w:szCs w:val="32"/>
        </w:rPr>
        <w:t>），增加</w:t>
      </w:r>
      <w:r w:rsidRPr="00606F16">
        <w:rPr>
          <w:rFonts w:eastAsia="標楷體"/>
          <w:color w:val="000000" w:themeColor="text1"/>
          <w:kern w:val="0"/>
          <w:sz w:val="28"/>
          <w:szCs w:val="32"/>
        </w:rPr>
        <w:t>6.2</w:t>
      </w:r>
      <w:r w:rsidRPr="00606F16">
        <w:rPr>
          <w:rFonts w:eastAsia="標楷體"/>
          <w:color w:val="000000" w:themeColor="text1"/>
          <w:sz w:val="28"/>
          <w:szCs w:val="32"/>
        </w:rPr>
        <w:t>%</w:t>
      </w:r>
      <w:r w:rsidRPr="00606F16">
        <w:rPr>
          <w:rFonts w:eastAsia="標楷體"/>
          <w:color w:val="000000" w:themeColor="text1"/>
          <w:kern w:val="0"/>
          <w:sz w:val="28"/>
          <w:szCs w:val="32"/>
        </w:rPr>
        <w:t>；進口金額為</w:t>
      </w:r>
      <w:r w:rsidRPr="00606F16">
        <w:rPr>
          <w:rFonts w:eastAsia="標楷體"/>
          <w:color w:val="000000" w:themeColor="text1"/>
          <w:kern w:val="0"/>
          <w:sz w:val="28"/>
          <w:szCs w:val="32"/>
        </w:rPr>
        <w:t>521.1</w:t>
      </w:r>
      <w:r w:rsidRPr="00606F16">
        <w:rPr>
          <w:rFonts w:eastAsia="標楷體"/>
          <w:color w:val="000000" w:themeColor="text1"/>
          <w:kern w:val="0"/>
          <w:sz w:val="28"/>
          <w:szCs w:val="32"/>
        </w:rPr>
        <w:t>億美元（占我進口總額</w:t>
      </w:r>
      <w:r w:rsidRPr="00606F16">
        <w:rPr>
          <w:rFonts w:eastAsia="標楷體"/>
          <w:color w:val="000000" w:themeColor="text1"/>
          <w:kern w:val="0"/>
          <w:sz w:val="28"/>
          <w:szCs w:val="32"/>
        </w:rPr>
        <w:t>19.0</w:t>
      </w:r>
      <w:r w:rsidRPr="00606F16">
        <w:rPr>
          <w:rFonts w:eastAsia="標楷體"/>
          <w:color w:val="000000" w:themeColor="text1"/>
          <w:sz w:val="28"/>
          <w:szCs w:val="32"/>
        </w:rPr>
        <w:t>%</w:t>
      </w:r>
      <w:r w:rsidRPr="00606F16">
        <w:rPr>
          <w:rFonts w:eastAsia="標楷體"/>
          <w:color w:val="000000" w:themeColor="text1"/>
          <w:kern w:val="0"/>
          <w:sz w:val="28"/>
          <w:szCs w:val="32"/>
        </w:rPr>
        <w:t>），增加</w:t>
      </w:r>
      <w:r w:rsidRPr="00606F16">
        <w:rPr>
          <w:rFonts w:eastAsia="標楷體"/>
          <w:color w:val="000000" w:themeColor="text1"/>
          <w:kern w:val="0"/>
          <w:sz w:val="28"/>
          <w:szCs w:val="32"/>
        </w:rPr>
        <w:t>7.1</w:t>
      </w:r>
      <w:r w:rsidRPr="00606F16">
        <w:rPr>
          <w:rFonts w:eastAsia="標楷體"/>
          <w:color w:val="000000" w:themeColor="text1"/>
          <w:sz w:val="28"/>
          <w:szCs w:val="32"/>
        </w:rPr>
        <w:t>%</w:t>
      </w:r>
      <w:r w:rsidRPr="00606F16">
        <w:rPr>
          <w:rFonts w:eastAsia="標楷體"/>
          <w:color w:val="000000" w:themeColor="text1"/>
          <w:kern w:val="0"/>
          <w:sz w:val="28"/>
          <w:szCs w:val="32"/>
        </w:rPr>
        <w:t>。</w:t>
      </w:r>
    </w:p>
    <w:p w:rsidR="00644C52" w:rsidRPr="00606F16" w:rsidRDefault="00644C52" w:rsidP="002A4962">
      <w:pPr>
        <w:pStyle w:val="a3"/>
        <w:widowControl/>
        <w:numPr>
          <w:ilvl w:val="0"/>
          <w:numId w:val="19"/>
        </w:numPr>
        <w:snapToGrid w:val="0"/>
        <w:spacing w:beforeLines="25" w:before="90" w:afterLines="23" w:after="82" w:line="440" w:lineRule="exact"/>
        <w:ind w:leftChars="0"/>
        <w:jc w:val="both"/>
        <w:rPr>
          <w:rFonts w:eastAsia="標楷體"/>
          <w:bCs/>
          <w:color w:val="000000" w:themeColor="text1"/>
          <w:sz w:val="28"/>
          <w:szCs w:val="28"/>
        </w:rPr>
      </w:pPr>
      <w:r w:rsidRPr="00606F16">
        <w:rPr>
          <w:rFonts w:eastAsia="標楷體"/>
          <w:b/>
          <w:kern w:val="0"/>
          <w:sz w:val="28"/>
          <w:szCs w:val="32"/>
        </w:rPr>
        <w:t>陸客來</w:t>
      </w:r>
      <w:proofErr w:type="gramStart"/>
      <w:r w:rsidRPr="00606F16">
        <w:rPr>
          <w:rFonts w:eastAsia="標楷體"/>
          <w:b/>
          <w:kern w:val="0"/>
          <w:sz w:val="28"/>
          <w:szCs w:val="32"/>
        </w:rPr>
        <w:t>臺</w:t>
      </w:r>
      <w:proofErr w:type="gramEnd"/>
      <w:r w:rsidRPr="00606F16">
        <w:rPr>
          <w:rFonts w:eastAsia="標楷體"/>
          <w:b/>
          <w:kern w:val="0"/>
          <w:sz w:val="28"/>
          <w:szCs w:val="32"/>
        </w:rPr>
        <w:t>略減：</w:t>
      </w:r>
      <w:r w:rsidRPr="00606F16">
        <w:rPr>
          <w:rFonts w:eastAsia="標楷體"/>
          <w:kern w:val="0"/>
          <w:sz w:val="28"/>
          <w:szCs w:val="32"/>
        </w:rPr>
        <w:t>2018</w:t>
      </w:r>
      <w:r w:rsidRPr="00606F16">
        <w:rPr>
          <w:rFonts w:eastAsia="標楷體"/>
          <w:kern w:val="0"/>
          <w:sz w:val="28"/>
          <w:szCs w:val="32"/>
        </w:rPr>
        <w:t>年陸客來</w:t>
      </w:r>
      <w:proofErr w:type="gramStart"/>
      <w:r w:rsidRPr="00606F16">
        <w:rPr>
          <w:rFonts w:eastAsia="標楷體"/>
          <w:kern w:val="0"/>
          <w:sz w:val="28"/>
          <w:szCs w:val="32"/>
        </w:rPr>
        <w:t>臺</w:t>
      </w:r>
      <w:proofErr w:type="gramEnd"/>
      <w:r w:rsidRPr="00606F16">
        <w:rPr>
          <w:rFonts w:eastAsia="標楷體"/>
          <w:kern w:val="0"/>
          <w:sz w:val="28"/>
          <w:szCs w:val="32"/>
        </w:rPr>
        <w:t>旅遊人數</w:t>
      </w:r>
      <w:r w:rsidR="00606F16">
        <w:rPr>
          <w:rFonts w:eastAsia="標楷體" w:hint="eastAsia"/>
          <w:kern w:val="0"/>
          <w:sz w:val="28"/>
          <w:szCs w:val="32"/>
        </w:rPr>
        <w:t>（</w:t>
      </w:r>
      <w:r w:rsidRPr="00606F16">
        <w:rPr>
          <w:rFonts w:eastAsia="標楷體"/>
          <w:kern w:val="0"/>
          <w:sz w:val="28"/>
          <w:szCs w:val="32"/>
        </w:rPr>
        <w:t>含團體旅遊及自由行</w:t>
      </w:r>
      <w:r w:rsidR="00606F16">
        <w:rPr>
          <w:rFonts w:eastAsia="標楷體" w:hint="eastAsia"/>
          <w:kern w:val="0"/>
          <w:sz w:val="28"/>
          <w:szCs w:val="32"/>
        </w:rPr>
        <w:t>）</w:t>
      </w:r>
      <w:r w:rsidRPr="00606F16">
        <w:rPr>
          <w:rFonts w:eastAsia="標楷體"/>
          <w:kern w:val="0"/>
          <w:sz w:val="28"/>
          <w:szCs w:val="32"/>
        </w:rPr>
        <w:t>為</w:t>
      </w:r>
      <w:r w:rsidRPr="00606F16">
        <w:rPr>
          <w:rFonts w:eastAsia="標楷體"/>
          <w:kern w:val="0"/>
          <w:sz w:val="28"/>
          <w:szCs w:val="32"/>
        </w:rPr>
        <w:t>191.1</w:t>
      </w:r>
      <w:r w:rsidRPr="00606F16">
        <w:rPr>
          <w:rFonts w:eastAsia="標楷體"/>
          <w:kern w:val="0"/>
          <w:sz w:val="28"/>
          <w:szCs w:val="32"/>
        </w:rPr>
        <w:t>萬人，較上年減少</w:t>
      </w:r>
      <w:r w:rsidRPr="00606F16">
        <w:rPr>
          <w:rFonts w:eastAsia="標楷體"/>
          <w:kern w:val="0"/>
          <w:sz w:val="28"/>
          <w:szCs w:val="32"/>
        </w:rPr>
        <w:t>3.5%</w:t>
      </w:r>
      <w:r w:rsidRPr="00606F16">
        <w:rPr>
          <w:rFonts w:eastAsia="標楷體"/>
          <w:kern w:val="0"/>
          <w:sz w:val="28"/>
          <w:szCs w:val="32"/>
        </w:rPr>
        <w:t>。其中團體旅遊人數為</w:t>
      </w:r>
      <w:r w:rsidRPr="00606F16">
        <w:rPr>
          <w:rFonts w:eastAsia="標楷體"/>
          <w:kern w:val="0"/>
          <w:sz w:val="28"/>
          <w:szCs w:val="32"/>
        </w:rPr>
        <w:t>83.8</w:t>
      </w:r>
      <w:r w:rsidRPr="00606F16">
        <w:rPr>
          <w:rFonts w:eastAsia="標楷體"/>
          <w:kern w:val="0"/>
          <w:sz w:val="28"/>
          <w:szCs w:val="32"/>
        </w:rPr>
        <w:t>萬人，減少</w:t>
      </w:r>
      <w:r w:rsidRPr="00606F16">
        <w:rPr>
          <w:rFonts w:eastAsia="標楷體"/>
          <w:kern w:val="0"/>
          <w:sz w:val="28"/>
          <w:szCs w:val="32"/>
        </w:rPr>
        <w:t>9.6%</w:t>
      </w:r>
      <w:r w:rsidRPr="00606F16">
        <w:rPr>
          <w:rFonts w:eastAsia="標楷體"/>
          <w:kern w:val="0"/>
          <w:sz w:val="28"/>
          <w:szCs w:val="32"/>
        </w:rPr>
        <w:t>；自由行人數為</w:t>
      </w:r>
      <w:r w:rsidRPr="00606F16">
        <w:rPr>
          <w:rFonts w:eastAsia="標楷體"/>
          <w:kern w:val="0"/>
          <w:sz w:val="28"/>
          <w:szCs w:val="32"/>
        </w:rPr>
        <w:t>107.3</w:t>
      </w:r>
      <w:r w:rsidRPr="00606F16">
        <w:rPr>
          <w:rFonts w:eastAsia="標楷體"/>
          <w:kern w:val="0"/>
          <w:sz w:val="28"/>
          <w:szCs w:val="32"/>
        </w:rPr>
        <w:t>萬人，增加</w:t>
      </w:r>
      <w:r w:rsidRPr="00606F16">
        <w:rPr>
          <w:rFonts w:eastAsia="標楷體"/>
          <w:kern w:val="0"/>
          <w:sz w:val="28"/>
          <w:szCs w:val="32"/>
        </w:rPr>
        <w:t>1.9%</w:t>
      </w:r>
      <w:r w:rsidRPr="00606F16">
        <w:rPr>
          <w:rFonts w:eastAsia="標楷體"/>
          <w:kern w:val="0"/>
          <w:sz w:val="28"/>
          <w:szCs w:val="32"/>
        </w:rPr>
        <w:t>。陸客來</w:t>
      </w:r>
      <w:proofErr w:type="gramStart"/>
      <w:r w:rsidRPr="00606F16">
        <w:rPr>
          <w:rFonts w:eastAsia="標楷體"/>
          <w:kern w:val="0"/>
          <w:sz w:val="28"/>
          <w:szCs w:val="32"/>
        </w:rPr>
        <w:t>臺</w:t>
      </w:r>
      <w:proofErr w:type="gramEnd"/>
      <w:r w:rsidRPr="00606F16">
        <w:rPr>
          <w:rFonts w:eastAsia="標楷體"/>
          <w:kern w:val="0"/>
          <w:sz w:val="28"/>
          <w:szCs w:val="32"/>
        </w:rPr>
        <w:t>旅遊人數相較上年減少，</w:t>
      </w:r>
      <w:proofErr w:type="gramStart"/>
      <w:r w:rsidRPr="00606F16">
        <w:rPr>
          <w:rFonts w:eastAsia="標楷體"/>
          <w:kern w:val="0"/>
          <w:sz w:val="28"/>
          <w:szCs w:val="32"/>
        </w:rPr>
        <w:t>惟減幅</w:t>
      </w:r>
      <w:proofErr w:type="gramEnd"/>
      <w:r w:rsidRPr="00606F16">
        <w:rPr>
          <w:rFonts w:eastAsia="標楷體"/>
          <w:kern w:val="0"/>
          <w:sz w:val="28"/>
          <w:szCs w:val="32"/>
        </w:rPr>
        <w:t>有縮小趨勢，加上自由行成長穩定，後續走勢仍待觀察。</w:t>
      </w:r>
    </w:p>
    <w:p w:rsidR="007E3448" w:rsidRDefault="007E3448" w:rsidP="007F005F">
      <w:pPr>
        <w:rPr>
          <w:rFonts w:ascii="標楷體" w:eastAsia="標楷體" w:hAnsi="標楷體"/>
          <w:kern w:val="0"/>
          <w:sz w:val="28"/>
          <w:szCs w:val="32"/>
        </w:rPr>
      </w:pPr>
    </w:p>
    <w:p w:rsidR="007E3448" w:rsidRDefault="007E3448">
      <w:pPr>
        <w:widowControl/>
        <w:rPr>
          <w:rFonts w:ascii="標楷體" w:eastAsia="標楷體" w:hAnsi="標楷體"/>
          <w:kern w:val="0"/>
          <w:sz w:val="28"/>
          <w:szCs w:val="32"/>
        </w:rPr>
      </w:pPr>
      <w:r>
        <w:rPr>
          <w:rFonts w:ascii="標楷體" w:eastAsia="標楷體" w:hAnsi="標楷體"/>
          <w:kern w:val="0"/>
          <w:sz w:val="28"/>
          <w:szCs w:val="32"/>
        </w:rPr>
        <w:br w:type="page"/>
      </w:r>
    </w:p>
    <w:p w:rsidR="007E3448" w:rsidRPr="006E7090" w:rsidRDefault="007E3448" w:rsidP="007E3448">
      <w:pPr>
        <w:pStyle w:val="a3"/>
        <w:widowControl/>
        <w:snapToGrid w:val="0"/>
        <w:spacing w:beforeLines="25" w:before="90" w:afterLines="23" w:after="82" w:line="440" w:lineRule="exact"/>
        <w:ind w:leftChars="0"/>
        <w:jc w:val="both"/>
        <w:rPr>
          <w:rFonts w:ascii="標楷體" w:eastAsia="標楷體" w:hAnsi="標楷體"/>
          <w:bCs/>
          <w:color w:val="000000" w:themeColor="text1"/>
          <w:sz w:val="28"/>
          <w:szCs w:val="28"/>
        </w:rPr>
        <w:sectPr w:rsidR="007E3448" w:rsidRPr="006E7090" w:rsidSect="00E74BCC">
          <w:headerReference w:type="default" r:id="rId12"/>
          <w:footerReference w:type="default" r:id="rId13"/>
          <w:pgSz w:w="11906" w:h="16838"/>
          <w:pgMar w:top="1440" w:right="1800" w:bottom="1440" w:left="1800" w:header="851" w:footer="992" w:gutter="0"/>
          <w:pgNumType w:fmt="lowerRoman" w:start="1"/>
          <w:cols w:space="425"/>
          <w:docGrid w:type="lines" w:linePitch="360"/>
        </w:sectPr>
      </w:pPr>
    </w:p>
    <w:p w:rsidR="007E3448" w:rsidRPr="006E7090" w:rsidRDefault="007E3448" w:rsidP="00FD6A5E">
      <w:pPr>
        <w:pStyle w:val="11"/>
        <w:numPr>
          <w:ilvl w:val="0"/>
          <w:numId w:val="17"/>
        </w:numPr>
        <w:spacing w:before="120" w:afterLines="100" w:after="360" w:line="520" w:lineRule="exact"/>
        <w:ind w:left="794" w:hanging="794"/>
        <w:jc w:val="center"/>
        <w:rPr>
          <w:rFonts w:ascii="標楷體" w:eastAsia="標楷體" w:hAnsi="標楷體"/>
          <w:color w:val="000000" w:themeColor="text1"/>
          <w:kern w:val="0"/>
          <w:sz w:val="40"/>
          <w:szCs w:val="36"/>
        </w:rPr>
      </w:pPr>
      <w:bookmarkStart w:id="4" w:name="_Toc426708858"/>
      <w:bookmarkStart w:id="5" w:name="_Toc481769099"/>
      <w:bookmarkStart w:id="6" w:name="_Toc489971711"/>
      <w:bookmarkStart w:id="7" w:name="_Toc1397861"/>
      <w:bookmarkStart w:id="8" w:name="_Toc1400587"/>
      <w:bookmarkStart w:id="9" w:name="_Toc393355119"/>
      <w:r w:rsidRPr="006E7090">
        <w:rPr>
          <w:rFonts w:ascii="標楷體" w:eastAsia="標楷體" w:hAnsi="標楷體" w:hint="eastAsia"/>
          <w:color w:val="000000" w:themeColor="text1"/>
          <w:kern w:val="0"/>
          <w:sz w:val="40"/>
          <w:szCs w:val="36"/>
        </w:rPr>
        <w:lastRenderedPageBreak/>
        <w:t>中國大陸經濟情勢</w:t>
      </w:r>
      <w:bookmarkEnd w:id="4"/>
      <w:bookmarkEnd w:id="5"/>
      <w:bookmarkEnd w:id="6"/>
      <w:bookmarkEnd w:id="7"/>
      <w:bookmarkEnd w:id="8"/>
    </w:p>
    <w:p w:rsidR="007E3448" w:rsidRPr="00AF7C94" w:rsidRDefault="007E3448" w:rsidP="00FD6A5E">
      <w:pPr>
        <w:widowControl/>
        <w:snapToGrid w:val="0"/>
        <w:spacing w:beforeLines="50" w:before="180" w:line="480" w:lineRule="exact"/>
        <w:ind w:leftChars="50" w:left="120" w:firstLineChars="150" w:firstLine="420"/>
        <w:jc w:val="both"/>
        <w:rPr>
          <w:rFonts w:ascii="Times New Roman" w:eastAsia="標楷體" w:hAnsi="Times New Roman" w:cs="Times New Roman"/>
          <w:color w:val="000000" w:themeColor="text1"/>
          <w:kern w:val="0"/>
          <w:sz w:val="28"/>
          <w:szCs w:val="32"/>
        </w:rPr>
      </w:pPr>
      <w:bookmarkStart w:id="10" w:name="_Toc426708860"/>
      <w:bookmarkEnd w:id="9"/>
      <w:r w:rsidRPr="00AF7C94">
        <w:rPr>
          <w:rFonts w:ascii="Times New Roman" w:eastAsia="標楷體" w:hAnsi="Times New Roman" w:cs="Times New Roman"/>
          <w:color w:val="000000" w:themeColor="text1"/>
          <w:kern w:val="0"/>
          <w:sz w:val="28"/>
          <w:szCs w:val="32"/>
        </w:rPr>
        <w:t>根據中國國家統計局公布數據顯示，</w:t>
      </w:r>
      <w:r w:rsidRPr="00AF7C94">
        <w:rPr>
          <w:rFonts w:ascii="Times New Roman" w:eastAsia="標楷體" w:hAnsi="Times New Roman" w:cs="Times New Roman"/>
          <w:color w:val="000000" w:themeColor="text1"/>
          <w:kern w:val="0"/>
          <w:sz w:val="28"/>
          <w:szCs w:val="32"/>
        </w:rPr>
        <w:t>2018</w:t>
      </w:r>
      <w:r w:rsidRPr="00AF7C94">
        <w:rPr>
          <w:rFonts w:ascii="Times New Roman" w:eastAsia="標楷體" w:hAnsi="Times New Roman" w:cs="Times New Roman"/>
          <w:color w:val="000000" w:themeColor="text1"/>
          <w:kern w:val="0"/>
          <w:sz w:val="28"/>
          <w:szCs w:val="32"/>
        </w:rPr>
        <w:t>年全年經濟成長達</w:t>
      </w:r>
      <w:r w:rsidRPr="00AF7C94">
        <w:rPr>
          <w:rFonts w:ascii="Times New Roman" w:eastAsia="標楷體" w:hAnsi="Times New Roman" w:cs="Times New Roman"/>
          <w:color w:val="000000" w:themeColor="text1"/>
          <w:kern w:val="0"/>
          <w:sz w:val="28"/>
          <w:szCs w:val="32"/>
        </w:rPr>
        <w:t>6.6%</w:t>
      </w:r>
      <w:r w:rsidRPr="00AF7C94">
        <w:rPr>
          <w:rFonts w:ascii="Times New Roman" w:eastAsia="標楷體" w:hAnsi="Times New Roman" w:cs="Times New Roman"/>
          <w:color w:val="000000" w:themeColor="text1"/>
          <w:kern w:val="0"/>
          <w:sz w:val="28"/>
          <w:szCs w:val="32"/>
        </w:rPr>
        <w:t>，雖高於</w:t>
      </w:r>
      <w:r w:rsidRPr="00AF7C94">
        <w:rPr>
          <w:rFonts w:ascii="Times New Roman" w:eastAsia="標楷體" w:hAnsi="Times New Roman" w:cs="Times New Roman"/>
          <w:color w:val="000000" w:themeColor="text1"/>
          <w:kern w:val="0"/>
          <w:sz w:val="28"/>
          <w:szCs w:val="32"/>
        </w:rPr>
        <w:t>6.5%</w:t>
      </w:r>
      <w:r w:rsidRPr="00AF7C94">
        <w:rPr>
          <w:rFonts w:ascii="Times New Roman" w:eastAsia="標楷體" w:hAnsi="Times New Roman" w:cs="Times New Roman"/>
          <w:color w:val="000000" w:themeColor="text1"/>
          <w:kern w:val="0"/>
          <w:sz w:val="28"/>
          <w:szCs w:val="32"/>
        </w:rPr>
        <w:t>預期目標，惟經濟成長已見疲態，</w:t>
      </w:r>
      <w:proofErr w:type="gramStart"/>
      <w:r w:rsidRPr="00AF7C94">
        <w:rPr>
          <w:rFonts w:ascii="Times New Roman" w:eastAsia="標楷體" w:hAnsi="Times New Roman" w:cs="Times New Roman"/>
          <w:color w:val="000000" w:themeColor="text1"/>
          <w:kern w:val="0"/>
          <w:sz w:val="28"/>
          <w:szCs w:val="32"/>
        </w:rPr>
        <w:t>且創</w:t>
      </w:r>
      <w:r w:rsidRPr="00AF7C94">
        <w:rPr>
          <w:rFonts w:ascii="Times New Roman" w:eastAsia="標楷體" w:hAnsi="Times New Roman" w:cs="Times New Roman"/>
          <w:color w:val="000000" w:themeColor="text1"/>
          <w:kern w:val="0"/>
          <w:sz w:val="28"/>
          <w:szCs w:val="32"/>
        </w:rPr>
        <w:t>28</w:t>
      </w:r>
      <w:r w:rsidRPr="00AF7C94">
        <w:rPr>
          <w:rFonts w:ascii="Times New Roman" w:eastAsia="標楷體" w:hAnsi="Times New Roman" w:cs="Times New Roman"/>
          <w:color w:val="000000" w:themeColor="text1"/>
          <w:kern w:val="0"/>
          <w:sz w:val="28"/>
          <w:szCs w:val="32"/>
        </w:rPr>
        <w:t>年來</w:t>
      </w:r>
      <w:proofErr w:type="gramEnd"/>
      <w:r w:rsidRPr="00AF7C94">
        <w:rPr>
          <w:rFonts w:ascii="Times New Roman" w:eastAsia="標楷體" w:hAnsi="Times New Roman" w:cs="Times New Roman"/>
          <w:color w:val="000000" w:themeColor="text1"/>
          <w:kern w:val="0"/>
          <w:sz w:val="28"/>
          <w:szCs w:val="32"/>
        </w:rPr>
        <w:t>最低，顯示美中貿易戰影響已逐步顯現。展望未來，據</w:t>
      </w:r>
      <w:r w:rsidRPr="00AF7C94">
        <w:rPr>
          <w:rFonts w:ascii="Times New Roman" w:eastAsia="標楷體" w:hAnsi="Times New Roman" w:cs="Times New Roman"/>
          <w:color w:val="000000" w:themeColor="text1"/>
          <w:kern w:val="0"/>
          <w:sz w:val="28"/>
          <w:szCs w:val="32"/>
        </w:rPr>
        <w:t>IMF</w:t>
      </w:r>
      <w:r w:rsidRPr="00AF7C94">
        <w:rPr>
          <w:rFonts w:ascii="Times New Roman" w:eastAsia="標楷體" w:hAnsi="Times New Roman" w:cs="Times New Roman"/>
          <w:color w:val="000000" w:themeColor="text1"/>
          <w:kern w:val="0"/>
          <w:sz w:val="28"/>
          <w:szCs w:val="32"/>
        </w:rPr>
        <w:t>、世界銀行及</w:t>
      </w:r>
      <w:r w:rsidRPr="00AF7C94">
        <w:rPr>
          <w:rFonts w:ascii="Times New Roman" w:eastAsia="標楷體" w:hAnsi="Times New Roman" w:cs="Times New Roman"/>
          <w:color w:val="000000" w:themeColor="text1"/>
          <w:kern w:val="0"/>
          <w:sz w:val="28"/>
          <w:szCs w:val="32"/>
        </w:rPr>
        <w:t>OECD</w:t>
      </w:r>
      <w:r w:rsidRPr="00AF7C94">
        <w:rPr>
          <w:rFonts w:ascii="Times New Roman" w:eastAsia="標楷體" w:hAnsi="Times New Roman" w:cs="Times New Roman"/>
          <w:color w:val="000000" w:themeColor="text1"/>
          <w:kern w:val="0"/>
          <w:sz w:val="28"/>
          <w:szCs w:val="32"/>
        </w:rPr>
        <w:t>等機構預估，</w:t>
      </w:r>
      <w:r w:rsidRPr="00AF7C94">
        <w:rPr>
          <w:rFonts w:ascii="Times New Roman" w:eastAsia="標楷體" w:hAnsi="Times New Roman" w:cs="Times New Roman"/>
          <w:color w:val="000000" w:themeColor="text1"/>
          <w:kern w:val="0"/>
          <w:sz w:val="28"/>
          <w:szCs w:val="32"/>
        </w:rPr>
        <w:t>2018</w:t>
      </w:r>
      <w:r w:rsidRPr="00AF7C94">
        <w:rPr>
          <w:rFonts w:ascii="Times New Roman" w:eastAsia="標楷體" w:hAnsi="Times New Roman" w:cs="Times New Roman"/>
          <w:color w:val="000000" w:themeColor="text1"/>
          <w:kern w:val="0"/>
          <w:sz w:val="28"/>
          <w:szCs w:val="32"/>
        </w:rPr>
        <w:t>年中國大陸經濟成長率普遍落在</w:t>
      </w:r>
      <w:r w:rsidRPr="00AF7C94">
        <w:rPr>
          <w:rFonts w:ascii="Times New Roman" w:eastAsia="標楷體" w:hAnsi="Times New Roman" w:cs="Times New Roman"/>
          <w:color w:val="000000" w:themeColor="text1"/>
          <w:kern w:val="0"/>
          <w:sz w:val="28"/>
          <w:szCs w:val="32"/>
        </w:rPr>
        <w:t>6.0%</w:t>
      </w:r>
      <w:r w:rsidRPr="00AF7C94">
        <w:rPr>
          <w:rFonts w:ascii="Times New Roman" w:eastAsia="標楷體" w:hAnsi="Times New Roman" w:cs="Times New Roman"/>
          <w:color w:val="000000" w:themeColor="text1"/>
          <w:kern w:val="0"/>
          <w:sz w:val="28"/>
          <w:szCs w:val="32"/>
        </w:rPr>
        <w:t>至</w:t>
      </w:r>
      <w:r w:rsidRPr="00AF7C94">
        <w:rPr>
          <w:rFonts w:ascii="Times New Roman" w:eastAsia="標楷體" w:hAnsi="Times New Roman" w:cs="Times New Roman"/>
          <w:color w:val="000000" w:themeColor="text1"/>
          <w:kern w:val="0"/>
          <w:sz w:val="28"/>
          <w:szCs w:val="32"/>
        </w:rPr>
        <w:t>6.3%</w:t>
      </w:r>
      <w:proofErr w:type="gramStart"/>
      <w:r w:rsidRPr="00AF7C94">
        <w:rPr>
          <w:rFonts w:ascii="Times New Roman" w:eastAsia="標楷體" w:hAnsi="Times New Roman" w:cs="Times New Roman"/>
          <w:color w:val="000000" w:themeColor="text1"/>
          <w:kern w:val="0"/>
          <w:sz w:val="28"/>
          <w:szCs w:val="32"/>
        </w:rPr>
        <w:t>之間，</w:t>
      </w:r>
      <w:proofErr w:type="gramEnd"/>
      <w:r w:rsidRPr="00AF7C94">
        <w:rPr>
          <w:rFonts w:ascii="Times New Roman" w:eastAsia="標楷體" w:hAnsi="Times New Roman" w:cs="Times New Roman"/>
          <w:color w:val="000000" w:themeColor="text1"/>
          <w:kern w:val="0"/>
          <w:sz w:val="28"/>
          <w:szCs w:val="32"/>
        </w:rPr>
        <w:t>顯示經濟成長恐將持續下滑。</w:t>
      </w:r>
    </w:p>
    <w:p w:rsidR="007E3448" w:rsidRPr="00AF7C94" w:rsidRDefault="007E3448" w:rsidP="00FD6A5E">
      <w:pPr>
        <w:pStyle w:val="20"/>
        <w:spacing w:beforeLines="50" w:before="180" w:line="480" w:lineRule="exact"/>
        <w:rPr>
          <w:rFonts w:ascii="Times New Roman" w:eastAsia="標楷體" w:hAnsi="Times New Roman"/>
          <w:color w:val="000000" w:themeColor="text1"/>
          <w:sz w:val="28"/>
          <w:szCs w:val="32"/>
        </w:rPr>
      </w:pPr>
      <w:bookmarkStart w:id="11" w:name="_Toc426708859"/>
      <w:bookmarkStart w:id="12" w:name="_Toc466292776"/>
      <w:bookmarkStart w:id="13" w:name="_Toc489971712"/>
      <w:bookmarkStart w:id="14" w:name="_Toc1397862"/>
      <w:bookmarkStart w:id="15" w:name="_Toc1400588"/>
      <w:r w:rsidRPr="00AF7C94">
        <w:rPr>
          <w:rFonts w:ascii="Times New Roman" w:eastAsia="標楷體" w:hAnsi="Times New Roman"/>
          <w:color w:val="000000" w:themeColor="text1"/>
          <w:sz w:val="28"/>
          <w:szCs w:val="32"/>
        </w:rPr>
        <w:t>一、總體經濟情勢</w:t>
      </w:r>
      <w:bookmarkEnd w:id="11"/>
      <w:bookmarkEnd w:id="12"/>
      <w:bookmarkEnd w:id="13"/>
      <w:bookmarkEnd w:id="14"/>
      <w:bookmarkEnd w:id="15"/>
    </w:p>
    <w:p w:rsidR="007E3448" w:rsidRPr="00AF7C94" w:rsidRDefault="007E3448" w:rsidP="00FD6A5E">
      <w:pPr>
        <w:widowControl/>
        <w:numPr>
          <w:ilvl w:val="0"/>
          <w:numId w:val="18"/>
        </w:numPr>
        <w:tabs>
          <w:tab w:val="left" w:pos="567"/>
        </w:tabs>
        <w:autoSpaceDE w:val="0"/>
        <w:snapToGrid w:val="0"/>
        <w:spacing w:beforeLines="25" w:before="90" w:line="480" w:lineRule="exact"/>
        <w:ind w:left="331" w:hangingChars="118" w:hanging="331"/>
        <w:jc w:val="both"/>
        <w:rPr>
          <w:rFonts w:ascii="Times New Roman" w:eastAsia="標楷體" w:hAnsi="Times New Roman" w:cs="Times New Roman"/>
          <w:b/>
          <w:color w:val="000000" w:themeColor="text1"/>
          <w:sz w:val="28"/>
          <w:szCs w:val="32"/>
        </w:rPr>
      </w:pPr>
      <w:r w:rsidRPr="00AF7C94">
        <w:rPr>
          <w:rFonts w:ascii="Times New Roman" w:eastAsia="標楷體" w:hAnsi="Times New Roman" w:cs="Times New Roman"/>
          <w:b/>
          <w:color w:val="000000" w:themeColor="text1"/>
          <w:sz w:val="28"/>
          <w:szCs w:val="32"/>
        </w:rPr>
        <w:t>經濟成長</w:t>
      </w:r>
    </w:p>
    <w:p w:rsidR="007E3448" w:rsidRPr="00AF7C94" w:rsidRDefault="007E3448" w:rsidP="00FD6A5E">
      <w:pPr>
        <w:widowControl/>
        <w:autoSpaceDE w:val="0"/>
        <w:snapToGrid w:val="0"/>
        <w:spacing w:beforeLines="25" w:before="90" w:line="480" w:lineRule="exact"/>
        <w:ind w:leftChars="236" w:left="566" w:firstLineChars="200" w:firstLine="560"/>
        <w:jc w:val="both"/>
        <w:rPr>
          <w:rFonts w:ascii="Times New Roman" w:eastAsia="標楷體" w:hAnsi="Times New Roman" w:cs="Times New Roman"/>
          <w:b/>
          <w:color w:val="000000" w:themeColor="text1"/>
          <w:sz w:val="28"/>
          <w:szCs w:val="32"/>
        </w:rPr>
      </w:pPr>
      <w:r w:rsidRPr="00AF7C94">
        <w:rPr>
          <w:rFonts w:ascii="Times New Roman" w:eastAsia="標楷體" w:hAnsi="Times New Roman" w:cs="Times New Roman"/>
          <w:color w:val="000000" w:themeColor="text1"/>
          <w:sz w:val="28"/>
          <w:szCs w:val="32"/>
        </w:rPr>
        <w:t>受到消費、投資等內需成長減緩，以及工業生產增加值減速的影響，中國大陸</w:t>
      </w:r>
      <w:r w:rsidRPr="00AF7C94">
        <w:rPr>
          <w:rFonts w:ascii="Times New Roman" w:eastAsia="標楷體" w:hAnsi="Times New Roman" w:cs="Times New Roman"/>
          <w:color w:val="000000" w:themeColor="text1"/>
          <w:sz w:val="28"/>
          <w:szCs w:val="32"/>
        </w:rPr>
        <w:t>201</w:t>
      </w:r>
      <w:r w:rsidR="00606F16" w:rsidRPr="00AF7C94">
        <w:rPr>
          <w:rFonts w:ascii="Times New Roman" w:eastAsia="標楷體" w:hAnsi="Times New Roman" w:cs="Times New Roman"/>
          <w:color w:val="000000" w:themeColor="text1"/>
          <w:sz w:val="28"/>
          <w:szCs w:val="32"/>
        </w:rPr>
        <w:t>8</w:t>
      </w:r>
      <w:r w:rsidRPr="00AF7C94">
        <w:rPr>
          <w:rFonts w:ascii="Times New Roman" w:eastAsia="標楷體" w:hAnsi="Times New Roman" w:cs="Times New Roman"/>
          <w:color w:val="000000" w:themeColor="text1"/>
          <w:sz w:val="28"/>
          <w:szCs w:val="32"/>
        </w:rPr>
        <w:t>年第</w:t>
      </w:r>
      <w:r w:rsidRPr="00AF7C94">
        <w:rPr>
          <w:rFonts w:ascii="Times New Roman" w:eastAsia="標楷體" w:hAnsi="Times New Roman" w:cs="Times New Roman"/>
          <w:color w:val="000000" w:themeColor="text1"/>
          <w:sz w:val="28"/>
          <w:szCs w:val="32"/>
        </w:rPr>
        <w:t>4</w:t>
      </w:r>
      <w:r w:rsidRPr="00AF7C94">
        <w:rPr>
          <w:rFonts w:ascii="Times New Roman" w:eastAsia="標楷體" w:hAnsi="Times New Roman" w:cs="Times New Roman"/>
          <w:color w:val="000000" w:themeColor="text1"/>
          <w:sz w:val="28"/>
          <w:szCs w:val="32"/>
        </w:rPr>
        <w:t>季經濟成長率為</w:t>
      </w:r>
      <w:r w:rsidRPr="00AF7C94">
        <w:rPr>
          <w:rFonts w:ascii="Times New Roman" w:eastAsia="標楷體" w:hAnsi="Times New Roman" w:cs="Times New Roman"/>
          <w:color w:val="000000" w:themeColor="text1"/>
          <w:sz w:val="28"/>
          <w:szCs w:val="32"/>
        </w:rPr>
        <w:t>6.4%</w:t>
      </w:r>
      <w:r w:rsidRPr="00AF7C94">
        <w:rPr>
          <w:rFonts w:ascii="Times New Roman" w:eastAsia="標楷體" w:hAnsi="Times New Roman" w:cs="Times New Roman"/>
          <w:color w:val="000000" w:themeColor="text1"/>
          <w:sz w:val="28"/>
          <w:szCs w:val="32"/>
        </w:rPr>
        <w:t>，</w:t>
      </w:r>
      <w:r w:rsidR="005D27BC">
        <w:rPr>
          <w:rFonts w:ascii="Times New Roman" w:eastAsia="標楷體" w:hAnsi="Times New Roman" w:cs="Times New Roman" w:hint="eastAsia"/>
          <w:color w:val="000000" w:themeColor="text1"/>
          <w:sz w:val="28"/>
          <w:szCs w:val="32"/>
        </w:rPr>
        <w:t>低於</w:t>
      </w:r>
      <w:r w:rsidRPr="00AF7C94">
        <w:rPr>
          <w:rFonts w:ascii="Times New Roman" w:eastAsia="標楷體" w:hAnsi="Times New Roman" w:cs="Times New Roman"/>
          <w:color w:val="000000" w:themeColor="text1"/>
          <w:sz w:val="28"/>
          <w:szCs w:val="32"/>
        </w:rPr>
        <w:t>前</w:t>
      </w:r>
      <w:r w:rsidRPr="00AF7C94">
        <w:rPr>
          <w:rFonts w:ascii="Times New Roman" w:eastAsia="標楷體" w:hAnsi="Times New Roman" w:cs="Times New Roman"/>
          <w:color w:val="000000" w:themeColor="text1"/>
          <w:sz w:val="28"/>
          <w:szCs w:val="32"/>
        </w:rPr>
        <w:t>3</w:t>
      </w:r>
      <w:r w:rsidRPr="00AF7C94">
        <w:rPr>
          <w:rFonts w:ascii="Times New Roman" w:eastAsia="標楷體" w:hAnsi="Times New Roman" w:cs="Times New Roman"/>
          <w:color w:val="000000" w:themeColor="text1"/>
          <w:sz w:val="28"/>
          <w:szCs w:val="32"/>
        </w:rPr>
        <w:t>季的</w:t>
      </w:r>
      <w:r w:rsidRPr="00AF7C94">
        <w:rPr>
          <w:rFonts w:ascii="Times New Roman" w:eastAsia="標楷體" w:hAnsi="Times New Roman" w:cs="Times New Roman"/>
          <w:color w:val="000000" w:themeColor="text1"/>
          <w:sz w:val="28"/>
          <w:szCs w:val="32"/>
        </w:rPr>
        <w:t>6.8%</w:t>
      </w:r>
      <w:r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6.7%</w:t>
      </w:r>
      <w:r w:rsidRPr="00AF7C94">
        <w:rPr>
          <w:rFonts w:ascii="Times New Roman" w:eastAsia="標楷體" w:hAnsi="Times New Roman" w:cs="Times New Roman"/>
          <w:color w:val="000000" w:themeColor="text1"/>
          <w:sz w:val="28"/>
          <w:szCs w:val="32"/>
        </w:rPr>
        <w:t>及</w:t>
      </w:r>
      <w:r w:rsidRPr="00AF7C94">
        <w:rPr>
          <w:rFonts w:ascii="Times New Roman" w:eastAsia="標楷體" w:hAnsi="Times New Roman" w:cs="Times New Roman"/>
          <w:color w:val="000000" w:themeColor="text1"/>
          <w:sz w:val="28"/>
          <w:szCs w:val="32"/>
        </w:rPr>
        <w:t>6.5%</w:t>
      </w:r>
      <w:r w:rsidRPr="00AF7C94">
        <w:rPr>
          <w:rFonts w:ascii="Times New Roman" w:eastAsia="標楷體" w:hAnsi="Times New Roman" w:cs="Times New Roman"/>
          <w:color w:val="000000" w:themeColor="text1"/>
          <w:sz w:val="28"/>
          <w:szCs w:val="32"/>
        </w:rPr>
        <w:t>，經濟疲態漸顯。主要經濟指標情勢分析如下：</w:t>
      </w:r>
      <w:r w:rsidRPr="00AF7C94">
        <w:rPr>
          <w:rFonts w:ascii="Times New Roman" w:eastAsia="標楷體" w:hAnsi="Times New Roman" w:cs="Times New Roman"/>
          <w:b/>
          <w:color w:val="000000" w:themeColor="text1"/>
          <w:sz w:val="28"/>
          <w:szCs w:val="32"/>
        </w:rPr>
        <w:t xml:space="preserve"> </w:t>
      </w:r>
    </w:p>
    <w:p w:rsidR="007E3448" w:rsidRPr="00AF7C94" w:rsidRDefault="007E3448" w:rsidP="00FD6A5E">
      <w:pPr>
        <w:widowControl/>
        <w:autoSpaceDE w:val="0"/>
        <w:snapToGrid w:val="0"/>
        <w:spacing w:beforeLines="25" w:before="90" w:line="480" w:lineRule="exact"/>
        <w:ind w:firstLineChars="152" w:firstLine="426"/>
        <w:jc w:val="both"/>
        <w:rPr>
          <w:rFonts w:ascii="Times New Roman" w:eastAsia="標楷體" w:hAnsi="Times New Roman" w:cs="Times New Roman"/>
          <w:color w:val="000000" w:themeColor="text1"/>
          <w:sz w:val="28"/>
          <w:szCs w:val="32"/>
        </w:rPr>
      </w:pPr>
      <w:r w:rsidRPr="00AF7C94">
        <w:rPr>
          <w:rFonts w:ascii="Times New Roman" w:eastAsia="標楷體" w:hAnsi="Times New Roman" w:cs="Times New Roman"/>
          <w:b/>
          <w:color w:val="000000" w:themeColor="text1"/>
          <w:sz w:val="28"/>
          <w:szCs w:val="32"/>
        </w:rPr>
        <w:t>1.</w:t>
      </w:r>
      <w:r w:rsidRPr="00AF7C94">
        <w:rPr>
          <w:rFonts w:ascii="Times New Roman" w:eastAsia="標楷體" w:hAnsi="Times New Roman" w:cs="Times New Roman"/>
          <w:b/>
          <w:color w:val="000000" w:themeColor="text1"/>
          <w:sz w:val="28"/>
          <w:szCs w:val="32"/>
        </w:rPr>
        <w:t>消費動能走緩</w:t>
      </w:r>
    </w:p>
    <w:p w:rsidR="007E3448" w:rsidRPr="00AF7C94" w:rsidRDefault="007E3448" w:rsidP="00FD6A5E">
      <w:pPr>
        <w:widowControl/>
        <w:autoSpaceDE w:val="0"/>
        <w:snapToGrid w:val="0"/>
        <w:spacing w:beforeLines="25" w:before="90" w:line="48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整體消費動能明顯減弱</w:t>
      </w:r>
      <w:r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sz w:val="28"/>
          <w:szCs w:val="32"/>
        </w:rPr>
        <w:t>中國大陸</w:t>
      </w:r>
      <w:r w:rsidRPr="00AF7C94">
        <w:rPr>
          <w:rFonts w:ascii="Times New Roman" w:eastAsia="標楷體" w:hAnsi="Times New Roman" w:cs="Times New Roman"/>
          <w:sz w:val="28"/>
          <w:szCs w:val="32"/>
        </w:rPr>
        <w:t>2018</w:t>
      </w:r>
      <w:r w:rsidRPr="00AF7C94">
        <w:rPr>
          <w:rFonts w:ascii="Times New Roman" w:eastAsia="標楷體" w:hAnsi="Times New Roman" w:cs="Times New Roman"/>
          <w:sz w:val="28"/>
          <w:szCs w:val="32"/>
        </w:rPr>
        <w:t>年社會消費品零售總額成長</w:t>
      </w:r>
      <w:r w:rsidRPr="00AF7C94">
        <w:rPr>
          <w:rFonts w:ascii="Times New Roman" w:eastAsia="標楷體" w:hAnsi="Times New Roman" w:cs="Times New Roman"/>
          <w:sz w:val="28"/>
          <w:szCs w:val="32"/>
        </w:rPr>
        <w:t>9.0</w:t>
      </w:r>
      <w:r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sz w:val="28"/>
          <w:szCs w:val="32"/>
        </w:rPr>
        <w:t>，較</w:t>
      </w:r>
      <w:r w:rsidRPr="00AF7C94">
        <w:rPr>
          <w:rFonts w:ascii="Times New Roman" w:eastAsia="標楷體" w:hAnsi="Times New Roman" w:cs="Times New Roman"/>
          <w:sz w:val="28"/>
          <w:szCs w:val="32"/>
        </w:rPr>
        <w:t>2017</w:t>
      </w:r>
      <w:r w:rsidRPr="00AF7C94">
        <w:rPr>
          <w:rFonts w:ascii="Times New Roman" w:eastAsia="標楷體" w:hAnsi="Times New Roman" w:cs="Times New Roman"/>
          <w:sz w:val="28"/>
          <w:szCs w:val="32"/>
        </w:rPr>
        <w:t>年減少</w:t>
      </w:r>
      <w:r w:rsidRPr="00AF7C94">
        <w:rPr>
          <w:rFonts w:ascii="Times New Roman" w:eastAsia="標楷體" w:hAnsi="Times New Roman" w:cs="Times New Roman"/>
          <w:sz w:val="28"/>
          <w:szCs w:val="32"/>
        </w:rPr>
        <w:t>1.2</w:t>
      </w:r>
      <w:r w:rsidRPr="00AF7C94">
        <w:rPr>
          <w:rFonts w:ascii="Times New Roman" w:eastAsia="標楷體" w:hAnsi="Times New Roman" w:cs="Times New Roman"/>
          <w:sz w:val="28"/>
          <w:szCs w:val="32"/>
        </w:rPr>
        <w:t>個百分點。其中，</w:t>
      </w:r>
      <w:r w:rsidRPr="00AF7C94">
        <w:rPr>
          <w:rFonts w:ascii="Times New Roman" w:eastAsia="標楷體" w:hAnsi="Times New Roman" w:cs="Times New Roman"/>
          <w:color w:val="000000" w:themeColor="text1"/>
          <w:sz w:val="28"/>
          <w:szCs w:val="32"/>
        </w:rPr>
        <w:t>受到政府持續對房地產市場調控影響，家用電器、傢俱、建築及裝潢材料類</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占</w:t>
      </w:r>
      <w:r w:rsidR="005E397D" w:rsidRPr="005E397D">
        <w:rPr>
          <w:rFonts w:ascii="Times New Roman" w:eastAsia="標楷體" w:hAnsi="Times New Roman" w:cs="Times New Roman" w:hint="eastAsia"/>
          <w:color w:val="000000" w:themeColor="text1"/>
          <w:sz w:val="28"/>
          <w:szCs w:val="32"/>
        </w:rPr>
        <w:t>社會消費品零售總額</w:t>
      </w:r>
      <w:r w:rsidRPr="00AF7C94">
        <w:rPr>
          <w:rFonts w:ascii="Times New Roman" w:eastAsia="標楷體" w:hAnsi="Times New Roman" w:cs="Times New Roman"/>
          <w:color w:val="000000" w:themeColor="text1"/>
          <w:sz w:val="28"/>
          <w:szCs w:val="32"/>
        </w:rPr>
        <w:t>比</w:t>
      </w:r>
      <w:r w:rsidR="005E397D">
        <w:rPr>
          <w:rFonts w:ascii="Times New Roman" w:eastAsia="標楷體" w:hAnsi="Times New Roman" w:cs="Times New Roman" w:hint="eastAsia"/>
          <w:color w:val="000000" w:themeColor="text1"/>
          <w:sz w:val="28"/>
          <w:szCs w:val="32"/>
        </w:rPr>
        <w:t>重</w:t>
      </w:r>
      <w:r w:rsidRPr="00AF7C94">
        <w:rPr>
          <w:rFonts w:ascii="Times New Roman" w:eastAsia="標楷體" w:hAnsi="Times New Roman" w:cs="Times New Roman"/>
          <w:color w:val="000000" w:themeColor="text1"/>
          <w:sz w:val="28"/>
          <w:szCs w:val="32"/>
        </w:rPr>
        <w:t>3.6%</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較上年減少</w:t>
      </w:r>
      <w:r w:rsidRPr="00AF7C94">
        <w:rPr>
          <w:rFonts w:ascii="Times New Roman" w:eastAsia="標楷體" w:hAnsi="Times New Roman" w:cs="Times New Roman"/>
          <w:color w:val="000000" w:themeColor="text1"/>
          <w:sz w:val="28"/>
          <w:szCs w:val="32"/>
        </w:rPr>
        <w:t>12.1%</w:t>
      </w:r>
      <w:r w:rsidRPr="00AF7C94">
        <w:rPr>
          <w:rFonts w:ascii="Times New Roman" w:eastAsia="標楷體" w:hAnsi="Times New Roman" w:cs="Times New Roman"/>
          <w:color w:val="000000" w:themeColor="text1"/>
          <w:sz w:val="28"/>
          <w:szCs w:val="32"/>
        </w:rPr>
        <w:t>，另受到購置稅減半政策於</w:t>
      </w:r>
      <w:r w:rsidRPr="00AF7C94">
        <w:rPr>
          <w:rFonts w:ascii="Times New Roman" w:eastAsia="標楷體" w:hAnsi="Times New Roman" w:cs="Times New Roman"/>
          <w:color w:val="000000" w:themeColor="text1"/>
          <w:sz w:val="28"/>
          <w:szCs w:val="32"/>
        </w:rPr>
        <w:t>2017</w:t>
      </w:r>
      <w:r w:rsidRPr="00AF7C94">
        <w:rPr>
          <w:rFonts w:ascii="Times New Roman" w:eastAsia="標楷體" w:hAnsi="Times New Roman" w:cs="Times New Roman"/>
          <w:color w:val="000000" w:themeColor="text1"/>
          <w:sz w:val="28"/>
          <w:szCs w:val="32"/>
        </w:rPr>
        <w:t>年年底結束，加上美中貿易摩擦等因素，致汽車銷售量下滑，使得</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年汽車消費</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占比</w:t>
      </w:r>
      <w:r w:rsidRPr="00AF7C94">
        <w:rPr>
          <w:rFonts w:ascii="Times New Roman" w:eastAsia="標楷體" w:hAnsi="Times New Roman" w:cs="Times New Roman"/>
          <w:color w:val="000000" w:themeColor="text1"/>
          <w:sz w:val="28"/>
          <w:szCs w:val="32"/>
        </w:rPr>
        <w:t>10.2%</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由上年成長</w:t>
      </w:r>
      <w:r w:rsidRPr="00AF7C94">
        <w:rPr>
          <w:rFonts w:ascii="Times New Roman" w:eastAsia="標楷體" w:hAnsi="Times New Roman" w:cs="Times New Roman"/>
          <w:color w:val="000000" w:themeColor="text1"/>
          <w:sz w:val="28"/>
          <w:szCs w:val="32"/>
        </w:rPr>
        <w:t>5.6%</w:t>
      </w:r>
      <w:r w:rsidRPr="00AF7C94">
        <w:rPr>
          <w:rFonts w:ascii="Times New Roman" w:eastAsia="標楷體" w:hAnsi="Times New Roman" w:cs="Times New Roman"/>
          <w:color w:val="000000" w:themeColor="text1"/>
          <w:sz w:val="28"/>
          <w:szCs w:val="32"/>
        </w:rPr>
        <w:t>轉為衰退</w:t>
      </w:r>
      <w:r w:rsidRPr="00AF7C94">
        <w:rPr>
          <w:rFonts w:ascii="Times New Roman" w:eastAsia="標楷體" w:hAnsi="Times New Roman" w:cs="Times New Roman"/>
          <w:color w:val="000000" w:themeColor="text1"/>
          <w:sz w:val="28"/>
          <w:szCs w:val="32"/>
        </w:rPr>
        <w:t>2.4%</w:t>
      </w:r>
      <w:r w:rsidRPr="00AF7C94">
        <w:rPr>
          <w:rFonts w:ascii="Times New Roman" w:eastAsia="標楷體" w:hAnsi="Times New Roman" w:cs="Times New Roman"/>
          <w:color w:val="000000" w:themeColor="text1"/>
          <w:sz w:val="28"/>
          <w:szCs w:val="32"/>
        </w:rPr>
        <w:t>。</w:t>
      </w:r>
    </w:p>
    <w:p w:rsidR="002A4962" w:rsidRPr="00AF7C94" w:rsidRDefault="007E3448" w:rsidP="00FD6A5E">
      <w:pPr>
        <w:widowControl/>
        <w:autoSpaceDE w:val="0"/>
        <w:snapToGrid w:val="0"/>
        <w:spacing w:beforeLines="25" w:before="90" w:line="48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短期消費走向難容樂觀</w:t>
      </w:r>
      <w:r w:rsidRPr="00AF7C94">
        <w:rPr>
          <w:rFonts w:ascii="Times New Roman" w:eastAsia="標楷體" w:hAnsi="Times New Roman" w:cs="Times New Roman"/>
          <w:color w:val="000000" w:themeColor="text1"/>
          <w:sz w:val="28"/>
          <w:szCs w:val="32"/>
        </w:rPr>
        <w:t>：由於</w:t>
      </w:r>
      <w:r w:rsidR="005D27BC">
        <w:rPr>
          <w:rFonts w:ascii="Times New Roman" w:eastAsia="標楷體" w:hAnsi="Times New Roman" w:cs="Times New Roman" w:hint="eastAsia"/>
          <w:color w:val="000000" w:themeColor="text1"/>
          <w:sz w:val="28"/>
          <w:szCs w:val="32"/>
        </w:rPr>
        <w:t>2019</w:t>
      </w:r>
      <w:r w:rsidR="005D27BC">
        <w:rPr>
          <w:rFonts w:ascii="Times New Roman" w:eastAsia="標楷體" w:hAnsi="Times New Roman" w:cs="Times New Roman" w:hint="eastAsia"/>
          <w:color w:val="000000" w:themeColor="text1"/>
          <w:sz w:val="28"/>
          <w:szCs w:val="32"/>
        </w:rPr>
        <w:t>年</w:t>
      </w:r>
      <w:r w:rsidRPr="00AF7C94">
        <w:rPr>
          <w:rFonts w:ascii="Times New Roman" w:eastAsia="標楷體" w:hAnsi="Times New Roman" w:cs="Times New Roman"/>
          <w:color w:val="000000" w:themeColor="text1"/>
          <w:sz w:val="28"/>
          <w:szCs w:val="32"/>
        </w:rPr>
        <w:t>春節</w:t>
      </w:r>
      <w:proofErr w:type="gramStart"/>
      <w:r w:rsidRPr="00AF7C94">
        <w:rPr>
          <w:rFonts w:ascii="Times New Roman" w:eastAsia="標楷體" w:hAnsi="Times New Roman" w:cs="Times New Roman"/>
          <w:color w:val="000000" w:themeColor="text1"/>
          <w:sz w:val="28"/>
          <w:szCs w:val="32"/>
        </w:rPr>
        <w:t>期間</w:t>
      </w:r>
      <w:r w:rsidR="00AF7C94" w:rsidRPr="00AF7C94">
        <w:rPr>
          <w:rFonts w:ascii="Times New Roman" w:eastAsia="標楷體" w:hAnsi="Times New Roman" w:cs="Times New Roman"/>
          <w:color w:val="000000" w:themeColor="text1"/>
          <w:sz w:val="28"/>
          <w:szCs w:val="32"/>
        </w:rPr>
        <w:t>，</w:t>
      </w:r>
      <w:proofErr w:type="gramEnd"/>
      <w:r w:rsidR="00485241">
        <w:rPr>
          <w:rFonts w:ascii="Times New Roman" w:eastAsia="標楷體" w:hAnsi="Times New Roman" w:cs="Times New Roman" w:hint="eastAsia"/>
          <w:color w:val="000000" w:themeColor="text1"/>
          <w:sz w:val="28"/>
          <w:szCs w:val="32"/>
        </w:rPr>
        <w:t>中國大陸</w:t>
      </w:r>
      <w:r w:rsidRPr="00AF7C94">
        <w:rPr>
          <w:rFonts w:ascii="Times New Roman" w:eastAsia="標楷體" w:hAnsi="Times New Roman" w:cs="Times New Roman"/>
          <w:color w:val="000000" w:themeColor="text1"/>
          <w:sz w:val="28"/>
          <w:szCs w:val="32"/>
        </w:rPr>
        <w:t>全國零售和餐飲企業銷售額年增率僅成長</w:t>
      </w:r>
      <w:r w:rsidRPr="00AF7C94">
        <w:rPr>
          <w:rFonts w:ascii="Times New Roman" w:eastAsia="標楷體" w:hAnsi="Times New Roman" w:cs="Times New Roman"/>
          <w:color w:val="000000" w:themeColor="text1"/>
          <w:sz w:val="28"/>
          <w:szCs w:val="32"/>
        </w:rPr>
        <w:t>8.5%</w:t>
      </w:r>
      <w:r w:rsidRPr="00AF7C94">
        <w:rPr>
          <w:rFonts w:ascii="Times New Roman" w:eastAsia="標楷體" w:hAnsi="Times New Roman" w:cs="Times New Roman"/>
          <w:color w:val="000000" w:themeColor="text1"/>
          <w:sz w:val="28"/>
          <w:szCs w:val="32"/>
        </w:rPr>
        <w:t>，創下近十年新低，加上中國大陸商務部也於</w:t>
      </w:r>
      <w:r w:rsidR="005D27BC">
        <w:rPr>
          <w:rFonts w:ascii="Times New Roman" w:eastAsia="標楷體" w:hAnsi="Times New Roman" w:cs="Times New Roman" w:hint="eastAsia"/>
          <w:color w:val="000000" w:themeColor="text1"/>
          <w:sz w:val="28"/>
          <w:szCs w:val="32"/>
        </w:rPr>
        <w:t>2019</w:t>
      </w:r>
      <w:r w:rsidR="005D27BC">
        <w:rPr>
          <w:rFonts w:ascii="Times New Roman" w:eastAsia="標楷體" w:hAnsi="Times New Roman" w:cs="Times New Roman" w:hint="eastAsia"/>
          <w:color w:val="000000" w:themeColor="text1"/>
          <w:sz w:val="28"/>
          <w:szCs w:val="32"/>
        </w:rPr>
        <w:t>年</w:t>
      </w:r>
      <w:r w:rsidRPr="00AF7C94">
        <w:rPr>
          <w:rFonts w:ascii="Times New Roman" w:eastAsia="標楷體" w:hAnsi="Times New Roman" w:cs="Times New Roman"/>
          <w:color w:val="000000" w:themeColor="text1"/>
          <w:sz w:val="28"/>
          <w:szCs w:val="32"/>
        </w:rPr>
        <w:t>2</w:t>
      </w:r>
      <w:r w:rsidRPr="00AF7C94">
        <w:rPr>
          <w:rFonts w:ascii="Times New Roman" w:eastAsia="標楷體" w:hAnsi="Times New Roman" w:cs="Times New Roman"/>
          <w:color w:val="000000" w:themeColor="text1"/>
          <w:sz w:val="28"/>
          <w:szCs w:val="32"/>
        </w:rPr>
        <w:t>月</w:t>
      </w:r>
      <w:r w:rsidRPr="00AF7C94">
        <w:rPr>
          <w:rFonts w:ascii="Times New Roman" w:eastAsia="標楷體" w:hAnsi="Times New Roman" w:cs="Times New Roman"/>
          <w:color w:val="000000" w:themeColor="text1"/>
          <w:sz w:val="28"/>
          <w:szCs w:val="32"/>
        </w:rPr>
        <w:t>12</w:t>
      </w:r>
      <w:r w:rsidRPr="00AF7C94">
        <w:rPr>
          <w:rFonts w:ascii="Times New Roman" w:eastAsia="標楷體" w:hAnsi="Times New Roman" w:cs="Times New Roman"/>
          <w:color w:val="000000" w:themeColor="text1"/>
          <w:sz w:val="28"/>
          <w:szCs w:val="32"/>
        </w:rPr>
        <w:t>日提出預警指出，</w:t>
      </w:r>
      <w:r w:rsidRPr="00AF7C94">
        <w:rPr>
          <w:rFonts w:ascii="Times New Roman" w:eastAsia="標楷體" w:hAnsi="Times New Roman" w:cs="Times New Roman"/>
          <w:color w:val="000000" w:themeColor="text1"/>
          <w:sz w:val="28"/>
          <w:szCs w:val="32"/>
        </w:rPr>
        <w:t>2019</w:t>
      </w:r>
      <w:r w:rsidRPr="00AF7C94">
        <w:rPr>
          <w:rFonts w:ascii="Times New Roman" w:eastAsia="標楷體" w:hAnsi="Times New Roman" w:cs="Times New Roman"/>
          <w:color w:val="000000" w:themeColor="text1"/>
          <w:sz w:val="28"/>
          <w:szCs w:val="32"/>
        </w:rPr>
        <w:t>年消費成長可能進一步放緩，將推出更多促進消費措施。同時美中貿易摩擦前景未明、經濟發展走緩壓力擴大等，對民間消費產生重大影響，短期內恐難大幅提升。</w:t>
      </w:r>
    </w:p>
    <w:p w:rsidR="007E3448" w:rsidRPr="00AF7C94" w:rsidRDefault="007E3448" w:rsidP="00FD6A5E">
      <w:pPr>
        <w:widowControl/>
        <w:autoSpaceDE w:val="0"/>
        <w:snapToGrid w:val="0"/>
        <w:spacing w:beforeLines="25" w:before="90" w:line="480" w:lineRule="exact"/>
        <w:ind w:firstLineChars="152" w:firstLine="426"/>
        <w:jc w:val="both"/>
        <w:rPr>
          <w:rFonts w:ascii="Times New Roman" w:eastAsia="標楷體" w:hAnsi="Times New Roman" w:cs="Times New Roman"/>
          <w:color w:val="000000" w:themeColor="text1"/>
          <w:sz w:val="28"/>
          <w:szCs w:val="32"/>
        </w:rPr>
      </w:pPr>
      <w:r w:rsidRPr="00AF7C94">
        <w:rPr>
          <w:rFonts w:ascii="Times New Roman" w:eastAsia="標楷體" w:hAnsi="Times New Roman" w:cs="Times New Roman"/>
          <w:b/>
          <w:color w:val="000000" w:themeColor="text1"/>
          <w:sz w:val="28"/>
          <w:szCs w:val="32"/>
        </w:rPr>
        <w:lastRenderedPageBreak/>
        <w:t>2.</w:t>
      </w:r>
      <w:r w:rsidRPr="00AF7C94">
        <w:rPr>
          <w:rFonts w:ascii="Times New Roman" w:eastAsia="標楷體" w:hAnsi="Times New Roman" w:cs="Times New Roman"/>
          <w:b/>
          <w:color w:val="000000" w:themeColor="text1"/>
          <w:sz w:val="28"/>
          <w:szCs w:val="32"/>
        </w:rPr>
        <w:t>投資成長縮減</w:t>
      </w:r>
    </w:p>
    <w:p w:rsidR="007E3448" w:rsidRPr="00AF7C94" w:rsidRDefault="007E3448" w:rsidP="00FD6A5E">
      <w:pPr>
        <w:widowControl/>
        <w:autoSpaceDE w:val="0"/>
        <w:snapToGrid w:val="0"/>
        <w:spacing w:beforeLines="25" w:before="90" w:line="460" w:lineRule="exact"/>
        <w:ind w:left="567"/>
        <w:jc w:val="both"/>
        <w:rPr>
          <w:rFonts w:ascii="Times New Roman" w:eastAsia="標楷體" w:hAnsi="Times New Roman" w:cs="Times New Roman"/>
          <w:color w:val="000000" w:themeColor="text1"/>
          <w:sz w:val="28"/>
          <w:szCs w:val="32"/>
        </w:rPr>
      </w:pPr>
      <w:r w:rsidRPr="00AF7C94">
        <w:rPr>
          <w:rFonts w:ascii="Times New Roman" w:eastAsia="標楷體" w:hAnsi="Times New Roman" w:cs="Times New Roman"/>
          <w:color w:val="000000" w:themeColor="text1"/>
          <w:sz w:val="28"/>
          <w:szCs w:val="32"/>
        </w:rPr>
        <w:t xml:space="preserve">    </w:t>
      </w:r>
      <w:r w:rsidRPr="00AF7C94">
        <w:rPr>
          <w:rFonts w:ascii="Times New Roman" w:eastAsia="標楷體" w:hAnsi="Times New Roman" w:cs="Times New Roman"/>
          <w:color w:val="000000" w:themeColor="text1"/>
          <w:sz w:val="28"/>
          <w:szCs w:val="32"/>
        </w:rPr>
        <w:t>在抑制信貸擴張及削減過剩產能影響下，</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年中國大陸固定資產投資僅成長</w:t>
      </w:r>
      <w:r w:rsidRPr="00AF7C94">
        <w:rPr>
          <w:rFonts w:ascii="Times New Roman" w:eastAsia="標楷體" w:hAnsi="Times New Roman" w:cs="Times New Roman"/>
          <w:color w:val="000000" w:themeColor="text1"/>
          <w:sz w:val="28"/>
          <w:szCs w:val="32"/>
        </w:rPr>
        <w:t>5.9%</w:t>
      </w:r>
      <w:r w:rsidRPr="00AF7C94">
        <w:rPr>
          <w:rFonts w:ascii="Times New Roman" w:eastAsia="標楷體" w:hAnsi="Times New Roman" w:cs="Times New Roman"/>
          <w:color w:val="000000" w:themeColor="text1"/>
          <w:sz w:val="28"/>
          <w:szCs w:val="32"/>
        </w:rPr>
        <w:t>，成長幅度較</w:t>
      </w:r>
      <w:r w:rsidRPr="00AF7C94">
        <w:rPr>
          <w:rFonts w:ascii="Times New Roman" w:eastAsia="標楷體" w:hAnsi="Times New Roman" w:cs="Times New Roman"/>
          <w:color w:val="000000" w:themeColor="text1"/>
          <w:sz w:val="28"/>
          <w:szCs w:val="32"/>
        </w:rPr>
        <w:t>2017</w:t>
      </w:r>
      <w:r w:rsidRPr="00AF7C94">
        <w:rPr>
          <w:rFonts w:ascii="Times New Roman" w:eastAsia="標楷體" w:hAnsi="Times New Roman" w:cs="Times New Roman"/>
          <w:color w:val="000000" w:themeColor="text1"/>
          <w:sz w:val="28"/>
          <w:szCs w:val="32"/>
        </w:rPr>
        <w:t>年下降</w:t>
      </w:r>
      <w:r w:rsidRPr="00AF7C94">
        <w:rPr>
          <w:rFonts w:ascii="Times New Roman" w:eastAsia="標楷體" w:hAnsi="Times New Roman" w:cs="Times New Roman"/>
          <w:color w:val="000000" w:themeColor="text1"/>
          <w:sz w:val="28"/>
          <w:szCs w:val="32"/>
        </w:rPr>
        <w:t>1.3</w:t>
      </w:r>
      <w:r w:rsidRPr="00AF7C94">
        <w:rPr>
          <w:rFonts w:ascii="Times New Roman" w:eastAsia="標楷體" w:hAnsi="Times New Roman" w:cs="Times New Roman"/>
          <w:color w:val="000000" w:themeColor="text1"/>
          <w:sz w:val="28"/>
          <w:szCs w:val="32"/>
        </w:rPr>
        <w:t>個百分點，已連續</w:t>
      </w:r>
      <w:r w:rsidRPr="00AF7C94">
        <w:rPr>
          <w:rFonts w:ascii="Times New Roman" w:eastAsia="標楷體" w:hAnsi="Times New Roman" w:cs="Times New Roman"/>
          <w:color w:val="000000" w:themeColor="text1"/>
          <w:sz w:val="28"/>
          <w:szCs w:val="32"/>
        </w:rPr>
        <w:t>9</w:t>
      </w:r>
      <w:r w:rsidRPr="00AF7C94">
        <w:rPr>
          <w:rFonts w:ascii="Times New Roman" w:eastAsia="標楷體" w:hAnsi="Times New Roman" w:cs="Times New Roman"/>
          <w:color w:val="000000" w:themeColor="text1"/>
          <w:sz w:val="28"/>
          <w:szCs w:val="32"/>
        </w:rPr>
        <w:t>年出現成長下滑現象。</w:t>
      </w:r>
    </w:p>
    <w:p w:rsidR="007E3448" w:rsidRPr="00AF7C94" w:rsidRDefault="007E3448" w:rsidP="00FD6A5E">
      <w:pPr>
        <w:widowControl/>
        <w:autoSpaceDE w:val="0"/>
        <w:snapToGrid w:val="0"/>
        <w:spacing w:beforeLines="25" w:before="90" w:line="46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製造業投資方面</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占整體固定資產投資比重為</w:t>
      </w:r>
      <w:r w:rsidRPr="00AF7C94">
        <w:rPr>
          <w:rFonts w:ascii="Times New Roman" w:eastAsia="標楷體" w:hAnsi="Times New Roman" w:cs="Times New Roman"/>
          <w:color w:val="000000" w:themeColor="text1"/>
          <w:sz w:val="28"/>
          <w:szCs w:val="32"/>
        </w:rPr>
        <w:t>30.4%</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w:t>
      </w:r>
      <w:r w:rsidR="00AF7C94">
        <w:rPr>
          <w:rFonts w:ascii="Times New Roman" w:eastAsia="標楷體" w:hAnsi="Times New Roman" w:cs="Times New Roman" w:hint="eastAsia"/>
          <w:color w:val="000000" w:themeColor="text1"/>
          <w:sz w:val="28"/>
          <w:szCs w:val="32"/>
        </w:rPr>
        <w:t>2018</w:t>
      </w:r>
      <w:r w:rsidR="00AF7C94">
        <w:rPr>
          <w:rFonts w:ascii="Times New Roman" w:eastAsia="標楷體" w:hAnsi="Times New Roman" w:cs="Times New Roman" w:hint="eastAsia"/>
          <w:color w:val="000000" w:themeColor="text1"/>
          <w:sz w:val="28"/>
          <w:szCs w:val="32"/>
        </w:rPr>
        <w:t>年</w:t>
      </w:r>
      <w:r w:rsidRPr="00AF7C94">
        <w:rPr>
          <w:rFonts w:ascii="Times New Roman" w:eastAsia="標楷體" w:hAnsi="Times New Roman" w:cs="Times New Roman"/>
          <w:color w:val="000000" w:themeColor="text1"/>
          <w:sz w:val="28"/>
          <w:szCs w:val="32"/>
        </w:rPr>
        <w:t>在</w:t>
      </w:r>
      <w:r w:rsidR="00AF7C94" w:rsidRPr="00AF7C94">
        <w:rPr>
          <w:rFonts w:ascii="Times New Roman" w:eastAsia="標楷體" w:hAnsi="Times New Roman" w:cs="Times New Roman"/>
          <w:color w:val="000000" w:themeColor="text1"/>
          <w:sz w:val="28"/>
          <w:szCs w:val="32"/>
        </w:rPr>
        <w:t>人民銀行</w:t>
      </w:r>
      <w:r w:rsidR="00AF7C94" w:rsidRPr="00AF7C94">
        <w:rPr>
          <w:rFonts w:ascii="Times New Roman" w:eastAsia="標楷體" w:hAnsi="Times New Roman" w:cs="Times New Roman"/>
          <w:color w:val="000000" w:themeColor="text1"/>
          <w:sz w:val="28"/>
          <w:szCs w:val="32"/>
        </w:rPr>
        <w:t>4</w:t>
      </w:r>
      <w:r w:rsidR="00AF7C94" w:rsidRPr="00AF7C94">
        <w:rPr>
          <w:rFonts w:ascii="Times New Roman" w:eastAsia="標楷體" w:hAnsi="Times New Roman" w:cs="Times New Roman"/>
          <w:color w:val="000000" w:themeColor="text1"/>
          <w:sz w:val="28"/>
          <w:szCs w:val="32"/>
        </w:rPr>
        <w:t>次降</w:t>
      </w:r>
      <w:proofErr w:type="gramStart"/>
      <w:r w:rsidR="00AF7C94" w:rsidRPr="00AF7C94">
        <w:rPr>
          <w:rFonts w:ascii="Times New Roman" w:eastAsia="標楷體" w:hAnsi="Times New Roman" w:cs="Times New Roman"/>
          <w:color w:val="000000" w:themeColor="text1"/>
          <w:sz w:val="28"/>
          <w:szCs w:val="32"/>
        </w:rPr>
        <w:t>準</w:t>
      </w:r>
      <w:proofErr w:type="gramEnd"/>
      <w:r w:rsidR="00AF7C94">
        <w:rPr>
          <w:rFonts w:ascii="Times New Roman" w:eastAsia="標楷體" w:hAnsi="Times New Roman" w:cs="Times New Roman" w:hint="eastAsia"/>
          <w:color w:val="000000" w:themeColor="text1"/>
          <w:sz w:val="28"/>
          <w:szCs w:val="32"/>
        </w:rPr>
        <w:t>及</w:t>
      </w:r>
      <w:r w:rsidRPr="00AF7C94">
        <w:rPr>
          <w:rFonts w:ascii="Times New Roman" w:eastAsia="標楷體" w:hAnsi="Times New Roman" w:cs="Times New Roman"/>
          <w:color w:val="000000" w:themeColor="text1"/>
          <w:sz w:val="28"/>
          <w:szCs w:val="32"/>
        </w:rPr>
        <w:t>多項減稅降費措施</w:t>
      </w:r>
      <w:r w:rsidR="00AF7C94">
        <w:rPr>
          <w:rFonts w:ascii="Times New Roman" w:eastAsia="標楷體" w:hAnsi="Times New Roman" w:cs="Times New Roman" w:hint="eastAsia"/>
          <w:color w:val="000000" w:themeColor="text1"/>
          <w:sz w:val="28"/>
          <w:szCs w:val="32"/>
        </w:rPr>
        <w:t>下</w:t>
      </w:r>
      <w:r w:rsidRPr="00AF7C94">
        <w:rPr>
          <w:rFonts w:ascii="Times New Roman" w:eastAsia="標楷體" w:hAnsi="Times New Roman" w:cs="Times New Roman"/>
          <w:color w:val="000000" w:themeColor="text1"/>
          <w:sz w:val="28"/>
          <w:szCs w:val="32"/>
        </w:rPr>
        <w:t>，資金供應</w:t>
      </w:r>
      <w:r w:rsidR="00AF7C94" w:rsidRPr="00AF7C94">
        <w:rPr>
          <w:rFonts w:ascii="Times New Roman" w:eastAsia="標楷體" w:hAnsi="Times New Roman" w:cs="Times New Roman"/>
          <w:color w:val="000000" w:themeColor="text1"/>
          <w:sz w:val="28"/>
          <w:szCs w:val="32"/>
        </w:rPr>
        <w:t>增加</w:t>
      </w:r>
      <w:r w:rsidRPr="00AF7C94">
        <w:rPr>
          <w:rFonts w:ascii="Times New Roman" w:eastAsia="標楷體" w:hAnsi="Times New Roman" w:cs="Times New Roman"/>
          <w:color w:val="000000" w:themeColor="text1"/>
          <w:sz w:val="28"/>
          <w:szCs w:val="32"/>
        </w:rPr>
        <w:t>，全年製造業投資成長為</w:t>
      </w:r>
      <w:r w:rsidRPr="00AF7C94">
        <w:rPr>
          <w:rFonts w:ascii="Times New Roman" w:eastAsia="標楷體" w:hAnsi="Times New Roman" w:cs="Times New Roman"/>
          <w:color w:val="000000" w:themeColor="text1"/>
          <w:sz w:val="28"/>
          <w:szCs w:val="32"/>
        </w:rPr>
        <w:t>9.5%</w:t>
      </w:r>
      <w:r w:rsidRPr="00AF7C94">
        <w:rPr>
          <w:rFonts w:ascii="Times New Roman" w:eastAsia="標楷體" w:hAnsi="Times New Roman" w:cs="Times New Roman"/>
          <w:color w:val="000000" w:themeColor="text1"/>
          <w:sz w:val="28"/>
          <w:szCs w:val="32"/>
        </w:rPr>
        <w:t>，較上年大幅增加</w:t>
      </w:r>
      <w:r w:rsidRPr="00AF7C94">
        <w:rPr>
          <w:rFonts w:ascii="Times New Roman" w:eastAsia="標楷體" w:hAnsi="Times New Roman" w:cs="Times New Roman"/>
          <w:color w:val="000000" w:themeColor="text1"/>
          <w:sz w:val="28"/>
          <w:szCs w:val="32"/>
        </w:rPr>
        <w:t>4.7</w:t>
      </w:r>
      <w:r w:rsidRPr="00AF7C94">
        <w:rPr>
          <w:rFonts w:ascii="Times New Roman" w:eastAsia="標楷體" w:hAnsi="Times New Roman" w:cs="Times New Roman"/>
          <w:color w:val="000000" w:themeColor="text1"/>
          <w:sz w:val="28"/>
          <w:szCs w:val="32"/>
        </w:rPr>
        <w:t>個百分點。其中，高技術製造業、裝備製造業投資成長</w:t>
      </w:r>
      <w:r w:rsidRPr="00AF7C94">
        <w:rPr>
          <w:rFonts w:ascii="Times New Roman" w:eastAsia="標楷體" w:hAnsi="Times New Roman" w:cs="Times New Roman"/>
          <w:color w:val="000000" w:themeColor="text1"/>
          <w:sz w:val="28"/>
          <w:szCs w:val="32"/>
        </w:rPr>
        <w:t>16.1%</w:t>
      </w:r>
      <w:r w:rsidRPr="00AF7C94">
        <w:rPr>
          <w:rFonts w:ascii="Times New Roman" w:eastAsia="標楷體" w:hAnsi="Times New Roman" w:cs="Times New Roman"/>
          <w:color w:val="000000" w:themeColor="text1"/>
          <w:sz w:val="28"/>
          <w:szCs w:val="32"/>
        </w:rPr>
        <w:t>和</w:t>
      </w:r>
      <w:r w:rsidRPr="00AF7C94">
        <w:rPr>
          <w:rFonts w:ascii="Times New Roman" w:eastAsia="標楷體" w:hAnsi="Times New Roman" w:cs="Times New Roman"/>
          <w:color w:val="000000" w:themeColor="text1"/>
          <w:sz w:val="28"/>
          <w:szCs w:val="32"/>
        </w:rPr>
        <w:t>11.1%</w:t>
      </w:r>
      <w:r w:rsidRPr="00AF7C94">
        <w:rPr>
          <w:rFonts w:ascii="Times New Roman" w:eastAsia="標楷體" w:hAnsi="Times New Roman" w:cs="Times New Roman"/>
          <w:color w:val="000000" w:themeColor="text1"/>
          <w:sz w:val="28"/>
          <w:szCs w:val="32"/>
        </w:rPr>
        <w:t>，是支撐製造業投資的主要動能。</w:t>
      </w:r>
    </w:p>
    <w:p w:rsidR="007E3448" w:rsidRPr="00AF7C94" w:rsidRDefault="007E3448" w:rsidP="00FD6A5E">
      <w:pPr>
        <w:widowControl/>
        <w:autoSpaceDE w:val="0"/>
        <w:snapToGrid w:val="0"/>
        <w:spacing w:beforeLines="25" w:before="90" w:line="46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基礎設施</w:t>
      </w:r>
      <w:r w:rsidRPr="00AF7C94">
        <w:rPr>
          <w:rStyle w:val="ae"/>
          <w:rFonts w:ascii="Times New Roman" w:eastAsia="標楷體" w:hAnsi="Times New Roman" w:cs="Times New Roman"/>
          <w:b/>
          <w:color w:val="000000" w:themeColor="text1"/>
          <w:sz w:val="28"/>
          <w:szCs w:val="32"/>
        </w:rPr>
        <w:footnoteReference w:id="1"/>
      </w:r>
      <w:r w:rsidRPr="00AF7C94">
        <w:rPr>
          <w:rFonts w:ascii="Times New Roman" w:eastAsia="標楷體" w:hAnsi="Times New Roman" w:cs="Times New Roman"/>
          <w:b/>
          <w:color w:val="000000" w:themeColor="text1"/>
          <w:sz w:val="28"/>
          <w:szCs w:val="32"/>
        </w:rPr>
        <w:t>投資方面</w:t>
      </w:r>
      <w:r w:rsidR="00AF7C94">
        <w:rPr>
          <w:rFonts w:ascii="Times New Roman" w:eastAsia="標楷體" w:hAnsi="Times New Roman" w:cs="Times New Roman" w:hint="eastAsia"/>
          <w:b/>
          <w:color w:val="000000" w:themeColor="text1"/>
          <w:sz w:val="28"/>
          <w:szCs w:val="32"/>
        </w:rPr>
        <w:t>（</w:t>
      </w:r>
      <w:r w:rsidRPr="00AF7C94">
        <w:rPr>
          <w:rFonts w:ascii="Times New Roman" w:eastAsia="標楷體" w:hAnsi="Times New Roman" w:cs="Times New Roman"/>
          <w:color w:val="000000" w:themeColor="text1"/>
          <w:sz w:val="28"/>
          <w:szCs w:val="32"/>
        </w:rPr>
        <w:t>占整體固定資產投資比重約</w:t>
      </w:r>
      <w:r w:rsidRPr="00AF7C94">
        <w:rPr>
          <w:rFonts w:ascii="Times New Roman" w:eastAsia="標楷體" w:hAnsi="Times New Roman" w:cs="Times New Roman"/>
          <w:color w:val="000000" w:themeColor="text1"/>
          <w:sz w:val="28"/>
          <w:szCs w:val="32"/>
        </w:rPr>
        <w:t>22.0%</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：受中國大陸嚴控地方債務與融資平台的影響，地方政府基礎設施投資動能縮減，</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年基礎設施投資僅成長</w:t>
      </w:r>
      <w:r w:rsidRPr="00AF7C94">
        <w:rPr>
          <w:rFonts w:ascii="Times New Roman" w:eastAsia="標楷體" w:hAnsi="Times New Roman" w:cs="Times New Roman"/>
          <w:color w:val="000000" w:themeColor="text1"/>
          <w:sz w:val="28"/>
          <w:szCs w:val="32"/>
        </w:rPr>
        <w:t>3.8%</w:t>
      </w:r>
      <w:r w:rsidRPr="00AF7C94">
        <w:rPr>
          <w:rFonts w:ascii="Times New Roman" w:eastAsia="標楷體" w:hAnsi="Times New Roman" w:cs="Times New Roman"/>
          <w:color w:val="000000" w:themeColor="text1"/>
          <w:sz w:val="28"/>
          <w:szCs w:val="32"/>
        </w:rPr>
        <w:t>，較上年大幅減少</w:t>
      </w:r>
      <w:r w:rsidRPr="00AF7C94">
        <w:rPr>
          <w:rFonts w:ascii="Times New Roman" w:eastAsia="標楷體" w:hAnsi="Times New Roman" w:cs="Times New Roman"/>
          <w:color w:val="000000" w:themeColor="text1"/>
          <w:sz w:val="28"/>
          <w:szCs w:val="32"/>
        </w:rPr>
        <w:t>15.2</w:t>
      </w:r>
      <w:r w:rsidRPr="00AF7C94">
        <w:rPr>
          <w:rFonts w:ascii="Times New Roman" w:eastAsia="標楷體" w:hAnsi="Times New Roman" w:cs="Times New Roman"/>
          <w:color w:val="000000" w:themeColor="text1"/>
          <w:sz w:val="28"/>
          <w:szCs w:val="32"/>
        </w:rPr>
        <w:t>個百分點，</w:t>
      </w:r>
      <w:proofErr w:type="gramStart"/>
      <w:r w:rsidRPr="00AF7C94">
        <w:rPr>
          <w:rFonts w:ascii="Times New Roman" w:eastAsia="標楷體" w:hAnsi="Times New Roman" w:cs="Times New Roman"/>
          <w:color w:val="000000" w:themeColor="text1"/>
          <w:sz w:val="28"/>
          <w:szCs w:val="32"/>
        </w:rPr>
        <w:t>係拉低</w:t>
      </w:r>
      <w:proofErr w:type="gramEnd"/>
      <w:r w:rsidRPr="00AF7C94">
        <w:rPr>
          <w:rFonts w:ascii="Times New Roman" w:eastAsia="標楷體" w:hAnsi="Times New Roman" w:cs="Times New Roman"/>
          <w:color w:val="000000" w:themeColor="text1"/>
          <w:sz w:val="28"/>
          <w:szCs w:val="32"/>
        </w:rPr>
        <w:t>整體固定資產投資的主要因素。</w:t>
      </w:r>
    </w:p>
    <w:p w:rsidR="007E3448" w:rsidRPr="00AF7C94" w:rsidRDefault="007E3448" w:rsidP="00FD6A5E">
      <w:pPr>
        <w:widowControl/>
        <w:autoSpaceDE w:val="0"/>
        <w:snapToGrid w:val="0"/>
        <w:spacing w:beforeLines="25" w:before="90" w:line="46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房地產開發投資方面</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占整體固定資產投資比重為</w:t>
      </w:r>
      <w:r w:rsidRPr="00AF7C94">
        <w:rPr>
          <w:rFonts w:ascii="Times New Roman" w:eastAsia="標楷體" w:hAnsi="Times New Roman" w:cs="Times New Roman"/>
          <w:color w:val="000000" w:themeColor="text1"/>
          <w:sz w:val="28"/>
          <w:szCs w:val="32"/>
        </w:rPr>
        <w:t>18.9%</w:t>
      </w:r>
      <w:r w:rsidR="00AF7C94">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：雖然官方對房地產調控仍未</w:t>
      </w:r>
      <w:proofErr w:type="gramStart"/>
      <w:r w:rsidRPr="00AF7C94">
        <w:rPr>
          <w:rFonts w:ascii="Times New Roman" w:eastAsia="標楷體" w:hAnsi="Times New Roman" w:cs="Times New Roman"/>
          <w:color w:val="000000" w:themeColor="text1"/>
          <w:sz w:val="28"/>
          <w:szCs w:val="32"/>
        </w:rPr>
        <w:t>放鬆，</w:t>
      </w:r>
      <w:proofErr w:type="gramEnd"/>
      <w:r w:rsidRPr="00AF7C94">
        <w:rPr>
          <w:rFonts w:ascii="Times New Roman" w:eastAsia="標楷體" w:hAnsi="Times New Roman" w:cs="Times New Roman"/>
          <w:color w:val="000000" w:themeColor="text1"/>
          <w:sz w:val="28"/>
          <w:szCs w:val="32"/>
        </w:rPr>
        <w:t>惟多數三、四線城市的房地產市場仍相當熱絡，致房地產開發投資持續成長，</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年成長</w:t>
      </w:r>
      <w:r w:rsidRPr="00AF7C94">
        <w:rPr>
          <w:rFonts w:ascii="Times New Roman" w:eastAsia="標楷體" w:hAnsi="Times New Roman" w:cs="Times New Roman"/>
          <w:color w:val="000000" w:themeColor="text1"/>
          <w:sz w:val="28"/>
          <w:szCs w:val="32"/>
        </w:rPr>
        <w:t>9.5%</w:t>
      </w:r>
      <w:r w:rsidRPr="00AF7C94">
        <w:rPr>
          <w:rFonts w:ascii="Times New Roman" w:eastAsia="標楷體" w:hAnsi="Times New Roman" w:cs="Times New Roman"/>
          <w:color w:val="000000" w:themeColor="text1"/>
          <w:sz w:val="28"/>
          <w:szCs w:val="32"/>
        </w:rPr>
        <w:t>，較上年增加</w:t>
      </w:r>
      <w:r w:rsidRPr="00AF7C94">
        <w:rPr>
          <w:rFonts w:ascii="Times New Roman" w:eastAsia="標楷體" w:hAnsi="Times New Roman" w:cs="Times New Roman"/>
          <w:color w:val="000000" w:themeColor="text1"/>
          <w:sz w:val="28"/>
          <w:szCs w:val="32"/>
        </w:rPr>
        <w:t>2.5</w:t>
      </w:r>
      <w:r w:rsidRPr="00AF7C94">
        <w:rPr>
          <w:rFonts w:ascii="Times New Roman" w:eastAsia="標楷體" w:hAnsi="Times New Roman" w:cs="Times New Roman"/>
          <w:color w:val="000000" w:themeColor="text1"/>
          <w:sz w:val="28"/>
          <w:szCs w:val="32"/>
        </w:rPr>
        <w:t>個百分點。</w:t>
      </w:r>
    </w:p>
    <w:p w:rsidR="007E3448" w:rsidRDefault="002A4962" w:rsidP="00FD6A5E">
      <w:pPr>
        <w:widowControl/>
        <w:autoSpaceDE w:val="0"/>
        <w:snapToGrid w:val="0"/>
        <w:spacing w:beforeLines="25" w:before="90" w:line="460" w:lineRule="exact"/>
        <w:ind w:leftChars="236" w:left="849" w:hangingChars="101" w:hanging="283"/>
        <w:jc w:val="both"/>
        <w:rPr>
          <w:rFonts w:eastAsia="標楷體"/>
          <w:color w:val="000000" w:themeColor="text1"/>
          <w:sz w:val="28"/>
          <w:szCs w:val="32"/>
        </w:rPr>
      </w:pPr>
      <w:r>
        <w:rPr>
          <w:rFonts w:eastAsia="標楷體" w:hint="eastAsia"/>
          <w:noProof/>
          <w:color w:val="000000" w:themeColor="text1"/>
          <w:sz w:val="28"/>
          <w:szCs w:val="32"/>
        </w:rPr>
        <w:drawing>
          <wp:anchor distT="0" distB="0" distL="114300" distR="114300" simplePos="0" relativeHeight="251675648" behindDoc="1" locked="0" layoutInCell="1" allowOverlap="1" wp14:anchorId="72B57B42" wp14:editId="37467B6D">
            <wp:simplePos x="0" y="0"/>
            <wp:positionH relativeFrom="column">
              <wp:posOffset>34290</wp:posOffset>
            </wp:positionH>
            <wp:positionV relativeFrom="paragraph">
              <wp:posOffset>105410</wp:posOffset>
            </wp:positionV>
            <wp:extent cx="5486400" cy="2396490"/>
            <wp:effectExtent l="0" t="0" r="0" b="0"/>
            <wp:wrapTight wrapText="bothSides">
              <wp:wrapPolygon edited="0">
                <wp:start x="3900" y="687"/>
                <wp:lineTo x="150" y="3434"/>
                <wp:lineTo x="150" y="10989"/>
                <wp:lineTo x="3225" y="12019"/>
                <wp:lineTo x="525" y="12191"/>
                <wp:lineTo x="525" y="13049"/>
                <wp:lineTo x="6750" y="14766"/>
                <wp:lineTo x="450" y="14938"/>
                <wp:lineTo x="450" y="15968"/>
                <wp:lineTo x="10800" y="17514"/>
                <wp:lineTo x="525" y="18200"/>
                <wp:lineTo x="450" y="18887"/>
                <wp:lineTo x="1875" y="20261"/>
                <wp:lineTo x="1875" y="20604"/>
                <wp:lineTo x="20550" y="20604"/>
                <wp:lineTo x="20700" y="19746"/>
                <wp:lineTo x="18900" y="19231"/>
                <wp:lineTo x="10800" y="17514"/>
                <wp:lineTo x="20400" y="16312"/>
                <wp:lineTo x="20400" y="15453"/>
                <wp:lineTo x="12375" y="14766"/>
                <wp:lineTo x="17100" y="12019"/>
                <wp:lineTo x="20550" y="12019"/>
                <wp:lineTo x="20400" y="10989"/>
                <wp:lineTo x="7200" y="9272"/>
                <wp:lineTo x="900" y="3777"/>
                <wp:lineTo x="7350" y="3777"/>
                <wp:lineTo x="19500" y="2060"/>
                <wp:lineTo x="19425" y="687"/>
                <wp:lineTo x="3900" y="687"/>
              </wp:wrapPolygon>
            </wp:wrapTight>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E3448" w:rsidRPr="006E7090">
        <w:rPr>
          <w:rFonts w:ascii="微軟正黑體" w:eastAsia="微軟正黑體" w:hAnsi="微軟正黑體" w:cs="MS Gothic"/>
          <w:noProof/>
          <w:color w:val="000000" w:themeColor="text1"/>
          <w:sz w:val="28"/>
          <w:szCs w:val="32"/>
        </w:rPr>
        <mc:AlternateContent>
          <mc:Choice Requires="wps">
            <w:drawing>
              <wp:anchor distT="0" distB="0" distL="114300" distR="114300" simplePos="0" relativeHeight="251674624" behindDoc="0" locked="0" layoutInCell="1" allowOverlap="1" wp14:anchorId="25F9E688" wp14:editId="7F0DB263">
                <wp:simplePos x="0" y="0"/>
                <wp:positionH relativeFrom="column">
                  <wp:posOffset>395547</wp:posOffset>
                </wp:positionH>
                <wp:positionV relativeFrom="paragraph">
                  <wp:posOffset>261332</wp:posOffset>
                </wp:positionV>
                <wp:extent cx="43815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solidFill>
                          <a:srgbClr val="FFFFFF"/>
                        </a:solidFill>
                        <a:ln w="9525">
                          <a:noFill/>
                          <a:miter lim="800000"/>
                          <a:headEnd/>
                          <a:tailEnd/>
                        </a:ln>
                      </wps:spPr>
                      <wps:txbx>
                        <w:txbxContent>
                          <w:p w:rsidR="00AF26E2" w:rsidRPr="00BA0844" w:rsidRDefault="00AF26E2">
                            <w:pPr>
                              <w:rPr>
                                <w:sz w:val="20"/>
                                <w:szCs w:val="20"/>
                              </w:rPr>
                            </w:pP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15pt;margin-top:20.6pt;width:34.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" stroked="f">
                <v:textbox style="mso-fit-shape-to-text:t">
                  <w:txbxContent>
                    <w:p w:rsidR="00AF26E2" w:rsidRPr="00BA0844" w:rsidRDefault="00AF26E2">
                      <w:pPr>
                        <w:rPr>
                          <w:sz w:val="20"/>
                          <w:szCs w:val="20"/>
                        </w:rPr>
                      </w:pPr>
                      <w:r>
                        <w:rPr>
                          <w:rFonts w:hint="eastAsia"/>
                          <w:sz w:val="20"/>
                          <w:szCs w:val="20"/>
                        </w:rPr>
                        <w:t>%</w:t>
                      </w:r>
                    </w:p>
                  </w:txbxContent>
                </v:textbox>
              </v:shape>
            </w:pict>
          </mc:Fallback>
        </mc:AlternateContent>
      </w:r>
    </w:p>
    <w:p w:rsidR="007E3448" w:rsidRDefault="007E3448" w:rsidP="00FD6A5E">
      <w:pPr>
        <w:widowControl/>
        <w:autoSpaceDE w:val="0"/>
        <w:snapToGrid w:val="0"/>
        <w:spacing w:beforeLines="25" w:before="90" w:line="460" w:lineRule="exact"/>
        <w:ind w:leftChars="236" w:left="849" w:hangingChars="101" w:hanging="283"/>
        <w:jc w:val="both"/>
        <w:rPr>
          <w:rFonts w:eastAsia="標楷體"/>
          <w:color w:val="000000" w:themeColor="text1"/>
          <w:sz w:val="28"/>
          <w:szCs w:val="32"/>
        </w:rPr>
      </w:pPr>
    </w:p>
    <w:p w:rsidR="007E3448" w:rsidRDefault="007E3448" w:rsidP="00FD6A5E">
      <w:pPr>
        <w:widowControl/>
        <w:autoSpaceDE w:val="0"/>
        <w:snapToGrid w:val="0"/>
        <w:spacing w:beforeLines="25" w:before="90" w:line="460" w:lineRule="exact"/>
        <w:ind w:leftChars="236" w:left="849" w:hangingChars="101" w:hanging="283"/>
        <w:jc w:val="both"/>
        <w:rPr>
          <w:rFonts w:eastAsia="標楷體"/>
          <w:color w:val="000000" w:themeColor="text1"/>
          <w:sz w:val="28"/>
          <w:szCs w:val="32"/>
        </w:rPr>
      </w:pPr>
    </w:p>
    <w:p w:rsidR="00234F95" w:rsidRDefault="00234F95" w:rsidP="00FD6A5E">
      <w:pPr>
        <w:widowControl/>
        <w:autoSpaceDE w:val="0"/>
        <w:snapToGrid w:val="0"/>
        <w:spacing w:beforeLines="25" w:before="90" w:line="460" w:lineRule="exact"/>
        <w:ind w:leftChars="236" w:left="849" w:hangingChars="101" w:hanging="283"/>
        <w:jc w:val="center"/>
        <w:rPr>
          <w:rFonts w:ascii="Times New Roman" w:eastAsia="標楷體" w:hAnsi="Times New Roman" w:cs="Times New Roman"/>
          <w:b/>
          <w:color w:val="000000" w:themeColor="text1"/>
          <w:sz w:val="28"/>
          <w:szCs w:val="32"/>
        </w:rPr>
      </w:pPr>
    </w:p>
    <w:p w:rsidR="007E3448" w:rsidRPr="00AF7C94" w:rsidRDefault="007E3448" w:rsidP="00FD6A5E">
      <w:pPr>
        <w:widowControl/>
        <w:autoSpaceDE w:val="0"/>
        <w:snapToGrid w:val="0"/>
        <w:spacing w:beforeLines="25" w:before="90" w:line="460" w:lineRule="exact"/>
        <w:ind w:leftChars="236" w:left="849" w:hangingChars="101" w:hanging="283"/>
        <w:jc w:val="center"/>
        <w:rPr>
          <w:rFonts w:ascii="Times New Roman" w:eastAsia="標楷體" w:hAnsi="Times New Roman" w:cs="Times New Roman"/>
          <w:b/>
          <w:color w:val="000000" w:themeColor="text1"/>
          <w:sz w:val="28"/>
          <w:szCs w:val="32"/>
        </w:rPr>
      </w:pPr>
      <w:r w:rsidRPr="00AF7C94">
        <w:rPr>
          <w:rFonts w:ascii="Times New Roman" w:eastAsia="標楷體" w:hAnsi="Times New Roman" w:cs="Times New Roman"/>
          <w:b/>
          <w:color w:val="000000" w:themeColor="text1"/>
          <w:sz w:val="28"/>
          <w:szCs w:val="32"/>
        </w:rPr>
        <w:t>圖</w:t>
      </w:r>
      <w:r w:rsidRPr="00AF7C94">
        <w:rPr>
          <w:rFonts w:ascii="Times New Roman" w:eastAsia="標楷體" w:hAnsi="Times New Roman" w:cs="Times New Roman"/>
          <w:b/>
          <w:color w:val="000000" w:themeColor="text1"/>
          <w:sz w:val="28"/>
          <w:szCs w:val="32"/>
        </w:rPr>
        <w:t>1-1  2018</w:t>
      </w:r>
      <w:r w:rsidRPr="00AF7C94">
        <w:rPr>
          <w:rFonts w:ascii="Times New Roman" w:eastAsia="標楷體" w:hAnsi="Times New Roman" w:cs="Times New Roman"/>
          <w:b/>
          <w:color w:val="000000" w:themeColor="text1"/>
          <w:sz w:val="28"/>
          <w:szCs w:val="32"/>
        </w:rPr>
        <w:t>年中國大陸固定資產投資</w:t>
      </w:r>
    </w:p>
    <w:p w:rsidR="007E3448" w:rsidRPr="006E7090" w:rsidRDefault="007E3448" w:rsidP="00FD6A5E">
      <w:pPr>
        <w:widowControl/>
        <w:autoSpaceDE w:val="0"/>
        <w:snapToGrid w:val="0"/>
        <w:spacing w:beforeLines="25" w:before="90" w:line="240" w:lineRule="atLeast"/>
        <w:ind w:left="567"/>
        <w:jc w:val="both"/>
        <w:rPr>
          <w:rFonts w:ascii="標楷體" w:eastAsia="標楷體" w:hAnsi="標楷體"/>
          <w:color w:val="000000" w:themeColor="text1"/>
          <w:sz w:val="20"/>
          <w:szCs w:val="20"/>
        </w:rPr>
      </w:pPr>
      <w:r w:rsidRPr="006E7090">
        <w:rPr>
          <w:rFonts w:ascii="標楷體" w:eastAsia="標楷體" w:hAnsi="標楷體" w:hint="eastAsia"/>
          <w:color w:val="000000" w:themeColor="text1"/>
          <w:sz w:val="20"/>
          <w:szCs w:val="20"/>
        </w:rPr>
        <w:t>資料來源：中國大陸國家統計局。</w:t>
      </w:r>
    </w:p>
    <w:p w:rsidR="007E3448" w:rsidRPr="00AF7C94" w:rsidRDefault="007E3448" w:rsidP="00FD6A5E">
      <w:pPr>
        <w:widowControl/>
        <w:tabs>
          <w:tab w:val="left" w:pos="567"/>
        </w:tabs>
        <w:autoSpaceDE w:val="0"/>
        <w:snapToGrid w:val="0"/>
        <w:spacing w:line="480" w:lineRule="exact"/>
        <w:ind w:left="330"/>
        <w:jc w:val="both"/>
        <w:rPr>
          <w:rFonts w:ascii="Times New Roman" w:eastAsia="標楷體" w:hAnsi="Times New Roman" w:cs="Times New Roman"/>
          <w:b/>
          <w:color w:val="000000" w:themeColor="text1"/>
          <w:sz w:val="28"/>
          <w:szCs w:val="32"/>
        </w:rPr>
      </w:pPr>
      <w:r w:rsidRPr="00AF7C94">
        <w:rPr>
          <w:rFonts w:ascii="Times New Roman" w:eastAsia="標楷體" w:hAnsi="Times New Roman" w:cs="Times New Roman"/>
          <w:b/>
          <w:color w:val="000000" w:themeColor="text1"/>
          <w:sz w:val="28"/>
          <w:szCs w:val="32"/>
        </w:rPr>
        <w:lastRenderedPageBreak/>
        <w:t>3.</w:t>
      </w:r>
      <w:r w:rsidRPr="00AF7C94">
        <w:rPr>
          <w:rFonts w:ascii="Times New Roman" w:eastAsia="標楷體" w:hAnsi="Times New Roman" w:cs="Times New Roman"/>
          <w:b/>
          <w:color w:val="000000" w:themeColor="text1"/>
          <w:sz w:val="28"/>
          <w:szCs w:val="32"/>
        </w:rPr>
        <w:t>外貿持續擴張</w:t>
      </w:r>
    </w:p>
    <w:p w:rsidR="007E3448" w:rsidRPr="00AF7C94" w:rsidRDefault="007E3448" w:rsidP="00FD6A5E">
      <w:pPr>
        <w:widowControl/>
        <w:autoSpaceDE w:val="0"/>
        <w:snapToGrid w:val="0"/>
        <w:spacing w:line="480" w:lineRule="exact"/>
        <w:ind w:leftChars="236" w:left="850" w:hanging="284"/>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b/>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外貿成長持續擴張</w:t>
      </w:r>
      <w:r w:rsidR="00AF7C94" w:rsidRPr="00AF7C94">
        <w:rPr>
          <w:rFonts w:ascii="Times New Roman" w:eastAsia="標楷體" w:hAnsi="Times New Roman" w:cs="Times New Roman"/>
          <w:b/>
          <w:color w:val="000000" w:themeColor="text1"/>
          <w:sz w:val="28"/>
          <w:szCs w:val="32"/>
        </w:rPr>
        <w:t>，</w:t>
      </w:r>
      <w:r w:rsidRPr="00AF7C94">
        <w:rPr>
          <w:rFonts w:ascii="Times New Roman" w:eastAsia="標楷體" w:hAnsi="Times New Roman" w:cs="Times New Roman"/>
          <w:b/>
          <w:color w:val="000000" w:themeColor="text1"/>
          <w:sz w:val="28"/>
          <w:szCs w:val="32"/>
        </w:rPr>
        <w:t>惟動能減弱：</w:t>
      </w:r>
      <w:r w:rsidRPr="00AF7C94">
        <w:rPr>
          <w:rFonts w:ascii="Times New Roman" w:eastAsia="標楷體" w:hAnsi="Times New Roman" w:cs="Times New Roman"/>
          <w:color w:val="000000" w:themeColor="text1"/>
          <w:sz w:val="28"/>
          <w:szCs w:val="32"/>
        </w:rPr>
        <w:t>雖然美中貿易摩擦依舊緊張，但受惠於廠商搶出口及人民幣貶值影響，中國大陸外貿仍舊持續擴張。</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年對外貿易總額為</w:t>
      </w:r>
      <w:r w:rsidRPr="00AF7C94">
        <w:rPr>
          <w:rFonts w:ascii="Times New Roman" w:eastAsia="標楷體" w:hAnsi="Times New Roman" w:cs="Times New Roman"/>
          <w:color w:val="000000" w:themeColor="text1"/>
          <w:sz w:val="28"/>
          <w:szCs w:val="32"/>
        </w:rPr>
        <w:t>46,230</w:t>
      </w:r>
      <w:r w:rsidRPr="00AF7C94">
        <w:rPr>
          <w:rFonts w:ascii="Times New Roman" w:eastAsia="標楷體" w:hAnsi="Times New Roman" w:cs="Times New Roman"/>
          <w:color w:val="000000" w:themeColor="text1"/>
          <w:sz w:val="28"/>
          <w:szCs w:val="32"/>
        </w:rPr>
        <w:t>億美元</w:t>
      </w:r>
      <w:r w:rsidR="00AF7C94"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成長</w:t>
      </w:r>
      <w:r w:rsidRPr="00AF7C94">
        <w:rPr>
          <w:rFonts w:ascii="Times New Roman" w:eastAsia="標楷體" w:hAnsi="Times New Roman" w:cs="Times New Roman"/>
          <w:color w:val="000000" w:themeColor="text1"/>
          <w:sz w:val="28"/>
          <w:szCs w:val="32"/>
        </w:rPr>
        <w:t>12.6%</w:t>
      </w:r>
      <w:r w:rsidR="00AF7C94"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其中，出口金額為</w:t>
      </w:r>
      <w:r w:rsidRPr="00AF7C94">
        <w:rPr>
          <w:rFonts w:ascii="Times New Roman" w:eastAsia="標楷體" w:hAnsi="Times New Roman" w:cs="Times New Roman"/>
          <w:color w:val="000000" w:themeColor="text1"/>
          <w:sz w:val="28"/>
          <w:szCs w:val="32"/>
        </w:rPr>
        <w:t>24,874</w:t>
      </w:r>
      <w:r w:rsidRPr="00AF7C94">
        <w:rPr>
          <w:rFonts w:ascii="Times New Roman" w:eastAsia="標楷體" w:hAnsi="Times New Roman" w:cs="Times New Roman"/>
          <w:color w:val="000000" w:themeColor="text1"/>
          <w:sz w:val="28"/>
          <w:szCs w:val="32"/>
        </w:rPr>
        <w:t>億美元，成長</w:t>
      </w:r>
      <w:r w:rsidRPr="00AF7C94">
        <w:rPr>
          <w:rFonts w:ascii="Times New Roman" w:eastAsia="標楷體" w:hAnsi="Times New Roman" w:cs="Times New Roman"/>
          <w:color w:val="000000" w:themeColor="text1"/>
          <w:sz w:val="28"/>
          <w:szCs w:val="32"/>
        </w:rPr>
        <w:t>9.9%</w:t>
      </w:r>
      <w:r w:rsidRPr="00AF7C94">
        <w:rPr>
          <w:rFonts w:ascii="Times New Roman" w:eastAsia="標楷體" w:hAnsi="Times New Roman" w:cs="Times New Roman"/>
          <w:color w:val="000000" w:themeColor="text1"/>
          <w:sz w:val="28"/>
          <w:szCs w:val="32"/>
        </w:rPr>
        <w:t>；進口金額為</w:t>
      </w:r>
      <w:r w:rsidRPr="00AF7C94">
        <w:rPr>
          <w:rFonts w:ascii="Times New Roman" w:eastAsia="標楷體" w:hAnsi="Times New Roman" w:cs="Times New Roman"/>
          <w:color w:val="000000" w:themeColor="text1"/>
          <w:sz w:val="28"/>
          <w:szCs w:val="32"/>
        </w:rPr>
        <w:t>21,356</w:t>
      </w:r>
      <w:r w:rsidRPr="00AF7C94">
        <w:rPr>
          <w:rFonts w:ascii="Times New Roman" w:eastAsia="標楷體" w:hAnsi="Times New Roman" w:cs="Times New Roman"/>
          <w:color w:val="000000" w:themeColor="text1"/>
          <w:sz w:val="28"/>
          <w:szCs w:val="32"/>
        </w:rPr>
        <w:t>億美元</w:t>
      </w:r>
      <w:r w:rsidR="00AF7C94"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成長</w:t>
      </w:r>
      <w:r w:rsidRPr="00AF7C94">
        <w:rPr>
          <w:rFonts w:ascii="Times New Roman" w:eastAsia="標楷體" w:hAnsi="Times New Roman" w:cs="Times New Roman"/>
          <w:color w:val="000000" w:themeColor="text1"/>
          <w:sz w:val="28"/>
          <w:szCs w:val="32"/>
        </w:rPr>
        <w:t>15.8%</w:t>
      </w:r>
      <w:r w:rsidRPr="00AF7C94">
        <w:rPr>
          <w:rFonts w:ascii="Times New Roman" w:eastAsia="標楷體" w:hAnsi="Times New Roman" w:cs="Times New Roman"/>
          <w:color w:val="000000" w:themeColor="text1"/>
          <w:sz w:val="28"/>
          <w:szCs w:val="32"/>
        </w:rPr>
        <w:t>。惟美中貿易戰影響已逐步發酵，</w:t>
      </w:r>
      <w:r w:rsidRPr="00AF7C94">
        <w:rPr>
          <w:rFonts w:ascii="Times New Roman" w:eastAsia="標楷體" w:hAnsi="Times New Roman" w:cs="Times New Roman"/>
          <w:color w:val="000000" w:themeColor="text1"/>
          <w:sz w:val="28"/>
          <w:szCs w:val="32"/>
        </w:rPr>
        <w:t>2018</w:t>
      </w:r>
      <w:r w:rsidRPr="00AF7C94">
        <w:rPr>
          <w:rFonts w:ascii="Times New Roman" w:eastAsia="標楷體" w:hAnsi="Times New Roman" w:cs="Times New Roman"/>
          <w:color w:val="000000" w:themeColor="text1"/>
          <w:sz w:val="28"/>
          <w:szCs w:val="32"/>
        </w:rPr>
        <w:t>年第</w:t>
      </w:r>
      <w:r w:rsidRPr="00AF7C94">
        <w:rPr>
          <w:rFonts w:ascii="Times New Roman" w:eastAsia="標楷體" w:hAnsi="Times New Roman" w:cs="Times New Roman"/>
          <w:color w:val="000000" w:themeColor="text1"/>
          <w:sz w:val="28"/>
          <w:szCs w:val="32"/>
        </w:rPr>
        <w:t>4</w:t>
      </w:r>
      <w:r w:rsidRPr="00AF7C94">
        <w:rPr>
          <w:rFonts w:ascii="Times New Roman" w:eastAsia="標楷體" w:hAnsi="Times New Roman" w:cs="Times New Roman"/>
          <w:color w:val="000000" w:themeColor="text1"/>
          <w:sz w:val="28"/>
          <w:szCs w:val="32"/>
        </w:rPr>
        <w:t>季出</w:t>
      </w:r>
      <w:r w:rsidR="006422D6">
        <w:rPr>
          <w:rFonts w:ascii="Times New Roman" w:eastAsia="標楷體" w:hAnsi="Times New Roman" w:cs="Times New Roman" w:hint="eastAsia"/>
          <w:color w:val="000000" w:themeColor="text1"/>
          <w:sz w:val="28"/>
          <w:szCs w:val="32"/>
        </w:rPr>
        <w:t>、</w:t>
      </w:r>
      <w:r w:rsidRPr="00AF7C94">
        <w:rPr>
          <w:rFonts w:ascii="Times New Roman" w:eastAsia="標楷體" w:hAnsi="Times New Roman" w:cs="Times New Roman"/>
          <w:color w:val="000000" w:themeColor="text1"/>
          <w:sz w:val="28"/>
          <w:szCs w:val="32"/>
        </w:rPr>
        <w:t>進口年增率僅分別成長</w:t>
      </w:r>
      <w:r w:rsidRPr="00AF7C94">
        <w:rPr>
          <w:rFonts w:ascii="Times New Roman" w:eastAsia="標楷體" w:hAnsi="Times New Roman" w:cs="Times New Roman"/>
          <w:color w:val="000000" w:themeColor="text1"/>
          <w:sz w:val="28"/>
          <w:szCs w:val="32"/>
        </w:rPr>
        <w:t>5.3%</w:t>
      </w:r>
      <w:r w:rsidRPr="00AF7C94">
        <w:rPr>
          <w:rFonts w:ascii="Times New Roman" w:eastAsia="標楷體" w:hAnsi="Times New Roman" w:cs="Times New Roman"/>
          <w:color w:val="000000" w:themeColor="text1"/>
          <w:sz w:val="28"/>
          <w:szCs w:val="32"/>
        </w:rPr>
        <w:t>及</w:t>
      </w:r>
      <w:r w:rsidRPr="00AF7C94">
        <w:rPr>
          <w:rFonts w:ascii="Times New Roman" w:eastAsia="標楷體" w:hAnsi="Times New Roman" w:cs="Times New Roman"/>
          <w:color w:val="000000" w:themeColor="text1"/>
          <w:sz w:val="28"/>
          <w:szCs w:val="32"/>
        </w:rPr>
        <w:t>5.1%</w:t>
      </w:r>
      <w:r w:rsidRPr="00AF7C94">
        <w:rPr>
          <w:rFonts w:ascii="Times New Roman" w:eastAsia="標楷體" w:hAnsi="Times New Roman" w:cs="Times New Roman"/>
          <w:color w:val="000000" w:themeColor="text1"/>
          <w:sz w:val="28"/>
          <w:szCs w:val="32"/>
        </w:rPr>
        <w:t>，與前</w:t>
      </w:r>
      <w:r w:rsidRPr="00AF7C94">
        <w:rPr>
          <w:rFonts w:ascii="Times New Roman" w:eastAsia="標楷體" w:hAnsi="Times New Roman" w:cs="Times New Roman"/>
          <w:color w:val="000000" w:themeColor="text1"/>
          <w:sz w:val="28"/>
          <w:szCs w:val="32"/>
        </w:rPr>
        <w:t>3</w:t>
      </w:r>
      <w:r w:rsidRPr="00AF7C94">
        <w:rPr>
          <w:rFonts w:ascii="Times New Roman" w:eastAsia="標楷體" w:hAnsi="Times New Roman" w:cs="Times New Roman"/>
          <w:color w:val="000000" w:themeColor="text1"/>
          <w:sz w:val="28"/>
          <w:szCs w:val="32"/>
        </w:rPr>
        <w:t>季兩位數成長相較</w:t>
      </w:r>
      <w:r w:rsidR="00AF7C94"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明顯縮減。</w:t>
      </w:r>
    </w:p>
    <w:p w:rsidR="007E3448" w:rsidRPr="00AF7C94" w:rsidRDefault="007E3448" w:rsidP="00FD6A5E">
      <w:pPr>
        <w:widowControl/>
        <w:autoSpaceDE w:val="0"/>
        <w:snapToGrid w:val="0"/>
        <w:spacing w:beforeLines="25" w:before="90" w:line="480" w:lineRule="exact"/>
        <w:ind w:leftChars="236" w:left="850" w:hanging="284"/>
        <w:jc w:val="both"/>
        <w:rPr>
          <w:rFonts w:ascii="Times New Roman" w:eastAsia="標楷體" w:hAnsi="Times New Roman" w:cs="Times New Roman"/>
          <w:color w:val="000000" w:themeColor="text1"/>
          <w:sz w:val="28"/>
          <w:szCs w:val="32"/>
        </w:rPr>
      </w:pPr>
      <w:proofErr w:type="gramStart"/>
      <w:r w:rsidRPr="00AF7C94">
        <w:rPr>
          <w:rFonts w:ascii="Times New Roman" w:eastAsia="標楷體" w:hAnsi="Times New Roman" w:cs="Times New Roman"/>
          <w:color w:val="000000" w:themeColor="text1"/>
          <w:sz w:val="28"/>
          <w:szCs w:val="32"/>
        </w:rPr>
        <w:t>─</w:t>
      </w:r>
      <w:proofErr w:type="gramEnd"/>
      <w:r w:rsidRPr="00AF7C94">
        <w:rPr>
          <w:rFonts w:ascii="Times New Roman" w:eastAsia="標楷體" w:hAnsi="Times New Roman" w:cs="Times New Roman"/>
          <w:b/>
          <w:color w:val="000000" w:themeColor="text1"/>
          <w:sz w:val="28"/>
          <w:szCs w:val="32"/>
        </w:rPr>
        <w:t>對外貿易不確定性仍大</w:t>
      </w:r>
      <w:r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2019</w:t>
      </w:r>
      <w:r w:rsidRPr="00AF7C94">
        <w:rPr>
          <w:rFonts w:ascii="Times New Roman" w:eastAsia="標楷體" w:hAnsi="Times New Roman" w:cs="Times New Roman"/>
          <w:color w:val="000000" w:themeColor="text1"/>
          <w:sz w:val="28"/>
          <w:szCs w:val="32"/>
        </w:rPr>
        <w:t>年中國大陸對外貿易仍存在高度不確定性</w:t>
      </w:r>
      <w:r w:rsidR="00AF7C94" w:rsidRPr="00AF7C94">
        <w:rPr>
          <w:rFonts w:ascii="Times New Roman" w:eastAsia="標楷體" w:hAnsi="Times New Roman" w:cs="Times New Roman"/>
          <w:color w:val="000000" w:themeColor="text1"/>
          <w:sz w:val="28"/>
          <w:szCs w:val="32"/>
        </w:rPr>
        <w:t>。</w:t>
      </w:r>
      <w:r w:rsidRPr="00AF7C94">
        <w:rPr>
          <w:rFonts w:ascii="Times New Roman" w:eastAsia="標楷體" w:hAnsi="Times New Roman" w:cs="Times New Roman"/>
          <w:color w:val="000000" w:themeColor="text1"/>
          <w:sz w:val="28"/>
          <w:szCs w:val="32"/>
        </w:rPr>
        <w:t>首先，中美貿易戰前景未明，</w:t>
      </w:r>
      <w:r w:rsidR="00AF7C94" w:rsidRPr="00AF7C94">
        <w:rPr>
          <w:rFonts w:ascii="Times New Roman" w:eastAsia="標楷體" w:hAnsi="Times New Roman" w:cs="Times New Roman"/>
          <w:color w:val="000000" w:themeColor="text1"/>
          <w:sz w:val="28"/>
          <w:szCs w:val="32"/>
        </w:rPr>
        <w:t>若</w:t>
      </w:r>
      <w:r w:rsidRPr="00AF7C94">
        <w:rPr>
          <w:rFonts w:ascii="Times New Roman" w:eastAsia="標楷體" w:hAnsi="Times New Roman" w:cs="Times New Roman"/>
          <w:color w:val="000000" w:themeColor="text1"/>
          <w:sz w:val="28"/>
          <w:szCs w:val="32"/>
        </w:rPr>
        <w:t>進一步惡化升級，對經濟的衝擊將擴大，進而衝擊全球產業鏈；其次，貿易保護主義持續蔓延，全球貿易投資環境逐漸趨緊，致全球經濟成長動力或有所減弱，中國大陸面臨的外部需求難以快速成長。</w:t>
      </w:r>
    </w:p>
    <w:p w:rsidR="007E3448" w:rsidRPr="00AF7C94" w:rsidRDefault="007E3448" w:rsidP="00FD6A5E">
      <w:pPr>
        <w:widowControl/>
        <w:tabs>
          <w:tab w:val="left" w:pos="567"/>
        </w:tabs>
        <w:autoSpaceDE w:val="0"/>
        <w:snapToGrid w:val="0"/>
        <w:spacing w:line="480" w:lineRule="exact"/>
        <w:ind w:leftChars="1" w:left="568" w:hangingChars="202" w:hanging="566"/>
        <w:jc w:val="center"/>
        <w:rPr>
          <w:rFonts w:ascii="Times New Roman" w:eastAsia="標楷體" w:hAnsi="Times New Roman" w:cs="Times New Roman"/>
          <w:b/>
          <w:color w:val="000000" w:themeColor="text1"/>
          <w:sz w:val="28"/>
          <w:szCs w:val="32"/>
        </w:rPr>
      </w:pPr>
      <w:r w:rsidRPr="00AF7C94">
        <w:rPr>
          <w:rFonts w:ascii="Times New Roman" w:eastAsia="標楷體" w:hAnsi="Times New Roman" w:cs="Times New Roman"/>
          <w:b/>
          <w:color w:val="000000" w:themeColor="text1"/>
          <w:kern w:val="0"/>
          <w:sz w:val="28"/>
          <w:szCs w:val="32"/>
        </w:rPr>
        <w:t>表</w:t>
      </w:r>
      <w:r w:rsidRPr="00AF7C94">
        <w:rPr>
          <w:rFonts w:ascii="Times New Roman" w:eastAsia="標楷體" w:hAnsi="Times New Roman" w:cs="Times New Roman"/>
          <w:b/>
          <w:color w:val="000000" w:themeColor="text1"/>
          <w:kern w:val="0"/>
          <w:sz w:val="28"/>
          <w:szCs w:val="32"/>
        </w:rPr>
        <w:t>1-</w:t>
      </w:r>
      <w:r w:rsidR="007F005F" w:rsidRPr="00AF7C94">
        <w:rPr>
          <w:rFonts w:ascii="Times New Roman" w:eastAsia="標楷體" w:hAnsi="Times New Roman" w:cs="Times New Roman"/>
          <w:b/>
          <w:color w:val="000000" w:themeColor="text1"/>
          <w:kern w:val="0"/>
          <w:sz w:val="28"/>
          <w:szCs w:val="32"/>
        </w:rPr>
        <w:t>1</w:t>
      </w:r>
      <w:r w:rsidRPr="00AF7C94">
        <w:rPr>
          <w:rFonts w:ascii="Times New Roman" w:eastAsia="標楷體" w:hAnsi="Times New Roman" w:cs="Times New Roman"/>
          <w:b/>
          <w:color w:val="000000" w:themeColor="text1"/>
          <w:kern w:val="0"/>
          <w:sz w:val="28"/>
          <w:szCs w:val="32"/>
        </w:rPr>
        <w:t xml:space="preserve">  </w:t>
      </w:r>
      <w:r w:rsidRPr="00AF7C94">
        <w:rPr>
          <w:rFonts w:ascii="Times New Roman" w:eastAsia="標楷體" w:hAnsi="Times New Roman" w:cs="Times New Roman"/>
          <w:b/>
          <w:color w:val="000000" w:themeColor="text1"/>
          <w:kern w:val="0"/>
          <w:sz w:val="28"/>
          <w:szCs w:val="32"/>
        </w:rPr>
        <w:t>中國大陸對外貿易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134"/>
        <w:gridCol w:w="1036"/>
        <w:gridCol w:w="1036"/>
        <w:gridCol w:w="966"/>
        <w:gridCol w:w="1111"/>
        <w:gridCol w:w="886"/>
        <w:gridCol w:w="1287"/>
        <w:gridCol w:w="128"/>
      </w:tblGrid>
      <w:tr w:rsidR="007E3448" w:rsidRPr="00AF7C94" w:rsidTr="007E3448">
        <w:trPr>
          <w:gridAfter w:val="1"/>
          <w:wAfter w:w="128" w:type="dxa"/>
          <w:trHeight w:val="227"/>
          <w:jc w:val="center"/>
        </w:trPr>
        <w:tc>
          <w:tcPr>
            <w:tcW w:w="9223" w:type="dxa"/>
            <w:gridSpan w:val="8"/>
            <w:tcBorders>
              <w:top w:val="nil"/>
              <w:left w:val="nil"/>
              <w:bottom w:val="single" w:sz="4" w:space="0" w:color="auto"/>
              <w:right w:val="nil"/>
            </w:tcBorders>
            <w:noWrap/>
            <w:vAlign w:val="bottom"/>
            <w:hideMark/>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szCs w:val="20"/>
              </w:rPr>
            </w:pPr>
            <w:r w:rsidRPr="00AF7C94">
              <w:rPr>
                <w:rFonts w:ascii="Times New Roman" w:eastAsia="標楷體" w:hAnsi="Times New Roman" w:cs="Times New Roman"/>
                <w:color w:val="000000" w:themeColor="text1"/>
                <w:kern w:val="0"/>
                <w:sz w:val="18"/>
                <w:szCs w:val="20"/>
              </w:rPr>
              <w:t>單位：億美元；</w:t>
            </w:r>
            <w:r w:rsidRPr="00AF7C94">
              <w:rPr>
                <w:rFonts w:ascii="Times New Roman" w:eastAsia="標楷體" w:hAnsi="Times New Roman" w:cs="Times New Roman"/>
                <w:color w:val="000000" w:themeColor="text1"/>
                <w:kern w:val="0"/>
                <w:sz w:val="18"/>
                <w:szCs w:val="20"/>
              </w:rPr>
              <w:t>%</w:t>
            </w:r>
          </w:p>
        </w:tc>
      </w:tr>
      <w:tr w:rsidR="007E3448" w:rsidRPr="00AF7C94" w:rsidTr="007E3448">
        <w:trPr>
          <w:trHeight w:val="227"/>
          <w:jc w:val="center"/>
        </w:trPr>
        <w:tc>
          <w:tcPr>
            <w:tcW w:w="1767" w:type="dxa"/>
            <w:vMerge w:val="restart"/>
            <w:tcBorders>
              <w:top w:val="single" w:sz="4" w:space="0" w:color="auto"/>
              <w:left w:val="nil"/>
              <w:bottom w:val="single" w:sz="4" w:space="0" w:color="auto"/>
              <w:right w:val="single" w:sz="4" w:space="0" w:color="auto"/>
            </w:tcBorders>
            <w:noWrap/>
            <w:vAlign w:val="center"/>
            <w:hideMark/>
          </w:tcPr>
          <w:p w:rsidR="007E3448" w:rsidRPr="00AF7C94" w:rsidRDefault="007E3448" w:rsidP="00FD6A5E">
            <w:pPr>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期間</w:t>
            </w:r>
          </w:p>
        </w:tc>
        <w:tc>
          <w:tcPr>
            <w:tcW w:w="2170" w:type="dxa"/>
            <w:gridSpan w:val="2"/>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貿易總額</w:t>
            </w:r>
          </w:p>
        </w:tc>
        <w:tc>
          <w:tcPr>
            <w:tcW w:w="2002" w:type="dxa"/>
            <w:gridSpan w:val="2"/>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出口</w:t>
            </w:r>
          </w:p>
        </w:tc>
        <w:tc>
          <w:tcPr>
            <w:tcW w:w="1997" w:type="dxa"/>
            <w:gridSpan w:val="2"/>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進口</w:t>
            </w:r>
          </w:p>
        </w:tc>
        <w:tc>
          <w:tcPr>
            <w:tcW w:w="1415" w:type="dxa"/>
            <w:gridSpan w:val="2"/>
            <w:tcBorders>
              <w:top w:val="single" w:sz="4" w:space="0" w:color="auto"/>
              <w:left w:val="single" w:sz="4" w:space="0" w:color="auto"/>
              <w:bottom w:val="single" w:sz="4" w:space="0" w:color="auto"/>
              <w:right w:val="nil"/>
            </w:tcBorders>
            <w:vAlign w:val="center"/>
            <w:hideMark/>
          </w:tcPr>
          <w:p w:rsidR="007E3448" w:rsidRPr="00AF7C94" w:rsidRDefault="007E3448" w:rsidP="00FD6A5E">
            <w:pPr>
              <w:widowControl/>
              <w:adjustRightInd w:val="0"/>
              <w:snapToGrid w:val="0"/>
              <w:spacing w:line="0" w:lineRule="atLeast"/>
              <w:ind w:firstLineChars="100" w:firstLine="180"/>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出（入）超</w:t>
            </w:r>
          </w:p>
        </w:tc>
      </w:tr>
      <w:tr w:rsidR="007E3448" w:rsidRPr="00AF7C94" w:rsidTr="007E3448">
        <w:trPr>
          <w:trHeight w:val="227"/>
          <w:jc w:val="center"/>
        </w:trPr>
        <w:tc>
          <w:tcPr>
            <w:tcW w:w="0" w:type="auto"/>
            <w:vMerge/>
            <w:tcBorders>
              <w:top w:val="single" w:sz="4" w:space="0" w:color="auto"/>
              <w:left w:val="nil"/>
              <w:bottom w:val="single" w:sz="4" w:space="0" w:color="auto"/>
              <w:right w:val="single" w:sz="4" w:space="0" w:color="auto"/>
            </w:tcBorders>
            <w:vAlign w:val="center"/>
            <w:hideMark/>
          </w:tcPr>
          <w:p w:rsidR="007E3448" w:rsidRPr="00AF7C94" w:rsidRDefault="007E3448" w:rsidP="00FD6A5E">
            <w:pPr>
              <w:widowControl/>
              <w:adjustRightInd w:val="0"/>
              <w:snapToGrid w:val="0"/>
              <w:spacing w:line="0" w:lineRule="atLeast"/>
              <w:rPr>
                <w:rFonts w:ascii="Times New Roman" w:eastAsia="標楷體" w:hAnsi="Times New Roman" w:cs="Times New Roman"/>
                <w:color w:val="000000" w:themeColor="text1"/>
                <w:kern w:val="0"/>
                <w:sz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金額</w:t>
            </w:r>
          </w:p>
        </w:tc>
        <w:tc>
          <w:tcPr>
            <w:tcW w:w="1036" w:type="dxa"/>
            <w:tcBorders>
              <w:top w:val="single" w:sz="4" w:space="0" w:color="auto"/>
              <w:left w:val="single" w:sz="4" w:space="0" w:color="auto"/>
              <w:bottom w:val="single" w:sz="4" w:space="0" w:color="auto"/>
              <w:right w:val="single" w:sz="4" w:space="0" w:color="auto"/>
            </w:tcBorders>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年增率</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金額</w:t>
            </w:r>
          </w:p>
        </w:tc>
        <w:tc>
          <w:tcPr>
            <w:tcW w:w="966" w:type="dxa"/>
            <w:tcBorders>
              <w:top w:val="single" w:sz="4" w:space="0" w:color="auto"/>
              <w:left w:val="single" w:sz="4" w:space="0" w:color="auto"/>
              <w:bottom w:val="single" w:sz="4" w:space="0" w:color="auto"/>
              <w:right w:val="single" w:sz="4" w:space="0" w:color="auto"/>
            </w:tcBorders>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年增率</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金額</w:t>
            </w:r>
          </w:p>
        </w:tc>
        <w:tc>
          <w:tcPr>
            <w:tcW w:w="886" w:type="dxa"/>
            <w:tcBorders>
              <w:top w:val="single" w:sz="4" w:space="0" w:color="auto"/>
              <w:left w:val="single" w:sz="4" w:space="0" w:color="auto"/>
              <w:bottom w:val="single" w:sz="4" w:space="0" w:color="auto"/>
              <w:right w:val="single" w:sz="4" w:space="0" w:color="auto"/>
            </w:tcBorders>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年增率</w:t>
            </w:r>
          </w:p>
        </w:tc>
        <w:tc>
          <w:tcPr>
            <w:tcW w:w="1415" w:type="dxa"/>
            <w:gridSpan w:val="2"/>
            <w:tcBorders>
              <w:top w:val="single" w:sz="4" w:space="0" w:color="auto"/>
              <w:left w:val="single" w:sz="4" w:space="0" w:color="auto"/>
              <w:bottom w:val="single" w:sz="4" w:space="0" w:color="auto"/>
              <w:right w:val="nil"/>
            </w:tcBorders>
            <w:noWrap/>
            <w:vAlign w:val="center"/>
            <w:hideMark/>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金</w:t>
            </w:r>
            <w:r w:rsidRPr="00AF7C94">
              <w:rPr>
                <w:rFonts w:ascii="Times New Roman" w:eastAsia="標楷體" w:hAnsi="Times New Roman" w:cs="Times New Roman"/>
                <w:color w:val="000000" w:themeColor="text1"/>
                <w:kern w:val="0"/>
                <w:sz w:val="18"/>
              </w:rPr>
              <w:t xml:space="preserve">  </w:t>
            </w:r>
            <w:r w:rsidRPr="00AF7C94">
              <w:rPr>
                <w:rFonts w:ascii="Times New Roman" w:eastAsia="標楷體" w:hAnsi="Times New Roman" w:cs="Times New Roman"/>
                <w:color w:val="000000" w:themeColor="text1"/>
                <w:kern w:val="0"/>
                <w:sz w:val="18"/>
              </w:rPr>
              <w:t>額</w:t>
            </w:r>
          </w:p>
        </w:tc>
      </w:tr>
      <w:tr w:rsidR="007E3448" w:rsidRPr="00AF7C94" w:rsidTr="00FD6A5E">
        <w:trPr>
          <w:trHeight w:val="72"/>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2014</w:t>
            </w:r>
            <w:r w:rsidRPr="00AF7C94">
              <w:rPr>
                <w:rFonts w:ascii="Times New Roman" w:eastAsia="標楷體" w:hAnsi="Times New Roman" w:cs="Times New Roman"/>
                <w:color w:val="000000" w:themeColor="text1"/>
                <w:kern w:val="0"/>
                <w:sz w:val="18"/>
              </w:rPr>
              <w:t>年</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43,030</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3.4</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23,427</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6.1</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19,602</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0.4</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3,824</w:t>
            </w:r>
          </w:p>
        </w:tc>
      </w:tr>
      <w:tr w:rsidR="007E3448" w:rsidRPr="00AF7C94" w:rsidTr="00FD6A5E">
        <w:trPr>
          <w:trHeight w:val="227"/>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1</w:t>
            </w:r>
            <w:r w:rsidRPr="00AF7C94">
              <w:rPr>
                <w:rFonts w:ascii="Times New Roman" w:eastAsia="標楷體" w:hAnsi="Times New Roman" w:cs="Times New Roman"/>
                <w:color w:val="000000" w:themeColor="text1"/>
                <w:kern w:val="0"/>
                <w:sz w:val="18"/>
              </w:rPr>
              <w:t>季</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9,658</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4,913</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-3.4</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4,745</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167</w:t>
            </w:r>
          </w:p>
        </w:tc>
      </w:tr>
      <w:tr w:rsidR="007E3448" w:rsidRPr="00AF7C94" w:rsidTr="00FD6A5E">
        <w:trPr>
          <w:trHeight w:val="227"/>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2</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3</w:t>
            </w:r>
            <w:r w:rsidRPr="00AF7C94">
              <w:rPr>
                <w:rFonts w:ascii="Times New Roman" w:eastAsia="標楷體" w:hAnsi="Times New Roman" w:cs="Times New Roman"/>
                <w:color w:val="000000" w:themeColor="text1"/>
                <w:kern w:val="0"/>
                <w:sz w:val="18"/>
              </w:rPr>
              <w:t>季</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10,556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11,411</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7.3</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5,706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6,351</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12.9</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4,847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5,063</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858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1,290</w:t>
            </w:r>
          </w:p>
        </w:tc>
      </w:tr>
      <w:tr w:rsidR="007E3448" w:rsidRPr="00AF7C94" w:rsidTr="00FD6A5E">
        <w:trPr>
          <w:trHeight w:val="227"/>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4</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2015</w:t>
            </w:r>
            <w:r w:rsidRPr="00AF7C94">
              <w:rPr>
                <w:rFonts w:ascii="Times New Roman" w:eastAsia="標楷體" w:hAnsi="Times New Roman" w:cs="Times New Roman"/>
                <w:color w:val="000000" w:themeColor="text1"/>
                <w:kern w:val="0"/>
                <w:sz w:val="18"/>
              </w:rPr>
              <w:t>年</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1</w:t>
            </w:r>
            <w:r w:rsidRPr="00AF7C94">
              <w:rPr>
                <w:rFonts w:ascii="Times New Roman" w:eastAsia="標楷體" w:hAnsi="Times New Roman" w:cs="Times New Roman"/>
                <w:color w:val="000000" w:themeColor="text1"/>
                <w:kern w:val="0"/>
                <w:sz w:val="18"/>
              </w:rPr>
              <w:t>季</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11,405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39,586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9,041</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-6.3</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6,457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22,765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5,139</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4.7</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4,947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16,820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3,902</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-17.6</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1,509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5,945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1,236</w:t>
            </w:r>
          </w:p>
        </w:tc>
      </w:tr>
      <w:tr w:rsidR="007E3448" w:rsidRPr="00AF7C94" w:rsidTr="00FD6A5E">
        <w:trPr>
          <w:trHeight w:val="227"/>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2</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3</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4</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2016</w:t>
            </w:r>
            <w:r w:rsidRPr="00AF7C94">
              <w:rPr>
                <w:rFonts w:ascii="Times New Roman" w:eastAsia="標楷體" w:hAnsi="Times New Roman" w:cs="Times New Roman"/>
                <w:color w:val="000000" w:themeColor="text1"/>
                <w:kern w:val="0"/>
                <w:sz w:val="18"/>
              </w:rPr>
              <w:t>年</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 xml:space="preserve">        </w:t>
            </w: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1</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2</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3</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4</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2017</w:t>
            </w:r>
            <w:r w:rsidRPr="00AF7C94">
              <w:rPr>
                <w:rFonts w:ascii="Times New Roman" w:eastAsia="標楷體" w:hAnsi="Times New Roman" w:cs="Times New Roman"/>
                <w:color w:val="000000" w:themeColor="text1"/>
                <w:kern w:val="0"/>
                <w:sz w:val="18"/>
              </w:rPr>
              <w:t>年</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9,779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10,221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10,545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36,849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8,021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9,105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9,650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10,073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41,044</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11.4</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5,590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5,912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6,124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20,974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4,639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5,215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5,516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5,604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22,634</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-0.06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7.9</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4,187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4,311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4,420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15,874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3,382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3,889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4,135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4,468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18,409</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-7.1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15.9</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1,400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1,604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1,705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5,099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1,257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1,325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1,381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1,136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4,225</w:t>
            </w:r>
          </w:p>
        </w:tc>
      </w:tr>
      <w:tr w:rsidR="007E3448" w:rsidRPr="00AF7C94" w:rsidTr="00FD6A5E">
        <w:trPr>
          <w:trHeight w:val="956"/>
          <w:jc w:val="center"/>
        </w:trPr>
        <w:tc>
          <w:tcPr>
            <w:tcW w:w="1767" w:type="dxa"/>
            <w:tcBorders>
              <w:top w:val="nil"/>
              <w:left w:val="nil"/>
              <w:bottom w:val="nil"/>
              <w:right w:val="single" w:sz="4" w:space="0" w:color="auto"/>
            </w:tcBorders>
            <w:vAlign w:val="center"/>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1</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2</w:t>
            </w:r>
            <w:r w:rsidRPr="00AF7C94">
              <w:rPr>
                <w:rFonts w:ascii="Times New Roman" w:eastAsia="標楷體" w:hAnsi="Times New Roman" w:cs="Times New Roman"/>
                <w:color w:val="000000" w:themeColor="text1"/>
                <w:kern w:val="0"/>
                <w:sz w:val="18"/>
              </w:rPr>
              <w:t>季</w:t>
            </w:r>
            <w:r w:rsidRPr="00AF7C94">
              <w:rPr>
                <w:rFonts w:ascii="Times New Roman" w:eastAsia="標楷體" w:hAnsi="Times New Roman" w:cs="Times New Roman"/>
                <w:color w:val="000000" w:themeColor="text1"/>
                <w:kern w:val="0"/>
                <w:sz w:val="18"/>
              </w:rPr>
              <w:t xml:space="preserve">   </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 xml:space="preserve">     </w:t>
            </w: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3</w:t>
            </w:r>
            <w:r w:rsidRPr="00AF7C94">
              <w:rPr>
                <w:rFonts w:ascii="Times New Roman" w:eastAsia="標楷體" w:hAnsi="Times New Roman" w:cs="Times New Roman"/>
                <w:color w:val="000000" w:themeColor="text1"/>
                <w:kern w:val="0"/>
                <w:sz w:val="18"/>
              </w:rPr>
              <w:t>季</w:t>
            </w:r>
            <w:r w:rsidRPr="00AF7C94">
              <w:rPr>
                <w:rFonts w:ascii="Times New Roman" w:eastAsia="標楷體" w:hAnsi="Times New Roman" w:cs="Times New Roman"/>
                <w:color w:val="000000" w:themeColor="text1"/>
                <w:kern w:val="0"/>
                <w:sz w:val="18"/>
              </w:rPr>
              <w:t xml:space="preserve">      </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4</w:t>
            </w:r>
            <w:r w:rsidRPr="00AF7C94">
              <w:rPr>
                <w:rFonts w:ascii="Times New Roman" w:eastAsia="標楷體" w:hAnsi="Times New Roman" w:cs="Times New Roman"/>
                <w:color w:val="000000" w:themeColor="text1"/>
                <w:kern w:val="0"/>
                <w:sz w:val="18"/>
              </w:rPr>
              <w:t>季</w:t>
            </w:r>
            <w:r w:rsidRPr="00AF7C94">
              <w:rPr>
                <w:rFonts w:ascii="Times New Roman" w:eastAsia="標楷體" w:hAnsi="Times New Roman" w:cs="Times New Roman"/>
                <w:color w:val="000000" w:themeColor="text1"/>
                <w:kern w:val="0"/>
                <w:sz w:val="18"/>
              </w:rPr>
              <w:t xml:space="preserve">     </w:t>
            </w:r>
          </w:p>
        </w:tc>
        <w:tc>
          <w:tcPr>
            <w:tcW w:w="1134"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8,999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10,144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10,550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11,351</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15.0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12.7</w:t>
            </w:r>
          </w:p>
        </w:tc>
        <w:tc>
          <w:tcPr>
            <w:tcW w:w="103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4,827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5,645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5,891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6,271</w:t>
            </w:r>
          </w:p>
        </w:tc>
        <w:tc>
          <w:tcPr>
            <w:tcW w:w="96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11.9</w:t>
            </w:r>
          </w:p>
        </w:tc>
        <w:tc>
          <w:tcPr>
            <w:tcW w:w="1111"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4,171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4,451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4,742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5,045</w:t>
            </w:r>
          </w:p>
        </w:tc>
        <w:tc>
          <w:tcPr>
            <w:tcW w:w="886" w:type="dxa"/>
            <w:tcBorders>
              <w:top w:val="nil"/>
              <w:left w:val="single" w:sz="4" w:space="0" w:color="auto"/>
              <w:bottom w:val="nil"/>
              <w:right w:val="single" w:sz="4" w:space="0" w:color="auto"/>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24.0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12.9</w:t>
            </w:r>
          </w:p>
        </w:tc>
        <w:tc>
          <w:tcPr>
            <w:tcW w:w="1415" w:type="dxa"/>
            <w:gridSpan w:val="2"/>
            <w:tcBorders>
              <w:top w:val="nil"/>
              <w:left w:val="single" w:sz="4" w:space="0" w:color="auto"/>
              <w:bottom w:val="nil"/>
              <w:right w:val="nil"/>
            </w:tcBorders>
            <w:noWrap/>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656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1,194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1,148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1227</w:t>
            </w:r>
          </w:p>
        </w:tc>
      </w:tr>
      <w:tr w:rsidR="007E3448" w:rsidRPr="00AF7C94" w:rsidTr="00FD6A5E">
        <w:trPr>
          <w:trHeight w:val="758"/>
          <w:jc w:val="center"/>
        </w:trPr>
        <w:tc>
          <w:tcPr>
            <w:tcW w:w="1767" w:type="dxa"/>
            <w:tcBorders>
              <w:top w:val="nil"/>
              <w:left w:val="nil"/>
              <w:bottom w:val="single" w:sz="4" w:space="0" w:color="auto"/>
              <w:right w:val="single" w:sz="4" w:space="0" w:color="auto"/>
            </w:tcBorders>
            <w:vAlign w:val="center"/>
          </w:tcPr>
          <w:p w:rsidR="007E3448" w:rsidRPr="00AF7C94" w:rsidRDefault="007E3448" w:rsidP="00FD6A5E">
            <w:pPr>
              <w:widowControl/>
              <w:adjustRightInd w:val="0"/>
              <w:snapToGrid w:val="0"/>
              <w:spacing w:line="0" w:lineRule="atLeast"/>
              <w:jc w:val="center"/>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2018</w:t>
            </w:r>
            <w:r w:rsidRPr="00AF7C94">
              <w:rPr>
                <w:rFonts w:ascii="Times New Roman" w:eastAsia="標楷體" w:hAnsi="Times New Roman" w:cs="Times New Roman"/>
                <w:color w:val="000000" w:themeColor="text1"/>
                <w:kern w:val="0"/>
                <w:sz w:val="18"/>
              </w:rPr>
              <w:t>年</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1</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2</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3</w:t>
            </w:r>
            <w:r w:rsidRPr="00AF7C94">
              <w:rPr>
                <w:rFonts w:ascii="Times New Roman" w:eastAsia="標楷體" w:hAnsi="Times New Roman" w:cs="Times New Roman"/>
                <w:color w:val="000000" w:themeColor="text1"/>
                <w:kern w:val="0"/>
                <w:sz w:val="18"/>
              </w:rPr>
              <w:t>季</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第</w:t>
            </w:r>
            <w:r w:rsidRPr="00AF7C94">
              <w:rPr>
                <w:rFonts w:ascii="Times New Roman" w:eastAsia="標楷體" w:hAnsi="Times New Roman" w:cs="Times New Roman"/>
                <w:color w:val="000000" w:themeColor="text1"/>
                <w:kern w:val="0"/>
                <w:sz w:val="18"/>
              </w:rPr>
              <w:t>4</w:t>
            </w:r>
            <w:r w:rsidRPr="00AF7C94">
              <w:rPr>
                <w:rFonts w:ascii="Times New Roman" w:eastAsia="標楷體" w:hAnsi="Times New Roman" w:cs="Times New Roman"/>
                <w:color w:val="000000" w:themeColor="text1"/>
                <w:kern w:val="0"/>
                <w:sz w:val="18"/>
              </w:rPr>
              <w:t>季</w:t>
            </w:r>
          </w:p>
        </w:tc>
        <w:tc>
          <w:tcPr>
            <w:tcW w:w="1134"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46,230</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10,421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11,637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12,261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11,911</w:t>
            </w:r>
          </w:p>
        </w:tc>
        <w:tc>
          <w:tcPr>
            <w:tcW w:w="1036"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12.6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16.2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4.9</w:t>
            </w:r>
          </w:p>
        </w:tc>
        <w:tc>
          <w:tcPr>
            <w:tcW w:w="1036"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24,874</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5,452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6,275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6,539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6,608</w:t>
            </w:r>
          </w:p>
        </w:tc>
        <w:tc>
          <w:tcPr>
            <w:tcW w:w="966"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14.1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11.2</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10.9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5.3</w:t>
            </w:r>
          </w:p>
        </w:tc>
        <w:tc>
          <w:tcPr>
            <w:tcW w:w="1111"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21,356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4,968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5,363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5,721</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5,304</w:t>
            </w:r>
          </w:p>
        </w:tc>
        <w:tc>
          <w:tcPr>
            <w:tcW w:w="886" w:type="dxa"/>
            <w:tcBorders>
              <w:top w:val="nil"/>
              <w:left w:val="single" w:sz="4" w:space="0" w:color="auto"/>
              <w:bottom w:val="single" w:sz="4" w:space="0" w:color="auto"/>
              <w:right w:val="single" w:sz="4" w:space="0" w:color="auto"/>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15.8</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18.9</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20.5</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20.6</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5.1</w:t>
            </w:r>
          </w:p>
        </w:tc>
        <w:tc>
          <w:tcPr>
            <w:tcW w:w="1415" w:type="dxa"/>
            <w:gridSpan w:val="2"/>
            <w:tcBorders>
              <w:top w:val="nil"/>
              <w:left w:val="single" w:sz="4" w:space="0" w:color="auto"/>
              <w:bottom w:val="single" w:sz="4" w:space="0" w:color="auto"/>
              <w:right w:val="nil"/>
            </w:tcBorders>
            <w:noWrap/>
            <w:vAlign w:val="bottom"/>
          </w:tcPr>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3,517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483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913</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817</w:t>
            </w:r>
          </w:p>
          <w:p w:rsidR="007E3448" w:rsidRPr="00AF7C94" w:rsidRDefault="007E3448" w:rsidP="00FD6A5E">
            <w:pPr>
              <w:widowControl/>
              <w:adjustRightInd w:val="0"/>
              <w:snapToGrid w:val="0"/>
              <w:spacing w:line="0" w:lineRule="atLeast"/>
              <w:jc w:val="right"/>
              <w:rPr>
                <w:rFonts w:ascii="Times New Roman" w:eastAsia="標楷體" w:hAnsi="Times New Roman" w:cs="Times New Roman"/>
                <w:color w:val="000000" w:themeColor="text1"/>
                <w:kern w:val="0"/>
                <w:sz w:val="18"/>
              </w:rPr>
            </w:pPr>
            <w:r w:rsidRPr="00AF7C94">
              <w:rPr>
                <w:rFonts w:ascii="Times New Roman" w:eastAsia="標楷體" w:hAnsi="Times New Roman" w:cs="Times New Roman"/>
                <w:color w:val="000000" w:themeColor="text1"/>
                <w:kern w:val="0"/>
                <w:sz w:val="18"/>
              </w:rPr>
              <w:t>1,304</w:t>
            </w:r>
          </w:p>
        </w:tc>
      </w:tr>
    </w:tbl>
    <w:p w:rsidR="007E3448" w:rsidRPr="00AF7C94" w:rsidRDefault="00AF7C94" w:rsidP="007E3448">
      <w:pPr>
        <w:widowControl/>
        <w:spacing w:line="260" w:lineRule="atLeast"/>
        <w:ind w:leftChars="-118" w:left="-283"/>
        <w:rPr>
          <w:rFonts w:ascii="Times New Roman" w:eastAsia="標楷體" w:hAnsi="Times New Roman" w:cs="Times New Roman"/>
          <w:color w:val="000000" w:themeColor="text1"/>
          <w:sz w:val="20"/>
        </w:rPr>
      </w:pPr>
      <w:proofErr w:type="gramStart"/>
      <w:r w:rsidRPr="00AF7C94">
        <w:rPr>
          <w:rFonts w:ascii="Times New Roman" w:eastAsia="標楷體" w:hAnsi="Times New Roman" w:cs="Times New Roman"/>
          <w:color w:val="000000" w:themeColor="text1"/>
          <w:sz w:val="20"/>
        </w:rPr>
        <w:t>註</w:t>
      </w:r>
      <w:proofErr w:type="gramEnd"/>
      <w:r w:rsidR="007E3448" w:rsidRPr="00AF7C94">
        <w:rPr>
          <w:rFonts w:ascii="Times New Roman" w:eastAsia="標楷體" w:hAnsi="Times New Roman" w:cs="Times New Roman"/>
          <w:color w:val="000000" w:themeColor="text1"/>
          <w:sz w:val="20"/>
        </w:rPr>
        <w:t>：年</w:t>
      </w:r>
      <w:proofErr w:type="gramStart"/>
      <w:r w:rsidR="007E3448" w:rsidRPr="00AF7C94">
        <w:rPr>
          <w:rFonts w:ascii="Times New Roman" w:eastAsia="標楷體" w:hAnsi="Times New Roman" w:cs="Times New Roman"/>
          <w:color w:val="000000" w:themeColor="text1"/>
          <w:sz w:val="20"/>
        </w:rPr>
        <w:t>增率係指</w:t>
      </w:r>
      <w:proofErr w:type="gramEnd"/>
      <w:r w:rsidR="007E3448" w:rsidRPr="00AF7C94">
        <w:rPr>
          <w:rFonts w:ascii="Times New Roman" w:eastAsia="標楷體" w:hAnsi="Times New Roman" w:cs="Times New Roman"/>
          <w:color w:val="000000" w:themeColor="text1"/>
          <w:sz w:val="20"/>
        </w:rPr>
        <w:t>較上年或上年同期增減比率。</w:t>
      </w:r>
      <w:r w:rsidR="00B47D1F" w:rsidRPr="00B47D1F">
        <w:rPr>
          <w:rFonts w:ascii="Times New Roman" w:eastAsia="標楷體" w:hAnsi="Times New Roman" w:cs="Times New Roman" w:hint="eastAsia"/>
          <w:color w:val="000000" w:themeColor="text1"/>
          <w:sz w:val="20"/>
        </w:rPr>
        <w:t>資料來源：中國大陸海關總署、</w:t>
      </w:r>
      <w:r w:rsidR="00B47D1F" w:rsidRPr="00B47D1F">
        <w:rPr>
          <w:rFonts w:ascii="Times New Roman" w:eastAsia="標楷體" w:hAnsi="Times New Roman" w:cs="Times New Roman" w:hint="eastAsia"/>
          <w:color w:val="000000" w:themeColor="text1"/>
          <w:sz w:val="20"/>
        </w:rPr>
        <w:t>CEIC</w:t>
      </w:r>
      <w:r w:rsidR="00B47D1F" w:rsidRPr="00B47D1F">
        <w:rPr>
          <w:rFonts w:ascii="Times New Roman" w:eastAsia="標楷體" w:hAnsi="Times New Roman" w:cs="Times New Roman" w:hint="eastAsia"/>
          <w:color w:val="000000" w:themeColor="text1"/>
          <w:sz w:val="20"/>
        </w:rPr>
        <w:t>資料庫。</w:t>
      </w:r>
    </w:p>
    <w:p w:rsidR="007E3448" w:rsidRPr="00897A0D" w:rsidRDefault="007E3448" w:rsidP="00FD6A5E">
      <w:pPr>
        <w:widowControl/>
        <w:autoSpaceDE w:val="0"/>
        <w:snapToGrid w:val="0"/>
        <w:spacing w:beforeLines="25" w:before="90" w:line="480" w:lineRule="exact"/>
        <w:ind w:left="568"/>
        <w:jc w:val="both"/>
        <w:rPr>
          <w:rFonts w:ascii="Times New Roman" w:eastAsia="標楷體" w:hAnsi="Times New Roman" w:cs="Times New Roman"/>
          <w:color w:val="000000" w:themeColor="text1"/>
          <w:sz w:val="28"/>
          <w:szCs w:val="32"/>
        </w:rPr>
      </w:pPr>
      <w:r w:rsidRPr="00897A0D">
        <w:rPr>
          <w:rFonts w:ascii="Times New Roman" w:eastAsia="標楷體" w:hAnsi="Times New Roman" w:cs="Times New Roman"/>
          <w:b/>
          <w:color w:val="000000" w:themeColor="text1"/>
          <w:sz w:val="28"/>
          <w:szCs w:val="32"/>
        </w:rPr>
        <w:lastRenderedPageBreak/>
        <w:t>4.</w:t>
      </w:r>
      <w:r w:rsidRPr="00897A0D">
        <w:rPr>
          <w:rFonts w:ascii="Times New Roman" w:eastAsia="標楷體" w:hAnsi="Times New Roman" w:cs="Times New Roman"/>
          <w:b/>
          <w:color w:val="000000" w:themeColor="text1"/>
          <w:sz w:val="28"/>
          <w:szCs w:val="32"/>
        </w:rPr>
        <w:t>工業生產動能疲弱</w:t>
      </w:r>
    </w:p>
    <w:p w:rsidR="007E3448" w:rsidRPr="00897A0D" w:rsidRDefault="007E3448" w:rsidP="00FD6A5E">
      <w:pPr>
        <w:widowControl/>
        <w:autoSpaceDE w:val="0"/>
        <w:snapToGrid w:val="0"/>
        <w:spacing w:beforeLines="25" w:before="90" w:line="48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897A0D">
        <w:rPr>
          <w:rFonts w:ascii="Times New Roman" w:eastAsia="標楷體" w:hAnsi="Times New Roman" w:cs="Times New Roman"/>
          <w:b/>
          <w:color w:val="000000" w:themeColor="text1"/>
          <w:sz w:val="28"/>
          <w:szCs w:val="32"/>
        </w:rPr>
        <w:t>─</w:t>
      </w:r>
      <w:proofErr w:type="gramEnd"/>
      <w:r w:rsidRPr="00897A0D">
        <w:rPr>
          <w:rFonts w:ascii="Times New Roman" w:eastAsia="標楷體" w:hAnsi="Times New Roman" w:cs="Times New Roman"/>
          <w:b/>
          <w:color w:val="000000" w:themeColor="text1"/>
          <w:sz w:val="28"/>
          <w:szCs w:val="32"/>
        </w:rPr>
        <w:t>工業成長持續縮減：</w:t>
      </w:r>
      <w:r w:rsidRPr="00897A0D">
        <w:rPr>
          <w:rFonts w:ascii="Times New Roman" w:eastAsia="標楷體" w:hAnsi="Times New Roman" w:cs="Times New Roman"/>
          <w:color w:val="000000" w:themeColor="text1"/>
          <w:sz w:val="28"/>
          <w:szCs w:val="32"/>
        </w:rPr>
        <w:t>受到國內消費與投資疲弱影響，</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年中國大陸全國規模以上</w:t>
      </w:r>
      <w:r w:rsidR="000C5E7C" w:rsidRPr="00897A0D">
        <w:rPr>
          <w:rFonts w:ascii="Times New Roman" w:eastAsia="標楷體" w:hAnsi="Times New Roman" w:cs="Times New Roman"/>
          <w:color w:val="000000" w:themeColor="text1"/>
          <w:sz w:val="28"/>
          <w:szCs w:val="32"/>
        </w:rPr>
        <w:t>工業增加值</w:t>
      </w:r>
      <w:r w:rsidRPr="00897A0D">
        <w:rPr>
          <w:rStyle w:val="ae"/>
          <w:rFonts w:ascii="Times New Roman" w:eastAsia="標楷體" w:hAnsi="Times New Roman" w:cs="Times New Roman"/>
          <w:color w:val="000000" w:themeColor="text1"/>
          <w:sz w:val="28"/>
          <w:szCs w:val="32"/>
        </w:rPr>
        <w:footnoteReference w:id="2"/>
      </w:r>
      <w:r w:rsidRPr="00897A0D">
        <w:rPr>
          <w:rFonts w:ascii="Times New Roman" w:eastAsia="標楷體" w:hAnsi="Times New Roman" w:cs="Times New Roman"/>
          <w:color w:val="000000" w:themeColor="text1"/>
          <w:sz w:val="28"/>
          <w:szCs w:val="32"/>
        </w:rPr>
        <w:t>成長</w:t>
      </w:r>
      <w:r w:rsidRPr="00897A0D">
        <w:rPr>
          <w:rFonts w:ascii="Times New Roman" w:eastAsia="標楷體" w:hAnsi="Times New Roman" w:cs="Times New Roman"/>
          <w:color w:val="000000" w:themeColor="text1"/>
          <w:sz w:val="28"/>
          <w:szCs w:val="32"/>
        </w:rPr>
        <w:t>6.2%</w:t>
      </w:r>
      <w:r w:rsidRPr="00897A0D">
        <w:rPr>
          <w:rFonts w:ascii="Times New Roman" w:eastAsia="標楷體" w:hAnsi="Times New Roman" w:cs="Times New Roman"/>
          <w:color w:val="000000" w:themeColor="text1"/>
          <w:sz w:val="28"/>
          <w:szCs w:val="32"/>
        </w:rPr>
        <w:t>，較上年減少</w:t>
      </w:r>
      <w:r w:rsidRPr="00897A0D">
        <w:rPr>
          <w:rFonts w:ascii="Times New Roman" w:eastAsia="標楷體" w:hAnsi="Times New Roman" w:cs="Times New Roman"/>
          <w:color w:val="000000" w:themeColor="text1"/>
          <w:sz w:val="28"/>
          <w:szCs w:val="32"/>
        </w:rPr>
        <w:t>0.4</w:t>
      </w:r>
      <w:r w:rsidRPr="00897A0D">
        <w:rPr>
          <w:rFonts w:ascii="Times New Roman" w:eastAsia="標楷體" w:hAnsi="Times New Roman" w:cs="Times New Roman"/>
          <w:color w:val="000000" w:themeColor="text1"/>
          <w:sz w:val="28"/>
          <w:szCs w:val="32"/>
        </w:rPr>
        <w:t>個百分點。其中，</w:t>
      </w:r>
      <w:r w:rsidR="00A1006A">
        <w:rPr>
          <w:rFonts w:ascii="Times New Roman" w:eastAsia="標楷體" w:hAnsi="Times New Roman" w:cs="Times New Roman" w:hint="eastAsia"/>
          <w:color w:val="000000" w:themeColor="text1"/>
          <w:sz w:val="28"/>
          <w:szCs w:val="32"/>
        </w:rPr>
        <w:t>各</w:t>
      </w:r>
      <w:r w:rsidRPr="00897A0D">
        <w:rPr>
          <w:rFonts w:ascii="Times New Roman" w:eastAsia="標楷體" w:hAnsi="Times New Roman" w:cs="Times New Roman"/>
          <w:color w:val="000000" w:themeColor="text1"/>
          <w:sz w:val="28"/>
          <w:szCs w:val="32"/>
        </w:rPr>
        <w:t>季工業增加值分別為</w:t>
      </w:r>
      <w:r w:rsidRPr="00897A0D">
        <w:rPr>
          <w:rFonts w:ascii="Times New Roman" w:eastAsia="標楷體" w:hAnsi="Times New Roman" w:cs="Times New Roman"/>
          <w:color w:val="000000" w:themeColor="text1"/>
          <w:sz w:val="28"/>
          <w:szCs w:val="32"/>
        </w:rPr>
        <w:t>6.8%</w:t>
      </w:r>
      <w:r w:rsidRPr="00897A0D">
        <w:rPr>
          <w:rFonts w:ascii="Times New Roman" w:eastAsia="標楷體" w:hAnsi="Times New Roman" w:cs="Times New Roman"/>
          <w:color w:val="000000" w:themeColor="text1"/>
          <w:sz w:val="28"/>
          <w:szCs w:val="32"/>
        </w:rPr>
        <w:t>、</w:t>
      </w:r>
      <w:r w:rsidRPr="00897A0D">
        <w:rPr>
          <w:rFonts w:ascii="Times New Roman" w:eastAsia="標楷體" w:hAnsi="Times New Roman" w:cs="Times New Roman"/>
          <w:color w:val="000000" w:themeColor="text1"/>
          <w:sz w:val="28"/>
          <w:szCs w:val="32"/>
        </w:rPr>
        <w:t>6.6%</w:t>
      </w:r>
      <w:r w:rsidRPr="00897A0D">
        <w:rPr>
          <w:rFonts w:ascii="Times New Roman" w:eastAsia="標楷體" w:hAnsi="Times New Roman" w:cs="Times New Roman"/>
          <w:color w:val="000000" w:themeColor="text1"/>
          <w:sz w:val="28"/>
          <w:szCs w:val="32"/>
        </w:rPr>
        <w:t>、</w:t>
      </w:r>
      <w:r w:rsidRPr="00897A0D">
        <w:rPr>
          <w:rFonts w:ascii="Times New Roman" w:eastAsia="標楷體" w:hAnsi="Times New Roman" w:cs="Times New Roman"/>
          <w:color w:val="000000" w:themeColor="text1"/>
          <w:sz w:val="28"/>
          <w:szCs w:val="32"/>
        </w:rPr>
        <w:t>6.0%</w:t>
      </w:r>
      <w:r w:rsidRPr="00897A0D">
        <w:rPr>
          <w:rFonts w:ascii="Times New Roman" w:eastAsia="標楷體" w:hAnsi="Times New Roman" w:cs="Times New Roman"/>
          <w:color w:val="000000" w:themeColor="text1"/>
          <w:sz w:val="28"/>
          <w:szCs w:val="32"/>
        </w:rPr>
        <w:t>及</w:t>
      </w:r>
      <w:r w:rsidRPr="00897A0D">
        <w:rPr>
          <w:rFonts w:ascii="Times New Roman" w:eastAsia="標楷體" w:hAnsi="Times New Roman" w:cs="Times New Roman"/>
          <w:color w:val="000000" w:themeColor="text1"/>
          <w:sz w:val="28"/>
          <w:szCs w:val="32"/>
        </w:rPr>
        <w:t>5.4%</w:t>
      </w:r>
      <w:r w:rsidRPr="00897A0D">
        <w:rPr>
          <w:rFonts w:ascii="Times New Roman" w:eastAsia="標楷體" w:hAnsi="Times New Roman" w:cs="Times New Roman"/>
          <w:color w:val="000000" w:themeColor="text1"/>
          <w:sz w:val="28"/>
          <w:szCs w:val="32"/>
        </w:rPr>
        <w:t>，成長幅度逐季走緩。</w:t>
      </w:r>
      <w:proofErr w:type="gramStart"/>
      <w:r w:rsidRPr="00897A0D">
        <w:rPr>
          <w:rFonts w:ascii="Times New Roman" w:eastAsia="標楷體" w:hAnsi="Times New Roman" w:cs="Times New Roman"/>
          <w:color w:val="000000" w:themeColor="text1"/>
          <w:sz w:val="28"/>
          <w:szCs w:val="32"/>
        </w:rPr>
        <w:t>另</w:t>
      </w:r>
      <w:proofErr w:type="gramEnd"/>
      <w:r w:rsidRPr="00897A0D">
        <w:rPr>
          <w:rFonts w:ascii="Times New Roman" w:eastAsia="標楷體" w:hAnsi="Times New Roman" w:cs="Times New Roman"/>
          <w:color w:val="000000" w:themeColor="text1"/>
          <w:sz w:val="28"/>
          <w:szCs w:val="32"/>
        </w:rPr>
        <w:t>，專用設備與電腦、通信電子設備等製造業則維持兩位數的成長，是支撐工業生產成長的主要動能。</w:t>
      </w:r>
      <w:r w:rsidRPr="00897A0D">
        <w:rPr>
          <w:rFonts w:ascii="Times New Roman" w:eastAsia="標楷體" w:hAnsi="Times New Roman" w:cs="Times New Roman"/>
          <w:color w:val="000000" w:themeColor="text1"/>
          <w:sz w:val="28"/>
          <w:szCs w:val="32"/>
        </w:rPr>
        <w:t xml:space="preserve"> </w:t>
      </w:r>
    </w:p>
    <w:p w:rsidR="007E3448" w:rsidRPr="00897A0D" w:rsidRDefault="007E3448" w:rsidP="00FD6A5E">
      <w:pPr>
        <w:widowControl/>
        <w:autoSpaceDE w:val="0"/>
        <w:snapToGrid w:val="0"/>
        <w:spacing w:beforeLines="25" w:before="90" w:line="480" w:lineRule="exact"/>
        <w:ind w:leftChars="236" w:left="849" w:hangingChars="101" w:hanging="283"/>
        <w:jc w:val="both"/>
        <w:rPr>
          <w:rFonts w:ascii="Times New Roman" w:eastAsia="標楷體" w:hAnsi="Times New Roman" w:cs="Times New Roman"/>
          <w:color w:val="000000" w:themeColor="text1"/>
          <w:sz w:val="28"/>
          <w:szCs w:val="32"/>
        </w:rPr>
      </w:pPr>
      <w:proofErr w:type="gramStart"/>
      <w:r w:rsidRPr="00897A0D">
        <w:rPr>
          <w:rFonts w:ascii="Times New Roman" w:eastAsia="標楷體" w:hAnsi="Times New Roman" w:cs="Times New Roman"/>
          <w:color w:val="000000" w:themeColor="text1"/>
          <w:sz w:val="28"/>
          <w:szCs w:val="32"/>
        </w:rPr>
        <w:t>─</w:t>
      </w:r>
      <w:proofErr w:type="gramEnd"/>
      <w:r w:rsidRPr="00897A0D">
        <w:rPr>
          <w:rFonts w:ascii="Times New Roman" w:eastAsia="標楷體" w:hAnsi="Times New Roman" w:cs="Times New Roman"/>
          <w:b/>
          <w:color w:val="000000" w:themeColor="text1"/>
          <w:sz w:val="28"/>
          <w:szCs w:val="32"/>
        </w:rPr>
        <w:t>製造業疲態顯著</w:t>
      </w:r>
      <w:r w:rsidRPr="00897A0D">
        <w:rPr>
          <w:rFonts w:ascii="Times New Roman" w:eastAsia="標楷體" w:hAnsi="Times New Roman" w:cs="Times New Roman"/>
          <w:color w:val="000000" w:themeColor="text1"/>
          <w:sz w:val="28"/>
          <w:szCs w:val="32"/>
        </w:rPr>
        <w:t>：</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12</w:t>
      </w:r>
      <w:r w:rsidRPr="00897A0D">
        <w:rPr>
          <w:rFonts w:ascii="Times New Roman" w:eastAsia="標楷體" w:hAnsi="Times New Roman" w:cs="Times New Roman"/>
          <w:color w:val="000000" w:themeColor="text1"/>
          <w:sz w:val="28"/>
          <w:szCs w:val="32"/>
        </w:rPr>
        <w:t>月官方</w:t>
      </w:r>
      <w:r w:rsidRPr="00897A0D">
        <w:rPr>
          <w:rFonts w:ascii="Times New Roman" w:eastAsia="標楷體" w:hAnsi="Times New Roman" w:cs="Times New Roman"/>
          <w:color w:val="000000" w:themeColor="text1"/>
          <w:sz w:val="28"/>
          <w:szCs w:val="32"/>
        </w:rPr>
        <w:t>PMI</w:t>
      </w:r>
      <w:r w:rsidRPr="00897A0D">
        <w:rPr>
          <w:rFonts w:ascii="Times New Roman" w:eastAsia="標楷體" w:hAnsi="Times New Roman" w:cs="Times New Roman"/>
          <w:color w:val="000000" w:themeColor="text1"/>
          <w:sz w:val="28"/>
          <w:szCs w:val="32"/>
        </w:rPr>
        <w:t>降至</w:t>
      </w:r>
      <w:r w:rsidRPr="00897A0D">
        <w:rPr>
          <w:rFonts w:ascii="Times New Roman" w:eastAsia="標楷體" w:hAnsi="Times New Roman" w:cs="Times New Roman"/>
          <w:color w:val="000000" w:themeColor="text1"/>
          <w:sz w:val="28"/>
          <w:szCs w:val="32"/>
        </w:rPr>
        <w:t>49.4</w:t>
      </w:r>
      <w:r w:rsidRPr="00897A0D">
        <w:rPr>
          <w:rFonts w:ascii="Times New Roman" w:eastAsia="標楷體" w:hAnsi="Times New Roman" w:cs="Times New Roman"/>
          <w:color w:val="000000" w:themeColor="text1"/>
          <w:sz w:val="28"/>
          <w:szCs w:val="32"/>
        </w:rPr>
        <w:t>，創</w:t>
      </w:r>
      <w:r w:rsidRPr="00897A0D">
        <w:rPr>
          <w:rFonts w:ascii="Times New Roman" w:eastAsia="標楷體" w:hAnsi="Times New Roman" w:cs="Times New Roman"/>
          <w:color w:val="000000" w:themeColor="text1"/>
          <w:sz w:val="28"/>
          <w:szCs w:val="32"/>
        </w:rPr>
        <w:t>2016</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3</w:t>
      </w:r>
      <w:r w:rsidRPr="00897A0D">
        <w:rPr>
          <w:rFonts w:ascii="Times New Roman" w:eastAsia="標楷體" w:hAnsi="Times New Roman" w:cs="Times New Roman"/>
          <w:color w:val="000000" w:themeColor="text1"/>
          <w:sz w:val="28"/>
          <w:szCs w:val="32"/>
        </w:rPr>
        <w:t>月以來新低，</w:t>
      </w:r>
      <w:proofErr w:type="gramStart"/>
      <w:r w:rsidRPr="00897A0D">
        <w:rPr>
          <w:rFonts w:ascii="Times New Roman" w:eastAsia="標楷體" w:hAnsi="Times New Roman" w:cs="Times New Roman"/>
          <w:color w:val="000000" w:themeColor="text1"/>
          <w:sz w:val="28"/>
          <w:szCs w:val="32"/>
        </w:rPr>
        <w:t>財新中國</w:t>
      </w:r>
      <w:proofErr w:type="gramEnd"/>
      <w:r w:rsidRPr="00897A0D">
        <w:rPr>
          <w:rFonts w:ascii="Times New Roman" w:eastAsia="標楷體" w:hAnsi="Times New Roman" w:cs="Times New Roman"/>
          <w:color w:val="000000" w:themeColor="text1"/>
          <w:sz w:val="28"/>
          <w:szCs w:val="32"/>
        </w:rPr>
        <w:t>製造業</w:t>
      </w:r>
      <w:r w:rsidRPr="00897A0D">
        <w:rPr>
          <w:rFonts w:ascii="Times New Roman" w:eastAsia="標楷體" w:hAnsi="Times New Roman" w:cs="Times New Roman"/>
          <w:color w:val="000000" w:themeColor="text1"/>
          <w:sz w:val="28"/>
          <w:szCs w:val="32"/>
        </w:rPr>
        <w:t>PMI</w:t>
      </w:r>
      <w:r w:rsidRPr="00897A0D">
        <w:rPr>
          <w:rFonts w:ascii="Times New Roman" w:eastAsia="標楷體" w:hAnsi="Times New Roman" w:cs="Times New Roman"/>
          <w:color w:val="000000" w:themeColor="text1"/>
          <w:sz w:val="28"/>
          <w:szCs w:val="32"/>
        </w:rPr>
        <w:t>降至</w:t>
      </w:r>
      <w:r w:rsidRPr="00897A0D">
        <w:rPr>
          <w:rFonts w:ascii="Times New Roman" w:eastAsia="標楷體" w:hAnsi="Times New Roman" w:cs="Times New Roman"/>
          <w:color w:val="000000" w:themeColor="text1"/>
          <w:sz w:val="28"/>
          <w:szCs w:val="32"/>
        </w:rPr>
        <w:t>49.7</w:t>
      </w:r>
      <w:r w:rsidRPr="00897A0D">
        <w:rPr>
          <w:rFonts w:ascii="Times New Roman" w:eastAsia="標楷體" w:hAnsi="Times New Roman" w:cs="Times New Roman"/>
          <w:color w:val="000000" w:themeColor="text1"/>
          <w:sz w:val="28"/>
          <w:szCs w:val="32"/>
        </w:rPr>
        <w:t>，是</w:t>
      </w:r>
      <w:r w:rsidRPr="00897A0D">
        <w:rPr>
          <w:rFonts w:ascii="Times New Roman" w:eastAsia="標楷體" w:hAnsi="Times New Roman" w:cs="Times New Roman"/>
          <w:color w:val="000000" w:themeColor="text1"/>
          <w:sz w:val="28"/>
          <w:szCs w:val="32"/>
        </w:rPr>
        <w:t xml:space="preserve"> 2017 </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 xml:space="preserve"> 6 </w:t>
      </w:r>
      <w:r w:rsidRPr="00897A0D">
        <w:rPr>
          <w:rFonts w:ascii="Times New Roman" w:eastAsia="標楷體" w:hAnsi="Times New Roman" w:cs="Times New Roman"/>
          <w:color w:val="000000" w:themeColor="text1"/>
          <w:sz w:val="28"/>
          <w:szCs w:val="32"/>
        </w:rPr>
        <w:t>月以來首次跌至</w:t>
      </w:r>
      <w:proofErr w:type="gramStart"/>
      <w:r w:rsidRPr="00897A0D">
        <w:rPr>
          <w:rFonts w:ascii="Times New Roman" w:eastAsia="標楷體" w:hAnsi="Times New Roman" w:cs="Times New Roman"/>
          <w:color w:val="000000" w:themeColor="text1"/>
          <w:sz w:val="28"/>
          <w:szCs w:val="32"/>
        </w:rPr>
        <w:t>榮枯線以下</w:t>
      </w:r>
      <w:proofErr w:type="gramEnd"/>
      <w:r w:rsidRPr="00897A0D">
        <w:rPr>
          <w:rFonts w:ascii="Times New Roman" w:eastAsia="標楷體" w:hAnsi="Times New Roman" w:cs="Times New Roman"/>
          <w:color w:val="000000" w:themeColor="text1"/>
          <w:sz w:val="28"/>
          <w:szCs w:val="32"/>
        </w:rPr>
        <w:t>，顯示業界對未來的經營前景信心低迷。</w:t>
      </w:r>
      <w:proofErr w:type="gramStart"/>
      <w:r w:rsidRPr="00897A0D">
        <w:rPr>
          <w:rFonts w:ascii="Times New Roman" w:eastAsia="標楷體" w:hAnsi="Times New Roman" w:cs="Times New Roman"/>
          <w:color w:val="000000" w:themeColor="text1"/>
          <w:sz w:val="28"/>
          <w:szCs w:val="32"/>
        </w:rPr>
        <w:t>此外，</w:t>
      </w:r>
      <w:proofErr w:type="gramEnd"/>
      <w:r w:rsidRPr="00897A0D">
        <w:rPr>
          <w:rFonts w:ascii="Times New Roman" w:eastAsia="標楷體" w:hAnsi="Times New Roman" w:cs="Times New Roman"/>
          <w:color w:val="000000" w:themeColor="text1"/>
          <w:sz w:val="28"/>
          <w:szCs w:val="32"/>
        </w:rPr>
        <w:t>在訂單指數、就業指數、採購庫存指數和經營預期指數都出現下滑，顯示經濟下滑壓力擴增。</w:t>
      </w:r>
    </w:p>
    <w:p w:rsidR="007E3448" w:rsidRDefault="007E3448" w:rsidP="00FD6A5E">
      <w:pPr>
        <w:widowControl/>
        <w:tabs>
          <w:tab w:val="left" w:pos="567"/>
        </w:tabs>
        <w:autoSpaceDE w:val="0"/>
        <w:snapToGrid w:val="0"/>
        <w:spacing w:beforeLines="25" w:before="90" w:line="480" w:lineRule="exact"/>
        <w:jc w:val="center"/>
        <w:rPr>
          <w:rFonts w:ascii="標楷體" w:eastAsia="標楷體" w:hAnsi="標楷體"/>
          <w:b/>
          <w:color w:val="000000" w:themeColor="text1"/>
          <w:sz w:val="28"/>
          <w:szCs w:val="32"/>
        </w:rPr>
      </w:pPr>
      <w:r>
        <w:rPr>
          <w:rFonts w:eastAsia="標楷體"/>
          <w:noProof/>
          <w:color w:val="000000" w:themeColor="text1"/>
          <w:sz w:val="28"/>
          <w:szCs w:val="32"/>
        </w:rPr>
        <w:drawing>
          <wp:anchor distT="0" distB="0" distL="114300" distR="114300" simplePos="0" relativeHeight="251676672" behindDoc="1" locked="0" layoutInCell="1" allowOverlap="1" wp14:anchorId="0BE56187" wp14:editId="79DB1CAE">
            <wp:simplePos x="0" y="0"/>
            <wp:positionH relativeFrom="column">
              <wp:posOffset>75565</wp:posOffset>
            </wp:positionH>
            <wp:positionV relativeFrom="paragraph">
              <wp:posOffset>185420</wp:posOffset>
            </wp:positionV>
            <wp:extent cx="5513705" cy="1524000"/>
            <wp:effectExtent l="0" t="0" r="0" b="0"/>
            <wp:wrapTight wrapText="bothSides">
              <wp:wrapPolygon edited="0">
                <wp:start x="9254" y="1080"/>
                <wp:lineTo x="149" y="5130"/>
                <wp:lineTo x="224" y="9990"/>
                <wp:lineTo x="3582" y="10260"/>
                <wp:lineTo x="149" y="12690"/>
                <wp:lineTo x="224" y="13770"/>
                <wp:lineTo x="10747" y="14580"/>
                <wp:lineTo x="224" y="16200"/>
                <wp:lineTo x="75" y="17280"/>
                <wp:lineTo x="1866" y="18900"/>
                <wp:lineTo x="1866" y="20250"/>
                <wp:lineTo x="20597" y="20250"/>
                <wp:lineTo x="20672" y="18630"/>
                <wp:lineTo x="10747" y="14580"/>
                <wp:lineTo x="20448" y="13230"/>
                <wp:lineTo x="20523" y="10260"/>
                <wp:lineTo x="15523" y="10260"/>
                <wp:lineTo x="15597" y="8910"/>
                <wp:lineTo x="10821" y="7290"/>
                <wp:lineTo x="896" y="5940"/>
                <wp:lineTo x="11344" y="4050"/>
                <wp:lineTo x="14254" y="2970"/>
                <wp:lineTo x="14030" y="1080"/>
                <wp:lineTo x="9254" y="1080"/>
              </wp:wrapPolygon>
            </wp:wrapTight>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7E3448" w:rsidRDefault="007E3448" w:rsidP="00FD6A5E">
      <w:pPr>
        <w:widowControl/>
        <w:tabs>
          <w:tab w:val="left" w:pos="567"/>
        </w:tabs>
        <w:autoSpaceDE w:val="0"/>
        <w:snapToGrid w:val="0"/>
        <w:spacing w:beforeLines="25" w:before="90" w:line="480" w:lineRule="exact"/>
        <w:jc w:val="center"/>
        <w:rPr>
          <w:rFonts w:ascii="標楷體" w:eastAsia="標楷體" w:hAnsi="標楷體"/>
          <w:b/>
          <w:color w:val="000000" w:themeColor="text1"/>
          <w:sz w:val="28"/>
          <w:szCs w:val="32"/>
        </w:rPr>
      </w:pPr>
    </w:p>
    <w:p w:rsidR="007E3448" w:rsidRDefault="007E3448" w:rsidP="00FD6A5E">
      <w:pPr>
        <w:widowControl/>
        <w:tabs>
          <w:tab w:val="left" w:pos="567"/>
        </w:tabs>
        <w:autoSpaceDE w:val="0"/>
        <w:snapToGrid w:val="0"/>
        <w:spacing w:beforeLines="25" w:before="90" w:line="480" w:lineRule="exact"/>
        <w:jc w:val="center"/>
        <w:rPr>
          <w:rFonts w:ascii="標楷體" w:eastAsia="標楷體" w:hAnsi="標楷體"/>
          <w:b/>
          <w:color w:val="000000" w:themeColor="text1"/>
          <w:sz w:val="28"/>
          <w:szCs w:val="32"/>
        </w:rPr>
      </w:pPr>
    </w:p>
    <w:p w:rsidR="007E3448" w:rsidRDefault="007E3448" w:rsidP="00FD6A5E">
      <w:pPr>
        <w:widowControl/>
        <w:tabs>
          <w:tab w:val="left" w:pos="567"/>
        </w:tabs>
        <w:autoSpaceDE w:val="0"/>
        <w:snapToGrid w:val="0"/>
        <w:spacing w:beforeLines="25" w:before="90" w:line="480" w:lineRule="exact"/>
        <w:jc w:val="center"/>
        <w:rPr>
          <w:rFonts w:ascii="標楷體" w:eastAsia="標楷體" w:hAnsi="標楷體"/>
          <w:b/>
          <w:color w:val="000000" w:themeColor="text1"/>
          <w:sz w:val="28"/>
          <w:szCs w:val="32"/>
        </w:rPr>
      </w:pPr>
    </w:p>
    <w:p w:rsidR="007E3448" w:rsidRPr="00897A0D" w:rsidRDefault="007E3448" w:rsidP="00FD6A5E">
      <w:pPr>
        <w:widowControl/>
        <w:tabs>
          <w:tab w:val="left" w:pos="567"/>
        </w:tabs>
        <w:autoSpaceDE w:val="0"/>
        <w:snapToGrid w:val="0"/>
        <w:spacing w:beforeLines="25" w:before="90" w:line="480" w:lineRule="exact"/>
        <w:jc w:val="center"/>
        <w:rPr>
          <w:rFonts w:ascii="Times New Roman" w:eastAsia="標楷體" w:hAnsi="Times New Roman" w:cs="Times New Roman"/>
          <w:b/>
          <w:color w:val="000000" w:themeColor="text1"/>
          <w:sz w:val="28"/>
          <w:szCs w:val="32"/>
        </w:rPr>
      </w:pPr>
      <w:r w:rsidRPr="00897A0D">
        <w:rPr>
          <w:rFonts w:ascii="Times New Roman" w:eastAsia="標楷體" w:hAnsi="Times New Roman" w:cs="Times New Roman"/>
          <w:b/>
          <w:color w:val="000000" w:themeColor="text1"/>
          <w:sz w:val="28"/>
          <w:szCs w:val="32"/>
        </w:rPr>
        <w:t>圖</w:t>
      </w:r>
      <w:r w:rsidRPr="00897A0D">
        <w:rPr>
          <w:rFonts w:ascii="Times New Roman" w:eastAsia="標楷體" w:hAnsi="Times New Roman" w:cs="Times New Roman"/>
          <w:b/>
          <w:color w:val="000000" w:themeColor="text1"/>
          <w:sz w:val="28"/>
          <w:szCs w:val="32"/>
        </w:rPr>
        <w:t>1-2</w:t>
      </w:r>
      <w:r w:rsidRPr="00897A0D">
        <w:rPr>
          <w:rFonts w:ascii="Times New Roman" w:eastAsia="標楷體" w:hAnsi="Times New Roman" w:cs="Times New Roman"/>
          <w:b/>
          <w:color w:val="000000" w:themeColor="text1"/>
          <w:sz w:val="28"/>
          <w:szCs w:val="32"/>
        </w:rPr>
        <w:t xml:space="preserve">　中國大陸製造業</w:t>
      </w:r>
      <w:r w:rsidRPr="00897A0D">
        <w:rPr>
          <w:rFonts w:ascii="Times New Roman" w:eastAsia="標楷體" w:hAnsi="Times New Roman" w:cs="Times New Roman"/>
          <w:b/>
          <w:color w:val="000000" w:themeColor="text1"/>
          <w:sz w:val="28"/>
          <w:szCs w:val="32"/>
        </w:rPr>
        <w:t>PMI</w:t>
      </w:r>
    </w:p>
    <w:p w:rsidR="007E3448" w:rsidRPr="00897A0D" w:rsidRDefault="007E3448" w:rsidP="00FD6A5E">
      <w:pPr>
        <w:widowControl/>
        <w:tabs>
          <w:tab w:val="left" w:pos="567"/>
        </w:tabs>
        <w:autoSpaceDE w:val="0"/>
        <w:snapToGrid w:val="0"/>
        <w:spacing w:beforeLines="25" w:before="90" w:line="460" w:lineRule="exact"/>
        <w:jc w:val="both"/>
        <w:rPr>
          <w:rFonts w:ascii="Times New Roman" w:eastAsia="標楷體" w:hAnsi="Times New Roman" w:cs="Times New Roman"/>
          <w:b/>
          <w:color w:val="000000" w:themeColor="text1"/>
          <w:sz w:val="28"/>
          <w:szCs w:val="32"/>
        </w:rPr>
      </w:pPr>
      <w:r w:rsidRPr="00897A0D">
        <w:rPr>
          <w:rFonts w:ascii="Times New Roman" w:eastAsia="標楷體" w:hAnsi="Times New Roman" w:cs="Times New Roman"/>
          <w:color w:val="000000" w:themeColor="text1"/>
          <w:sz w:val="20"/>
          <w:szCs w:val="20"/>
        </w:rPr>
        <w:t>資料來源：中國大陸國家統計局、</w:t>
      </w:r>
      <w:proofErr w:type="gramStart"/>
      <w:r w:rsidRPr="00897A0D">
        <w:rPr>
          <w:rFonts w:ascii="Times New Roman" w:eastAsia="標楷體" w:hAnsi="Times New Roman" w:cs="Times New Roman"/>
          <w:color w:val="000000" w:themeColor="text1"/>
          <w:sz w:val="20"/>
          <w:szCs w:val="20"/>
        </w:rPr>
        <w:t>財新中國</w:t>
      </w:r>
      <w:proofErr w:type="gramEnd"/>
      <w:r w:rsidRPr="00897A0D">
        <w:rPr>
          <w:rFonts w:ascii="Times New Roman" w:eastAsia="標楷體" w:hAnsi="Times New Roman" w:cs="Times New Roman"/>
          <w:color w:val="000000" w:themeColor="text1"/>
          <w:sz w:val="20"/>
          <w:szCs w:val="20"/>
        </w:rPr>
        <w:t>製造業</w:t>
      </w:r>
      <w:r w:rsidRPr="00897A0D">
        <w:rPr>
          <w:rFonts w:ascii="Times New Roman" w:eastAsia="標楷體" w:hAnsi="Times New Roman" w:cs="Times New Roman"/>
          <w:color w:val="000000" w:themeColor="text1"/>
          <w:sz w:val="20"/>
          <w:szCs w:val="20"/>
        </w:rPr>
        <w:t>PMI</w:t>
      </w:r>
      <w:r w:rsidRPr="00897A0D">
        <w:rPr>
          <w:rFonts w:ascii="Times New Roman" w:eastAsia="標楷體" w:hAnsi="Times New Roman" w:cs="Times New Roman"/>
          <w:color w:val="000000" w:themeColor="text1"/>
          <w:sz w:val="20"/>
          <w:szCs w:val="20"/>
        </w:rPr>
        <w:t>報告。</w:t>
      </w:r>
    </w:p>
    <w:p w:rsidR="007E3448" w:rsidRPr="00897A0D" w:rsidRDefault="007E3448" w:rsidP="00FD6A5E">
      <w:pPr>
        <w:widowControl/>
        <w:numPr>
          <w:ilvl w:val="0"/>
          <w:numId w:val="18"/>
        </w:numPr>
        <w:tabs>
          <w:tab w:val="left" w:pos="567"/>
        </w:tabs>
        <w:autoSpaceDE w:val="0"/>
        <w:snapToGrid w:val="0"/>
        <w:spacing w:beforeLines="150" w:before="540" w:line="460" w:lineRule="exact"/>
        <w:ind w:left="331" w:hangingChars="118" w:hanging="331"/>
        <w:jc w:val="both"/>
        <w:rPr>
          <w:rFonts w:ascii="Times New Roman" w:eastAsia="標楷體" w:hAnsi="Times New Roman" w:cs="Times New Roman"/>
          <w:b/>
          <w:color w:val="000000" w:themeColor="text1"/>
          <w:sz w:val="28"/>
          <w:szCs w:val="32"/>
        </w:rPr>
      </w:pPr>
      <w:r w:rsidRPr="00897A0D">
        <w:rPr>
          <w:rFonts w:ascii="Times New Roman" w:eastAsia="標楷體" w:hAnsi="Times New Roman" w:cs="Times New Roman"/>
          <w:b/>
          <w:color w:val="000000" w:themeColor="text1"/>
          <w:sz w:val="28"/>
          <w:szCs w:val="32"/>
        </w:rPr>
        <w:t>物價走勢平穩</w:t>
      </w:r>
    </w:p>
    <w:p w:rsidR="007E3448" w:rsidRPr="00897A0D" w:rsidRDefault="007E3448" w:rsidP="00E1551B">
      <w:pPr>
        <w:widowControl/>
        <w:autoSpaceDE w:val="0"/>
        <w:snapToGrid w:val="0"/>
        <w:spacing w:beforeLines="25" w:before="90" w:line="480" w:lineRule="exact"/>
        <w:ind w:left="560" w:hangingChars="200" w:hanging="560"/>
        <w:jc w:val="both"/>
        <w:rPr>
          <w:rFonts w:ascii="Times New Roman" w:eastAsia="標楷體" w:hAnsi="Times New Roman" w:cs="Times New Roman"/>
          <w:color w:val="000000" w:themeColor="text1"/>
          <w:sz w:val="28"/>
          <w:szCs w:val="32"/>
        </w:rPr>
      </w:pPr>
      <w:r w:rsidRPr="00897A0D">
        <w:rPr>
          <w:rFonts w:ascii="Times New Roman" w:eastAsia="標楷體" w:hAnsi="Times New Roman" w:cs="Times New Roman"/>
          <w:color w:val="000000" w:themeColor="text1"/>
          <w:sz w:val="28"/>
          <w:szCs w:val="32"/>
        </w:rPr>
        <w:t xml:space="preserve">  </w:t>
      </w:r>
      <w:proofErr w:type="gramStart"/>
      <w:r w:rsidRPr="00897A0D">
        <w:rPr>
          <w:rFonts w:ascii="Times New Roman" w:eastAsia="標楷體" w:hAnsi="Times New Roman" w:cs="Times New Roman"/>
          <w:color w:val="000000" w:themeColor="text1"/>
          <w:sz w:val="28"/>
          <w:szCs w:val="32"/>
        </w:rPr>
        <w:t>─</w:t>
      </w:r>
      <w:proofErr w:type="gramEnd"/>
      <w:r w:rsidRPr="00897A0D">
        <w:rPr>
          <w:rFonts w:ascii="Times New Roman" w:eastAsia="標楷體" w:hAnsi="Times New Roman" w:cs="Times New Roman"/>
          <w:b/>
          <w:color w:val="000000" w:themeColor="text1"/>
          <w:sz w:val="28"/>
          <w:szCs w:val="32"/>
        </w:rPr>
        <w:t>消費者物價指數</w:t>
      </w:r>
      <w:r w:rsidR="00784003">
        <w:rPr>
          <w:rFonts w:ascii="Times New Roman" w:eastAsia="標楷體" w:hAnsi="Times New Roman" w:cs="Times New Roman" w:hint="eastAsia"/>
          <w:b/>
          <w:color w:val="000000" w:themeColor="text1"/>
          <w:sz w:val="28"/>
          <w:szCs w:val="32"/>
        </w:rPr>
        <w:t>（</w:t>
      </w:r>
      <w:r w:rsidR="00784003">
        <w:rPr>
          <w:rFonts w:ascii="Times New Roman" w:eastAsia="標楷體" w:hAnsi="Times New Roman" w:cs="Times New Roman"/>
          <w:b/>
          <w:color w:val="000000" w:themeColor="text1"/>
          <w:sz w:val="28"/>
          <w:szCs w:val="32"/>
        </w:rPr>
        <w:t>CPI</w:t>
      </w:r>
      <w:r w:rsidR="00784003">
        <w:rPr>
          <w:rFonts w:ascii="Times New Roman" w:eastAsia="標楷體" w:hAnsi="Times New Roman" w:cs="Times New Roman" w:hint="eastAsia"/>
          <w:b/>
          <w:color w:val="000000" w:themeColor="text1"/>
          <w:sz w:val="28"/>
          <w:szCs w:val="32"/>
        </w:rPr>
        <w:t>）</w:t>
      </w:r>
      <w:r w:rsidRPr="00897A0D">
        <w:rPr>
          <w:rFonts w:ascii="Times New Roman" w:eastAsia="標楷體" w:hAnsi="Times New Roman" w:cs="Times New Roman"/>
          <w:b/>
          <w:color w:val="000000" w:themeColor="text1"/>
          <w:sz w:val="28"/>
          <w:szCs w:val="32"/>
        </w:rPr>
        <w:t>走勢平穩</w:t>
      </w:r>
      <w:r w:rsidRPr="00897A0D">
        <w:rPr>
          <w:rFonts w:ascii="Times New Roman" w:eastAsia="標楷體" w:hAnsi="Times New Roman" w:cs="Times New Roman"/>
          <w:color w:val="000000" w:themeColor="text1"/>
          <w:sz w:val="28"/>
          <w:szCs w:val="32"/>
        </w:rPr>
        <w:t>：雖然中國大陸對美國大豆、汽車等商品加徵關稅，帶動部分物價上漲，但在食品以及汽柴油價格下跌帶動下，</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年中國大陸</w:t>
      </w:r>
      <w:r w:rsidRPr="00897A0D">
        <w:rPr>
          <w:rFonts w:ascii="Times New Roman" w:eastAsia="標楷體" w:hAnsi="Times New Roman" w:cs="Times New Roman"/>
          <w:color w:val="000000" w:themeColor="text1"/>
          <w:sz w:val="28"/>
          <w:szCs w:val="32"/>
        </w:rPr>
        <w:t>CPI</w:t>
      </w:r>
      <w:r w:rsidRPr="00897A0D">
        <w:rPr>
          <w:rFonts w:ascii="Times New Roman" w:eastAsia="標楷體" w:hAnsi="Times New Roman" w:cs="Times New Roman"/>
          <w:color w:val="000000" w:themeColor="text1"/>
          <w:sz w:val="28"/>
          <w:szCs w:val="32"/>
        </w:rPr>
        <w:t>上漲</w:t>
      </w:r>
      <w:r w:rsidRPr="00897A0D">
        <w:rPr>
          <w:rFonts w:ascii="Times New Roman" w:eastAsia="標楷體" w:hAnsi="Times New Roman" w:cs="Times New Roman"/>
          <w:color w:val="000000" w:themeColor="text1"/>
          <w:sz w:val="28"/>
          <w:szCs w:val="32"/>
        </w:rPr>
        <w:t>2.1%</w:t>
      </w:r>
      <w:r w:rsidRPr="00897A0D">
        <w:rPr>
          <w:rFonts w:ascii="Times New Roman" w:eastAsia="標楷體" w:hAnsi="Times New Roman" w:cs="Times New Roman"/>
          <w:color w:val="000000" w:themeColor="text1"/>
          <w:sz w:val="28"/>
          <w:szCs w:val="32"/>
        </w:rPr>
        <w:t>，較上年增加</w:t>
      </w:r>
      <w:r w:rsidRPr="00897A0D">
        <w:rPr>
          <w:rFonts w:ascii="Times New Roman" w:eastAsia="標楷體" w:hAnsi="Times New Roman" w:cs="Times New Roman"/>
          <w:color w:val="000000" w:themeColor="text1"/>
          <w:sz w:val="28"/>
          <w:szCs w:val="32"/>
        </w:rPr>
        <w:t>0.5</w:t>
      </w:r>
      <w:r w:rsidRPr="00897A0D">
        <w:rPr>
          <w:rFonts w:ascii="Times New Roman" w:eastAsia="標楷體" w:hAnsi="Times New Roman" w:cs="Times New Roman"/>
          <w:color w:val="000000" w:themeColor="text1"/>
          <w:sz w:val="28"/>
          <w:szCs w:val="32"/>
        </w:rPr>
        <w:t>個百分點，漲幅尚稱平穩。</w:t>
      </w:r>
    </w:p>
    <w:p w:rsidR="007E3448" w:rsidRDefault="007E3448" w:rsidP="00FD6A5E">
      <w:pPr>
        <w:widowControl/>
        <w:autoSpaceDE w:val="0"/>
        <w:snapToGrid w:val="0"/>
        <w:spacing w:beforeLines="25" w:before="90" w:line="480" w:lineRule="exact"/>
        <w:ind w:left="560" w:hangingChars="200" w:hanging="560"/>
        <w:jc w:val="both"/>
        <w:rPr>
          <w:rFonts w:ascii="標楷體" w:eastAsia="標楷體" w:hAnsi="標楷體"/>
          <w:b/>
          <w:color w:val="000000" w:themeColor="text1"/>
          <w:sz w:val="28"/>
          <w:szCs w:val="32"/>
        </w:rPr>
      </w:pPr>
      <w:r w:rsidRPr="00897A0D">
        <w:rPr>
          <w:rFonts w:ascii="Times New Roman" w:eastAsia="標楷體" w:hAnsi="Times New Roman" w:cs="Times New Roman"/>
          <w:color w:val="000000" w:themeColor="text1"/>
          <w:sz w:val="28"/>
          <w:szCs w:val="32"/>
        </w:rPr>
        <w:lastRenderedPageBreak/>
        <w:t xml:space="preserve">  </w:t>
      </w:r>
      <w:proofErr w:type="gramStart"/>
      <w:r w:rsidRPr="00897A0D">
        <w:rPr>
          <w:rFonts w:ascii="Times New Roman" w:eastAsia="標楷體" w:hAnsi="Times New Roman" w:cs="Times New Roman"/>
          <w:color w:val="000000" w:themeColor="text1"/>
          <w:sz w:val="28"/>
          <w:szCs w:val="32"/>
        </w:rPr>
        <w:t>─</w:t>
      </w:r>
      <w:proofErr w:type="gramEnd"/>
      <w:r w:rsidRPr="00897A0D">
        <w:rPr>
          <w:rFonts w:ascii="Times New Roman" w:eastAsia="標楷體" w:hAnsi="Times New Roman" w:cs="Times New Roman"/>
          <w:b/>
          <w:color w:val="000000" w:themeColor="text1"/>
          <w:sz w:val="28"/>
          <w:szCs w:val="32"/>
        </w:rPr>
        <w:t>生產者價格指數（</w:t>
      </w:r>
      <w:r w:rsidRPr="00897A0D">
        <w:rPr>
          <w:rFonts w:ascii="Times New Roman" w:eastAsia="標楷體" w:hAnsi="Times New Roman" w:cs="Times New Roman"/>
          <w:b/>
          <w:color w:val="000000" w:themeColor="text1"/>
          <w:sz w:val="28"/>
          <w:szCs w:val="32"/>
        </w:rPr>
        <w:t>PPI</w:t>
      </w:r>
      <w:r w:rsidRPr="00897A0D">
        <w:rPr>
          <w:rFonts w:ascii="Times New Roman" w:eastAsia="標楷體" w:hAnsi="Times New Roman" w:cs="Times New Roman"/>
          <w:b/>
          <w:color w:val="000000" w:themeColor="text1"/>
          <w:sz w:val="28"/>
          <w:szCs w:val="32"/>
        </w:rPr>
        <w:t>）漲幅縮減：</w:t>
      </w:r>
      <w:r w:rsidRPr="00897A0D">
        <w:rPr>
          <w:rFonts w:ascii="Times New Roman" w:eastAsia="標楷體" w:hAnsi="Times New Roman" w:cs="Times New Roman"/>
          <w:color w:val="000000" w:themeColor="text1"/>
          <w:sz w:val="28"/>
          <w:szCs w:val="32"/>
        </w:rPr>
        <w:t>中國大陸</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PPI</w:t>
      </w:r>
      <w:r w:rsidRPr="00897A0D">
        <w:rPr>
          <w:rFonts w:ascii="Times New Roman" w:eastAsia="標楷體" w:hAnsi="Times New Roman" w:cs="Times New Roman"/>
          <w:color w:val="000000" w:themeColor="text1"/>
          <w:sz w:val="28"/>
          <w:szCs w:val="32"/>
        </w:rPr>
        <w:t>為</w:t>
      </w:r>
      <w:r w:rsidRPr="00897A0D">
        <w:rPr>
          <w:rFonts w:ascii="Times New Roman" w:eastAsia="標楷體" w:hAnsi="Times New Roman" w:cs="Times New Roman"/>
          <w:color w:val="000000" w:themeColor="text1"/>
          <w:sz w:val="28"/>
          <w:szCs w:val="32"/>
        </w:rPr>
        <w:t>3.5%</w:t>
      </w:r>
      <w:r w:rsidRPr="00897A0D">
        <w:rPr>
          <w:rFonts w:ascii="Times New Roman" w:eastAsia="標楷體" w:hAnsi="Times New Roman" w:cs="Times New Roman"/>
          <w:color w:val="000000" w:themeColor="text1"/>
          <w:sz w:val="28"/>
          <w:szCs w:val="32"/>
        </w:rPr>
        <w:t>，較上年大幅縮減</w:t>
      </w:r>
      <w:r w:rsidRPr="00897A0D">
        <w:rPr>
          <w:rFonts w:ascii="Times New Roman" w:eastAsia="標楷體" w:hAnsi="Times New Roman" w:cs="Times New Roman"/>
          <w:color w:val="000000" w:themeColor="text1"/>
          <w:sz w:val="28"/>
          <w:szCs w:val="32"/>
        </w:rPr>
        <w:t>2.8</w:t>
      </w:r>
      <w:r w:rsidRPr="00897A0D">
        <w:rPr>
          <w:rFonts w:ascii="Times New Roman" w:eastAsia="標楷體" w:hAnsi="Times New Roman" w:cs="Times New Roman"/>
          <w:color w:val="000000" w:themeColor="text1"/>
          <w:sz w:val="28"/>
          <w:szCs w:val="32"/>
        </w:rPr>
        <w:t>個百分點，主因除受環保限產影響致非金屬礦物製品業、黑色金屬加工業、化學原料製品製造業及煤炭開採業等四大行業需求縮減外，油品價格下跌亦為重要因素。其中，</w:t>
      </w:r>
      <w:r w:rsidRPr="00897A0D">
        <w:rPr>
          <w:rFonts w:ascii="Times New Roman" w:eastAsia="標楷體" w:hAnsi="Times New Roman" w:cs="Times New Roman"/>
          <w:color w:val="000000" w:themeColor="text1"/>
          <w:sz w:val="28"/>
          <w:szCs w:val="32"/>
        </w:rPr>
        <w:t>PPI</w:t>
      </w:r>
      <w:r w:rsidRPr="00897A0D">
        <w:rPr>
          <w:rFonts w:ascii="Times New Roman" w:eastAsia="標楷體" w:hAnsi="Times New Roman" w:cs="Times New Roman"/>
          <w:color w:val="000000" w:themeColor="text1"/>
          <w:sz w:val="28"/>
          <w:szCs w:val="32"/>
        </w:rPr>
        <w:t>自</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8</w:t>
      </w:r>
      <w:r w:rsidRPr="00897A0D">
        <w:rPr>
          <w:rFonts w:ascii="Times New Roman" w:eastAsia="標楷體" w:hAnsi="Times New Roman" w:cs="Times New Roman"/>
          <w:color w:val="000000" w:themeColor="text1"/>
          <w:sz w:val="28"/>
          <w:szCs w:val="32"/>
        </w:rPr>
        <w:t>月以來，上漲幅度即呈縮減之勢，</w:t>
      </w:r>
      <w:r w:rsidRPr="00897A0D">
        <w:rPr>
          <w:rFonts w:ascii="Times New Roman" w:eastAsia="標楷體" w:hAnsi="Times New Roman" w:cs="Times New Roman"/>
          <w:color w:val="000000" w:themeColor="text1"/>
          <w:sz w:val="28"/>
          <w:szCs w:val="32"/>
        </w:rPr>
        <w:t>2018</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12</w:t>
      </w:r>
      <w:r w:rsidRPr="00897A0D">
        <w:rPr>
          <w:rFonts w:ascii="Times New Roman" w:eastAsia="標楷體" w:hAnsi="Times New Roman" w:cs="Times New Roman"/>
          <w:color w:val="000000" w:themeColor="text1"/>
          <w:sz w:val="28"/>
          <w:szCs w:val="32"/>
        </w:rPr>
        <w:t>月漲幅僅</w:t>
      </w:r>
      <w:r w:rsidRPr="00897A0D">
        <w:rPr>
          <w:rFonts w:ascii="Times New Roman" w:eastAsia="標楷體" w:hAnsi="Times New Roman" w:cs="Times New Roman"/>
          <w:color w:val="000000" w:themeColor="text1"/>
          <w:sz w:val="28"/>
          <w:szCs w:val="32"/>
        </w:rPr>
        <w:t>0.9%</w:t>
      </w:r>
      <w:r w:rsidRPr="00897A0D">
        <w:rPr>
          <w:rFonts w:ascii="Times New Roman" w:eastAsia="標楷體" w:hAnsi="Times New Roman" w:cs="Times New Roman"/>
          <w:color w:val="000000" w:themeColor="text1"/>
          <w:sz w:val="28"/>
          <w:szCs w:val="32"/>
        </w:rPr>
        <w:t>，創</w:t>
      </w:r>
      <w:r w:rsidRPr="00897A0D">
        <w:rPr>
          <w:rFonts w:ascii="Times New Roman" w:eastAsia="標楷體" w:hAnsi="Times New Roman" w:cs="Times New Roman"/>
          <w:color w:val="000000" w:themeColor="text1"/>
          <w:sz w:val="28"/>
          <w:szCs w:val="32"/>
        </w:rPr>
        <w:t>2016</w:t>
      </w:r>
      <w:r w:rsidRPr="00897A0D">
        <w:rPr>
          <w:rFonts w:ascii="Times New Roman" w:eastAsia="標楷體" w:hAnsi="Times New Roman" w:cs="Times New Roman"/>
          <w:color w:val="000000" w:themeColor="text1"/>
          <w:sz w:val="28"/>
          <w:szCs w:val="32"/>
        </w:rPr>
        <w:t>年</w:t>
      </w:r>
      <w:r w:rsidRPr="00897A0D">
        <w:rPr>
          <w:rFonts w:ascii="Times New Roman" w:eastAsia="標楷體" w:hAnsi="Times New Roman" w:cs="Times New Roman"/>
          <w:color w:val="000000" w:themeColor="text1"/>
          <w:sz w:val="28"/>
          <w:szCs w:val="32"/>
        </w:rPr>
        <w:t>9</w:t>
      </w:r>
      <w:r w:rsidRPr="00897A0D">
        <w:rPr>
          <w:rFonts w:ascii="Times New Roman" w:eastAsia="標楷體" w:hAnsi="Times New Roman" w:cs="Times New Roman"/>
          <w:color w:val="000000" w:themeColor="text1"/>
          <w:sz w:val="28"/>
          <w:szCs w:val="32"/>
        </w:rPr>
        <w:t>月以來最低，</w:t>
      </w:r>
      <w:r w:rsidR="00A1006A" w:rsidRPr="00A1006A">
        <w:rPr>
          <w:rFonts w:ascii="Times New Roman" w:eastAsia="標楷體" w:hAnsi="Times New Roman" w:cs="Times New Roman" w:hint="eastAsia"/>
          <w:color w:val="000000" w:themeColor="text1"/>
          <w:sz w:val="28"/>
          <w:szCs w:val="32"/>
        </w:rPr>
        <w:t>彭博</w:t>
      </w:r>
      <w:r w:rsidR="00A1006A" w:rsidRPr="00A1006A">
        <w:rPr>
          <w:rFonts w:ascii="Times New Roman" w:eastAsia="標楷體" w:hAnsi="Times New Roman" w:cs="Times New Roman" w:hint="eastAsia"/>
          <w:color w:val="000000" w:themeColor="text1"/>
          <w:sz w:val="28"/>
          <w:szCs w:val="32"/>
        </w:rPr>
        <w:t>2</w:t>
      </w:r>
      <w:r w:rsidR="00A1006A" w:rsidRPr="00A1006A">
        <w:rPr>
          <w:rFonts w:ascii="Times New Roman" w:eastAsia="標楷體" w:hAnsi="Times New Roman" w:cs="Times New Roman" w:hint="eastAsia"/>
          <w:color w:val="000000" w:themeColor="text1"/>
          <w:sz w:val="28"/>
          <w:szCs w:val="32"/>
        </w:rPr>
        <w:t>月指出，</w:t>
      </w:r>
      <w:r w:rsidR="00A1006A" w:rsidRPr="00A1006A">
        <w:rPr>
          <w:rFonts w:ascii="Times New Roman" w:eastAsia="標楷體" w:hAnsi="Times New Roman" w:cs="Times New Roman" w:hint="eastAsia"/>
          <w:color w:val="000000" w:themeColor="text1"/>
          <w:sz w:val="28"/>
          <w:szCs w:val="32"/>
        </w:rPr>
        <w:t>PPI</w:t>
      </w:r>
      <w:r w:rsidR="00A1006A" w:rsidRPr="00A1006A">
        <w:rPr>
          <w:rFonts w:ascii="Times New Roman" w:eastAsia="標楷體" w:hAnsi="Times New Roman" w:cs="Times New Roman" w:hint="eastAsia"/>
          <w:color w:val="000000" w:themeColor="text1"/>
          <w:sz w:val="28"/>
          <w:szCs w:val="32"/>
        </w:rPr>
        <w:t>漲勢放緩加劇通縮和獲利的疑慮。</w:t>
      </w:r>
    </w:p>
    <w:p w:rsidR="00E847ED" w:rsidRPr="00AC1432" w:rsidRDefault="001A6D51" w:rsidP="002A4962">
      <w:pPr>
        <w:pStyle w:val="a3"/>
        <w:numPr>
          <w:ilvl w:val="0"/>
          <w:numId w:val="4"/>
        </w:numPr>
        <w:spacing w:line="500" w:lineRule="exact"/>
        <w:ind w:leftChars="0"/>
        <w:outlineLvl w:val="1"/>
        <w:rPr>
          <w:rFonts w:eastAsia="標楷體"/>
          <w:b/>
          <w:color w:val="000000" w:themeColor="text1"/>
          <w:sz w:val="28"/>
          <w:szCs w:val="22"/>
        </w:rPr>
      </w:pPr>
      <w:bookmarkStart w:id="16" w:name="_Toc1397863"/>
      <w:bookmarkStart w:id="17" w:name="_Toc1400589"/>
      <w:bookmarkEnd w:id="10"/>
      <w:r w:rsidRPr="00AC1432">
        <w:rPr>
          <w:rFonts w:eastAsia="標楷體" w:hint="eastAsia"/>
          <w:b/>
          <w:color w:val="000000" w:themeColor="text1"/>
          <w:sz w:val="28"/>
          <w:szCs w:val="22"/>
        </w:rPr>
        <w:t>金融情勢</w:t>
      </w:r>
      <w:bookmarkEnd w:id="16"/>
      <w:bookmarkEnd w:id="17"/>
    </w:p>
    <w:p w:rsidR="00127C50" w:rsidRPr="00BD5E8A" w:rsidRDefault="000C5E7C" w:rsidP="00E847ED">
      <w:pPr>
        <w:pStyle w:val="a3"/>
        <w:numPr>
          <w:ilvl w:val="0"/>
          <w:numId w:val="1"/>
        </w:numPr>
        <w:spacing w:line="500" w:lineRule="exact"/>
        <w:ind w:leftChars="0"/>
        <w:rPr>
          <w:rFonts w:eastAsia="標楷體"/>
          <w:b/>
          <w:color w:val="000000" w:themeColor="text1"/>
          <w:sz w:val="28"/>
          <w:szCs w:val="22"/>
        </w:rPr>
      </w:pPr>
      <w:r>
        <w:rPr>
          <w:rFonts w:eastAsia="標楷體" w:hint="eastAsia"/>
          <w:b/>
          <w:color w:val="000000" w:themeColor="text1"/>
          <w:sz w:val="28"/>
          <w:szCs w:val="22"/>
        </w:rPr>
        <w:t>貨幣供給</w:t>
      </w:r>
      <w:proofErr w:type="gramStart"/>
      <w:r>
        <w:rPr>
          <w:rFonts w:eastAsia="標楷體" w:hint="eastAsia"/>
          <w:b/>
          <w:color w:val="000000" w:themeColor="text1"/>
          <w:sz w:val="28"/>
          <w:szCs w:val="22"/>
        </w:rPr>
        <w:t>增幅</w:t>
      </w:r>
      <w:r w:rsidR="00BD5E8A" w:rsidRPr="00BD5E8A">
        <w:rPr>
          <w:rFonts w:eastAsia="標楷體" w:hint="eastAsia"/>
          <w:b/>
          <w:color w:val="000000" w:themeColor="text1"/>
          <w:sz w:val="28"/>
          <w:szCs w:val="22"/>
        </w:rPr>
        <w:t>略降</w:t>
      </w:r>
      <w:proofErr w:type="gramEnd"/>
    </w:p>
    <w:p w:rsidR="007E5E35" w:rsidRDefault="00953932" w:rsidP="00953932">
      <w:pPr>
        <w:tabs>
          <w:tab w:val="left" w:pos="567"/>
        </w:tabs>
        <w:spacing w:beforeLines="30" w:before="108" w:line="480" w:lineRule="exact"/>
        <w:ind w:left="567" w:firstLineChars="202" w:firstLine="485"/>
        <w:jc w:val="both"/>
        <w:rPr>
          <w:rFonts w:ascii="Times New Roman" w:eastAsia="標楷體" w:hAnsi="Times New Roman" w:cs="Times New Roman"/>
          <w:color w:val="000000" w:themeColor="text1"/>
          <w:sz w:val="28"/>
          <w:szCs w:val="28"/>
        </w:rPr>
      </w:pPr>
      <w:r>
        <w:rPr>
          <w:noProof/>
        </w:rPr>
        <w:drawing>
          <wp:anchor distT="0" distB="0" distL="114300" distR="114300" simplePos="0" relativeHeight="251685888" behindDoc="0" locked="0" layoutInCell="1" allowOverlap="1" wp14:anchorId="6D42A0CC" wp14:editId="301FAE1F">
            <wp:simplePos x="0" y="0"/>
            <wp:positionH relativeFrom="column">
              <wp:posOffset>-523240</wp:posOffset>
            </wp:positionH>
            <wp:positionV relativeFrom="paragraph">
              <wp:posOffset>1805940</wp:posOffset>
            </wp:positionV>
            <wp:extent cx="6257290" cy="2360930"/>
            <wp:effectExtent l="0" t="0" r="0" b="0"/>
            <wp:wrapSquare wrapText="bothSides"/>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30170D">
        <w:rPr>
          <w:rFonts w:eastAsia="標楷體" w:hint="eastAsia"/>
          <w:color w:val="000000" w:themeColor="text1"/>
          <w:sz w:val="28"/>
          <w:szCs w:val="28"/>
        </w:rPr>
        <w:t>受中國</w:t>
      </w:r>
      <w:r w:rsidR="0030170D" w:rsidRPr="00784003">
        <w:rPr>
          <w:rFonts w:ascii="Times New Roman" w:eastAsia="標楷體" w:hAnsi="Times New Roman" w:cs="Times New Roman"/>
          <w:color w:val="000000" w:themeColor="text1"/>
          <w:sz w:val="28"/>
          <w:szCs w:val="28"/>
        </w:rPr>
        <w:t>大陸持續控管債務成長影響，</w:t>
      </w:r>
      <w:r w:rsidR="001A6D51" w:rsidRPr="00784003">
        <w:rPr>
          <w:rFonts w:ascii="Times New Roman" w:eastAsia="標楷體" w:hAnsi="Times New Roman" w:cs="Times New Roman"/>
          <w:color w:val="000000" w:themeColor="text1"/>
          <w:sz w:val="28"/>
          <w:szCs w:val="28"/>
        </w:rPr>
        <w:t>2018</w:t>
      </w:r>
      <w:r w:rsidR="001A6D51" w:rsidRPr="00784003">
        <w:rPr>
          <w:rFonts w:ascii="Times New Roman" w:eastAsia="標楷體" w:hAnsi="Times New Roman" w:cs="Times New Roman"/>
          <w:color w:val="000000" w:themeColor="text1"/>
          <w:sz w:val="28"/>
          <w:szCs w:val="28"/>
        </w:rPr>
        <w:t>年底中國大陸狹義貨幣供給量</w:t>
      </w:r>
      <w:r w:rsidR="00784003">
        <w:rPr>
          <w:rFonts w:ascii="Times New Roman" w:eastAsia="標楷體" w:hAnsi="Times New Roman" w:cs="Times New Roman" w:hint="eastAsia"/>
          <w:color w:val="000000" w:themeColor="text1"/>
          <w:sz w:val="28"/>
          <w:szCs w:val="28"/>
        </w:rPr>
        <w:t>（</w:t>
      </w:r>
      <w:r w:rsidR="00784003">
        <w:rPr>
          <w:rFonts w:ascii="Times New Roman" w:eastAsia="標楷體" w:hAnsi="Times New Roman" w:cs="Times New Roman"/>
          <w:color w:val="000000" w:themeColor="text1"/>
          <w:sz w:val="28"/>
          <w:szCs w:val="28"/>
        </w:rPr>
        <w:t>M1</w:t>
      </w:r>
      <w:r w:rsidR="00784003">
        <w:rPr>
          <w:rFonts w:ascii="Times New Roman" w:eastAsia="標楷體" w:hAnsi="Times New Roman" w:cs="Times New Roman" w:hint="eastAsia"/>
          <w:color w:val="000000" w:themeColor="text1"/>
          <w:sz w:val="28"/>
          <w:szCs w:val="28"/>
        </w:rPr>
        <w:t>）</w:t>
      </w:r>
      <w:r w:rsidR="001A6D51" w:rsidRPr="00784003">
        <w:rPr>
          <w:rFonts w:ascii="Times New Roman" w:eastAsia="標楷體" w:hAnsi="Times New Roman" w:cs="Times New Roman"/>
          <w:color w:val="000000" w:themeColor="text1"/>
          <w:sz w:val="28"/>
          <w:szCs w:val="28"/>
        </w:rPr>
        <w:t>及廣義貨幣供給量</w:t>
      </w:r>
      <w:r w:rsidR="00784003">
        <w:rPr>
          <w:rFonts w:ascii="Times New Roman" w:eastAsia="標楷體" w:hAnsi="Times New Roman" w:cs="Times New Roman" w:hint="eastAsia"/>
          <w:color w:val="000000" w:themeColor="text1"/>
          <w:sz w:val="28"/>
          <w:szCs w:val="28"/>
        </w:rPr>
        <w:t>（</w:t>
      </w:r>
      <w:r w:rsidR="00784003">
        <w:rPr>
          <w:rFonts w:ascii="Times New Roman" w:eastAsia="標楷體" w:hAnsi="Times New Roman" w:cs="Times New Roman"/>
          <w:color w:val="000000" w:themeColor="text1"/>
          <w:sz w:val="28"/>
          <w:szCs w:val="28"/>
        </w:rPr>
        <w:t>M2</w:t>
      </w:r>
      <w:r w:rsidR="00784003">
        <w:rPr>
          <w:rFonts w:ascii="Times New Roman" w:eastAsia="標楷體" w:hAnsi="Times New Roman" w:cs="Times New Roman" w:hint="eastAsia"/>
          <w:color w:val="000000" w:themeColor="text1"/>
          <w:sz w:val="28"/>
          <w:szCs w:val="28"/>
        </w:rPr>
        <w:t>）</w:t>
      </w:r>
      <w:r w:rsidR="001A6D51" w:rsidRPr="00784003">
        <w:rPr>
          <w:rFonts w:ascii="Times New Roman" w:eastAsia="標楷體" w:hAnsi="Times New Roman" w:cs="Times New Roman"/>
          <w:color w:val="000000" w:themeColor="text1"/>
          <w:sz w:val="28"/>
          <w:szCs w:val="28"/>
        </w:rPr>
        <w:t>年增率分別為</w:t>
      </w:r>
      <w:r w:rsidR="001A6D51" w:rsidRPr="00784003">
        <w:rPr>
          <w:rFonts w:ascii="Times New Roman" w:eastAsia="標楷體" w:hAnsi="Times New Roman" w:cs="Times New Roman"/>
          <w:color w:val="000000" w:themeColor="text1"/>
          <w:sz w:val="28"/>
          <w:szCs w:val="28"/>
        </w:rPr>
        <w:t>1.5</w:t>
      </w:r>
      <w:r w:rsidR="001A6D51" w:rsidRPr="00784003">
        <w:rPr>
          <w:rFonts w:ascii="Times New Roman" w:eastAsia="標楷體" w:hAnsi="Times New Roman" w:cs="Times New Roman"/>
          <w:color w:val="000000" w:themeColor="text1"/>
          <w:kern w:val="0"/>
          <w:sz w:val="28"/>
          <w:szCs w:val="32"/>
        </w:rPr>
        <w:t>%</w:t>
      </w:r>
      <w:r w:rsidR="001A6D51" w:rsidRPr="00784003">
        <w:rPr>
          <w:rFonts w:ascii="Times New Roman" w:eastAsia="標楷體" w:hAnsi="Times New Roman" w:cs="Times New Roman"/>
          <w:color w:val="000000" w:themeColor="text1"/>
          <w:sz w:val="28"/>
          <w:szCs w:val="28"/>
        </w:rPr>
        <w:t>、</w:t>
      </w:r>
      <w:r w:rsidR="00784003">
        <w:rPr>
          <w:rFonts w:ascii="Times New Roman" w:eastAsia="標楷體" w:hAnsi="Times New Roman" w:cs="Times New Roman"/>
          <w:color w:val="000000" w:themeColor="text1"/>
          <w:sz w:val="28"/>
          <w:szCs w:val="28"/>
        </w:rPr>
        <w:t>8.</w:t>
      </w:r>
      <w:r w:rsidR="00784003">
        <w:rPr>
          <w:rFonts w:ascii="Times New Roman" w:eastAsia="標楷體" w:hAnsi="Times New Roman" w:cs="Times New Roman" w:hint="eastAsia"/>
          <w:color w:val="000000" w:themeColor="text1"/>
          <w:sz w:val="28"/>
          <w:szCs w:val="28"/>
        </w:rPr>
        <w:t>1</w:t>
      </w:r>
      <w:r w:rsidR="001A6D51" w:rsidRPr="00784003">
        <w:rPr>
          <w:rFonts w:ascii="Times New Roman" w:eastAsia="標楷體" w:hAnsi="Times New Roman" w:cs="Times New Roman"/>
          <w:color w:val="000000" w:themeColor="text1"/>
          <w:kern w:val="0"/>
          <w:sz w:val="28"/>
          <w:szCs w:val="32"/>
        </w:rPr>
        <w:t>%</w:t>
      </w:r>
      <w:r w:rsidR="001A6D51" w:rsidRPr="00784003">
        <w:rPr>
          <w:rFonts w:ascii="Times New Roman" w:eastAsia="標楷體" w:hAnsi="Times New Roman" w:cs="Times New Roman"/>
          <w:color w:val="000000" w:themeColor="text1"/>
          <w:sz w:val="28"/>
          <w:szCs w:val="28"/>
        </w:rPr>
        <w:t>，分別較上年減少</w:t>
      </w:r>
      <w:r w:rsidR="001A6D51" w:rsidRPr="00784003">
        <w:rPr>
          <w:rFonts w:ascii="Times New Roman" w:eastAsia="標楷體" w:hAnsi="Times New Roman" w:cs="Times New Roman"/>
          <w:color w:val="000000" w:themeColor="text1"/>
          <w:sz w:val="28"/>
          <w:szCs w:val="28"/>
        </w:rPr>
        <w:t>10.3</w:t>
      </w:r>
      <w:r w:rsidR="00C101E3" w:rsidRPr="00784003">
        <w:rPr>
          <w:rFonts w:ascii="Times New Roman" w:eastAsia="標楷體" w:hAnsi="Times New Roman" w:cs="Times New Roman"/>
          <w:color w:val="000000" w:themeColor="text1"/>
          <w:sz w:val="28"/>
          <w:szCs w:val="28"/>
        </w:rPr>
        <w:t>個百分點</w:t>
      </w:r>
      <w:r w:rsidR="001A6D51" w:rsidRPr="00784003">
        <w:rPr>
          <w:rFonts w:ascii="Times New Roman" w:eastAsia="標楷體" w:hAnsi="Times New Roman" w:cs="Times New Roman"/>
          <w:color w:val="000000" w:themeColor="text1"/>
          <w:sz w:val="28"/>
          <w:szCs w:val="28"/>
        </w:rPr>
        <w:t>及</w:t>
      </w:r>
      <w:r w:rsidR="00784003">
        <w:rPr>
          <w:rFonts w:ascii="Times New Roman" w:eastAsia="標楷體" w:hAnsi="Times New Roman" w:cs="Times New Roman" w:hint="eastAsia"/>
          <w:color w:val="000000" w:themeColor="text1"/>
          <w:sz w:val="28"/>
          <w:szCs w:val="28"/>
        </w:rPr>
        <w:t>持平（</w:t>
      </w:r>
      <w:r w:rsidR="001A6D51" w:rsidRPr="00784003">
        <w:rPr>
          <w:rFonts w:ascii="Times New Roman" w:eastAsia="標楷體" w:hAnsi="Times New Roman" w:cs="Times New Roman"/>
          <w:color w:val="000000" w:themeColor="text1"/>
          <w:sz w:val="28"/>
          <w:szCs w:val="28"/>
        </w:rPr>
        <w:t>圖</w:t>
      </w:r>
      <w:r w:rsidR="00784003">
        <w:rPr>
          <w:rFonts w:ascii="Times New Roman" w:eastAsia="標楷體" w:hAnsi="Times New Roman" w:cs="Times New Roman"/>
          <w:color w:val="000000" w:themeColor="text1"/>
          <w:sz w:val="28"/>
          <w:szCs w:val="28"/>
        </w:rPr>
        <w:t>1-3</w:t>
      </w:r>
      <w:r w:rsidR="00784003">
        <w:rPr>
          <w:rFonts w:ascii="Times New Roman" w:eastAsia="標楷體" w:hAnsi="Times New Roman" w:cs="Times New Roman" w:hint="eastAsia"/>
          <w:color w:val="000000" w:themeColor="text1"/>
          <w:sz w:val="28"/>
          <w:szCs w:val="28"/>
        </w:rPr>
        <w:t>）</w:t>
      </w:r>
      <w:r w:rsidR="00AE4C4D">
        <w:rPr>
          <w:rFonts w:ascii="Times New Roman" w:eastAsia="標楷體" w:hAnsi="Times New Roman" w:cs="Times New Roman" w:hint="eastAsia"/>
          <w:color w:val="000000" w:themeColor="text1"/>
          <w:sz w:val="28"/>
          <w:szCs w:val="28"/>
        </w:rPr>
        <w:t>，</w:t>
      </w:r>
      <w:r w:rsidR="00AE4C4D" w:rsidRPr="00AE4C4D">
        <w:rPr>
          <w:rFonts w:ascii="Times New Roman" w:eastAsia="標楷體" w:hAnsi="Times New Roman" w:cs="Times New Roman" w:hint="eastAsia"/>
          <w:color w:val="000000" w:themeColor="text1"/>
          <w:sz w:val="28"/>
          <w:szCs w:val="28"/>
        </w:rPr>
        <w:t>其中</w:t>
      </w:r>
      <w:r w:rsidR="00AE4C4D" w:rsidRPr="00AE4C4D">
        <w:rPr>
          <w:rFonts w:ascii="Times New Roman" w:eastAsia="標楷體" w:hAnsi="Times New Roman" w:cs="Times New Roman" w:hint="eastAsia"/>
          <w:color w:val="000000" w:themeColor="text1"/>
          <w:sz w:val="28"/>
          <w:szCs w:val="28"/>
        </w:rPr>
        <w:t>M1</w:t>
      </w:r>
      <w:r w:rsidR="00AE4C4D" w:rsidRPr="00AE4C4D">
        <w:rPr>
          <w:rFonts w:ascii="Times New Roman" w:eastAsia="標楷體" w:hAnsi="Times New Roman" w:cs="Times New Roman" w:hint="eastAsia"/>
          <w:color w:val="000000" w:themeColor="text1"/>
          <w:sz w:val="28"/>
          <w:szCs w:val="28"/>
        </w:rPr>
        <w:t>年增率大減主要是受到中國大陸嚴控地方債務及縮減影子銀行規模所致</w:t>
      </w:r>
      <w:r w:rsidR="001A6D51" w:rsidRPr="00784003">
        <w:rPr>
          <w:rFonts w:ascii="Times New Roman" w:eastAsia="標楷體" w:hAnsi="Times New Roman" w:cs="Times New Roman"/>
          <w:color w:val="000000" w:themeColor="text1"/>
          <w:sz w:val="28"/>
          <w:szCs w:val="28"/>
        </w:rPr>
        <w:t>。</w:t>
      </w:r>
    </w:p>
    <w:p w:rsidR="00A27A3B" w:rsidRDefault="001A6D51" w:rsidP="00A27A3B">
      <w:pPr>
        <w:pStyle w:val="a3"/>
        <w:spacing w:line="500" w:lineRule="exact"/>
        <w:ind w:leftChars="0" w:left="0"/>
        <w:rPr>
          <w:rFonts w:eastAsia="標楷體"/>
          <w:sz w:val="18"/>
          <w:szCs w:val="22"/>
        </w:rPr>
      </w:pPr>
      <w:r w:rsidRPr="00A27A3B">
        <w:rPr>
          <w:rFonts w:eastAsia="標楷體" w:hint="eastAsia"/>
          <w:sz w:val="18"/>
          <w:szCs w:val="22"/>
        </w:rPr>
        <w:t>資料來源：</w:t>
      </w:r>
      <w:r w:rsidRPr="00A27A3B">
        <w:rPr>
          <w:rFonts w:eastAsia="標楷體"/>
          <w:sz w:val="18"/>
          <w:szCs w:val="22"/>
        </w:rPr>
        <w:t>CEIC</w:t>
      </w:r>
      <w:r w:rsidRPr="00A27A3B">
        <w:rPr>
          <w:rFonts w:eastAsia="標楷體" w:hint="eastAsia"/>
          <w:sz w:val="18"/>
          <w:szCs w:val="22"/>
        </w:rPr>
        <w:t>，經濟處製圖。</w:t>
      </w:r>
    </w:p>
    <w:p w:rsidR="00A27A3B" w:rsidRDefault="001A6D51" w:rsidP="00A27A3B">
      <w:pPr>
        <w:ind w:left="567"/>
        <w:jc w:val="center"/>
        <w:rPr>
          <w:rFonts w:ascii="Times New Roman" w:eastAsia="標楷體" w:hAnsi="Times New Roman" w:cs="Times New Roman"/>
          <w:b/>
          <w:sz w:val="28"/>
          <w:szCs w:val="28"/>
        </w:rPr>
      </w:pPr>
      <w:r w:rsidRPr="00784003">
        <w:rPr>
          <w:rFonts w:ascii="Times New Roman" w:eastAsia="標楷體" w:hAnsi="Times New Roman" w:cs="Times New Roman"/>
          <w:b/>
          <w:sz w:val="28"/>
          <w:szCs w:val="28"/>
        </w:rPr>
        <w:t>圖</w:t>
      </w:r>
      <w:r w:rsidRPr="00784003">
        <w:rPr>
          <w:rFonts w:ascii="Times New Roman" w:eastAsia="標楷體" w:hAnsi="Times New Roman" w:cs="Times New Roman"/>
          <w:b/>
          <w:sz w:val="28"/>
          <w:szCs w:val="28"/>
        </w:rPr>
        <w:t>1-3  M2/GDP</w:t>
      </w:r>
      <w:r w:rsidRPr="00784003">
        <w:rPr>
          <w:rFonts w:ascii="Times New Roman" w:eastAsia="標楷體" w:hAnsi="Times New Roman" w:cs="Times New Roman"/>
          <w:b/>
          <w:sz w:val="28"/>
          <w:szCs w:val="28"/>
        </w:rPr>
        <w:t>比重、</w:t>
      </w:r>
      <w:r w:rsidRPr="00784003">
        <w:rPr>
          <w:rFonts w:ascii="Times New Roman" w:eastAsia="標楷體" w:hAnsi="Times New Roman" w:cs="Times New Roman"/>
          <w:b/>
          <w:sz w:val="28"/>
          <w:szCs w:val="28"/>
        </w:rPr>
        <w:t>M1</w:t>
      </w:r>
      <w:r w:rsidRPr="00784003">
        <w:rPr>
          <w:rFonts w:ascii="Times New Roman" w:eastAsia="標楷體" w:hAnsi="Times New Roman" w:cs="Times New Roman"/>
          <w:b/>
          <w:sz w:val="28"/>
          <w:szCs w:val="28"/>
        </w:rPr>
        <w:t>及</w:t>
      </w:r>
      <w:r w:rsidRPr="00784003">
        <w:rPr>
          <w:rFonts w:ascii="Times New Roman" w:eastAsia="標楷體" w:hAnsi="Times New Roman" w:cs="Times New Roman"/>
          <w:b/>
          <w:sz w:val="28"/>
          <w:szCs w:val="28"/>
        </w:rPr>
        <w:t>M2</w:t>
      </w:r>
      <w:r w:rsidRPr="00784003">
        <w:rPr>
          <w:rFonts w:ascii="Times New Roman" w:eastAsia="標楷體" w:hAnsi="Times New Roman" w:cs="Times New Roman"/>
          <w:b/>
          <w:sz w:val="28"/>
          <w:szCs w:val="28"/>
        </w:rPr>
        <w:t>年增率</w:t>
      </w:r>
    </w:p>
    <w:p w:rsidR="00B47D1F" w:rsidRPr="00784003" w:rsidRDefault="00B47D1F" w:rsidP="00A27A3B">
      <w:pPr>
        <w:ind w:left="567"/>
        <w:jc w:val="center"/>
        <w:rPr>
          <w:rFonts w:ascii="Times New Roman" w:eastAsia="標楷體" w:hAnsi="Times New Roman" w:cs="Times New Roman"/>
          <w:b/>
          <w:sz w:val="28"/>
          <w:szCs w:val="28"/>
        </w:rPr>
      </w:pPr>
    </w:p>
    <w:p w:rsidR="00E847ED" w:rsidRPr="00E847ED" w:rsidRDefault="001A6D51" w:rsidP="00E847ED">
      <w:pPr>
        <w:pStyle w:val="a3"/>
        <w:numPr>
          <w:ilvl w:val="0"/>
          <w:numId w:val="1"/>
        </w:numPr>
        <w:spacing w:line="500" w:lineRule="exact"/>
        <w:ind w:leftChars="0"/>
        <w:rPr>
          <w:rFonts w:eastAsia="標楷體"/>
          <w:sz w:val="28"/>
          <w:szCs w:val="22"/>
        </w:rPr>
      </w:pPr>
      <w:r>
        <w:rPr>
          <w:rFonts w:eastAsia="標楷體" w:hint="eastAsia"/>
          <w:b/>
          <w:sz w:val="28"/>
          <w:szCs w:val="22"/>
        </w:rPr>
        <w:t>社會融資規模</w:t>
      </w:r>
    </w:p>
    <w:p w:rsidR="00E847ED" w:rsidRPr="00784003" w:rsidRDefault="001A6D51" w:rsidP="00E55A5E">
      <w:pPr>
        <w:tabs>
          <w:tab w:val="left" w:pos="567"/>
        </w:tabs>
        <w:spacing w:beforeLines="30" w:before="108" w:line="480" w:lineRule="exact"/>
        <w:ind w:left="567"/>
        <w:jc w:val="both"/>
        <w:rPr>
          <w:rFonts w:ascii="Times New Roman" w:eastAsia="標楷體" w:hAnsi="Times New Roman" w:cs="Times New Roman"/>
          <w:sz w:val="28"/>
          <w:szCs w:val="28"/>
        </w:rPr>
      </w:pPr>
      <w:r w:rsidRPr="00784003">
        <w:rPr>
          <w:rFonts w:ascii="Times New Roman" w:eastAsia="標楷體" w:hAnsi="Times New Roman" w:cs="Times New Roman"/>
          <w:sz w:val="28"/>
          <w:szCs w:val="28"/>
        </w:rPr>
        <w:tab/>
        <w:t>2018</w:t>
      </w:r>
      <w:r w:rsidRPr="00784003">
        <w:rPr>
          <w:rFonts w:ascii="Times New Roman" w:eastAsia="標楷體" w:hAnsi="Times New Roman" w:cs="Times New Roman"/>
          <w:sz w:val="28"/>
          <w:szCs w:val="28"/>
        </w:rPr>
        <w:t>年</w:t>
      </w:r>
      <w:r w:rsidR="006F5EA9" w:rsidRPr="00784003">
        <w:rPr>
          <w:rFonts w:ascii="Times New Roman" w:eastAsia="標楷體" w:hAnsi="Times New Roman" w:cs="Times New Roman"/>
          <w:sz w:val="28"/>
          <w:szCs w:val="28"/>
        </w:rPr>
        <w:t>中國大陸</w:t>
      </w:r>
      <w:r w:rsidRPr="00784003">
        <w:rPr>
          <w:rFonts w:ascii="Times New Roman" w:eastAsia="標楷體" w:hAnsi="Times New Roman" w:cs="Times New Roman"/>
          <w:sz w:val="28"/>
          <w:szCs w:val="28"/>
        </w:rPr>
        <w:t>社會融資規模增加</w:t>
      </w:r>
      <w:r w:rsidR="007D19E4" w:rsidRPr="00784003">
        <w:rPr>
          <w:rFonts w:ascii="Times New Roman" w:eastAsia="標楷體" w:hAnsi="Times New Roman" w:cs="Times New Roman"/>
          <w:sz w:val="28"/>
          <w:szCs w:val="28"/>
        </w:rPr>
        <w:t>19</w:t>
      </w:r>
      <w:r w:rsidR="00784003">
        <w:rPr>
          <w:rFonts w:ascii="Times New Roman" w:eastAsia="標楷體" w:hAnsi="Times New Roman" w:cs="Times New Roman"/>
          <w:sz w:val="28"/>
          <w:szCs w:val="28"/>
        </w:rPr>
        <w:t>.</w:t>
      </w:r>
      <w:r w:rsidR="00784003">
        <w:rPr>
          <w:rFonts w:ascii="Times New Roman" w:eastAsia="標楷體" w:hAnsi="Times New Roman" w:cs="Times New Roman" w:hint="eastAsia"/>
          <w:sz w:val="28"/>
          <w:szCs w:val="28"/>
        </w:rPr>
        <w:t>3</w:t>
      </w:r>
      <w:r w:rsidRPr="00784003">
        <w:rPr>
          <w:rFonts w:ascii="Times New Roman" w:eastAsia="標楷體" w:hAnsi="Times New Roman" w:cs="Times New Roman"/>
          <w:sz w:val="28"/>
          <w:szCs w:val="28"/>
        </w:rPr>
        <w:t>兆元</w:t>
      </w:r>
      <w:r w:rsidR="006F5EA9" w:rsidRPr="00784003">
        <w:rPr>
          <w:rFonts w:ascii="Times New Roman" w:eastAsia="標楷體" w:hAnsi="Times New Roman" w:cs="Times New Roman"/>
          <w:sz w:val="28"/>
          <w:szCs w:val="28"/>
        </w:rPr>
        <w:t>人民幣</w:t>
      </w:r>
      <w:r w:rsidR="00784003">
        <w:rPr>
          <w:rFonts w:ascii="Times New Roman" w:eastAsia="標楷體" w:hAnsi="Times New Roman" w:cs="Times New Roman" w:hint="eastAsia"/>
          <w:sz w:val="28"/>
          <w:szCs w:val="28"/>
        </w:rPr>
        <w:t>（</w:t>
      </w:r>
      <w:r w:rsidR="006F5EA9" w:rsidRPr="00784003">
        <w:rPr>
          <w:rFonts w:ascii="Times New Roman" w:eastAsia="標楷體" w:hAnsi="Times New Roman" w:cs="Times New Roman"/>
          <w:sz w:val="28"/>
          <w:szCs w:val="28"/>
        </w:rPr>
        <w:t>以下同</w:t>
      </w:r>
      <w:r w:rsidR="00784003">
        <w:rPr>
          <w:rFonts w:ascii="Times New Roman" w:eastAsia="標楷體" w:hAnsi="Times New Roman" w:cs="Times New Roman" w:hint="eastAsia"/>
          <w:sz w:val="28"/>
          <w:szCs w:val="28"/>
        </w:rPr>
        <w:t>）</w:t>
      </w:r>
      <w:r w:rsidRPr="00784003">
        <w:rPr>
          <w:rFonts w:ascii="Times New Roman" w:eastAsia="標楷體" w:hAnsi="Times New Roman" w:cs="Times New Roman"/>
          <w:sz w:val="28"/>
          <w:szCs w:val="28"/>
        </w:rPr>
        <w:t>，</w:t>
      </w:r>
      <w:r w:rsidR="009973DD">
        <w:rPr>
          <w:rFonts w:ascii="Times New Roman" w:eastAsia="標楷體" w:hAnsi="Times New Roman" w:cs="Times New Roman" w:hint="eastAsia"/>
          <w:sz w:val="28"/>
          <w:szCs w:val="28"/>
        </w:rPr>
        <w:lastRenderedPageBreak/>
        <w:t>增量</w:t>
      </w:r>
      <w:r w:rsidR="00F068F1" w:rsidRPr="00784003">
        <w:rPr>
          <w:rFonts w:ascii="Times New Roman" w:eastAsia="標楷體" w:hAnsi="Times New Roman" w:cs="Times New Roman"/>
          <w:sz w:val="28"/>
          <w:szCs w:val="28"/>
        </w:rPr>
        <w:t>較上</w:t>
      </w:r>
      <w:r w:rsidRPr="00784003">
        <w:rPr>
          <w:rFonts w:ascii="Times New Roman" w:eastAsia="標楷體" w:hAnsi="Times New Roman" w:cs="Times New Roman"/>
          <w:sz w:val="28"/>
          <w:szCs w:val="28"/>
        </w:rPr>
        <w:t>年</w:t>
      </w:r>
      <w:r w:rsidR="00F068F1" w:rsidRPr="00784003">
        <w:rPr>
          <w:rFonts w:ascii="Times New Roman" w:eastAsia="標楷體" w:hAnsi="Times New Roman" w:cs="Times New Roman"/>
          <w:sz w:val="28"/>
          <w:szCs w:val="28"/>
        </w:rPr>
        <w:t>減少</w:t>
      </w:r>
      <w:r w:rsidR="00784003">
        <w:rPr>
          <w:rFonts w:ascii="Times New Roman" w:eastAsia="標楷體" w:hAnsi="Times New Roman" w:cs="Times New Roman" w:hint="eastAsia"/>
          <w:sz w:val="28"/>
          <w:szCs w:val="28"/>
        </w:rPr>
        <w:t>3.1</w:t>
      </w:r>
      <w:r w:rsidR="00F068F1" w:rsidRPr="00784003">
        <w:rPr>
          <w:rFonts w:ascii="Times New Roman" w:eastAsia="標楷體" w:hAnsi="Times New Roman" w:cs="Times New Roman"/>
          <w:sz w:val="28"/>
          <w:szCs w:val="28"/>
        </w:rPr>
        <w:t>兆元</w:t>
      </w:r>
      <w:r w:rsidR="000C5E7C">
        <w:rPr>
          <w:rFonts w:ascii="Times New Roman" w:eastAsia="標楷體" w:hAnsi="Times New Roman" w:cs="Times New Roman" w:hint="eastAsia"/>
          <w:sz w:val="28"/>
          <w:szCs w:val="28"/>
        </w:rPr>
        <w:t>，主要</w:t>
      </w:r>
      <w:proofErr w:type="gramStart"/>
      <w:r w:rsidR="000C5E7C">
        <w:rPr>
          <w:rFonts w:ascii="Times New Roman" w:eastAsia="標楷體" w:hAnsi="Times New Roman" w:cs="Times New Roman" w:hint="eastAsia"/>
          <w:sz w:val="28"/>
          <w:szCs w:val="28"/>
        </w:rPr>
        <w:t>係</w:t>
      </w:r>
      <w:r w:rsidR="00485241">
        <w:rPr>
          <w:rFonts w:ascii="Times New Roman" w:eastAsia="標楷體" w:hAnsi="Times New Roman" w:cs="Times New Roman" w:hint="eastAsia"/>
          <w:sz w:val="28"/>
          <w:szCs w:val="28"/>
        </w:rPr>
        <w:t>因</w:t>
      </w:r>
      <w:r w:rsidR="000C5E7C">
        <w:rPr>
          <w:rFonts w:ascii="Times New Roman" w:eastAsia="標楷體" w:hAnsi="Times New Roman" w:cs="Times New Roman" w:hint="eastAsia"/>
          <w:sz w:val="28"/>
          <w:szCs w:val="28"/>
        </w:rPr>
        <w:t>表外</w:t>
      </w:r>
      <w:proofErr w:type="gramEnd"/>
      <w:r w:rsidR="000C5E7C">
        <w:rPr>
          <w:rFonts w:ascii="Times New Roman" w:eastAsia="標楷體" w:hAnsi="Times New Roman" w:cs="Times New Roman" w:hint="eastAsia"/>
          <w:sz w:val="28"/>
          <w:szCs w:val="28"/>
        </w:rPr>
        <w:t>融資明顯下降</w:t>
      </w:r>
      <w:r w:rsidRPr="00784003">
        <w:rPr>
          <w:rFonts w:ascii="Times New Roman" w:eastAsia="標楷體" w:hAnsi="Times New Roman" w:cs="Times New Roman"/>
          <w:sz w:val="28"/>
          <w:szCs w:val="28"/>
        </w:rPr>
        <w:t>。說明如下：</w:t>
      </w:r>
    </w:p>
    <w:p w:rsidR="006B49FB" w:rsidRPr="00784003" w:rsidRDefault="00784003" w:rsidP="002A4962">
      <w:pPr>
        <w:pStyle w:val="a3"/>
        <w:numPr>
          <w:ilvl w:val="0"/>
          <w:numId w:val="2"/>
        </w:numPr>
        <w:spacing w:beforeLines="30" w:before="108" w:line="480" w:lineRule="exact"/>
        <w:ind w:leftChars="236" w:left="849" w:hangingChars="101" w:hanging="283"/>
        <w:jc w:val="both"/>
        <w:rPr>
          <w:rFonts w:eastAsia="標楷體"/>
          <w:color w:val="000000" w:themeColor="text1"/>
          <w:sz w:val="28"/>
          <w:szCs w:val="28"/>
        </w:rPr>
      </w:pPr>
      <w:r>
        <w:rPr>
          <w:rFonts w:eastAsia="標楷體"/>
          <w:b/>
          <w:sz w:val="28"/>
          <w:szCs w:val="28"/>
        </w:rPr>
        <w:t>銀行貸款</w:t>
      </w:r>
      <w:r>
        <w:rPr>
          <w:rFonts w:eastAsia="標楷體" w:hint="eastAsia"/>
          <w:b/>
          <w:sz w:val="28"/>
          <w:szCs w:val="28"/>
        </w:rPr>
        <w:t>成</w:t>
      </w:r>
      <w:r w:rsidR="001A6D51" w:rsidRPr="00784003">
        <w:rPr>
          <w:rFonts w:eastAsia="標楷體"/>
          <w:b/>
          <w:sz w:val="28"/>
          <w:szCs w:val="28"/>
        </w:rPr>
        <w:t>長快速：</w:t>
      </w:r>
      <w:r w:rsidR="0030170D" w:rsidRPr="00784003">
        <w:rPr>
          <w:rFonts w:eastAsia="標楷體"/>
          <w:sz w:val="28"/>
          <w:szCs w:val="28"/>
        </w:rPr>
        <w:t>受中國大陸</w:t>
      </w:r>
      <w:r w:rsidR="0030170D" w:rsidRPr="00784003">
        <w:rPr>
          <w:rFonts w:eastAsia="標楷體"/>
          <w:color w:val="000000" w:themeColor="text1"/>
          <w:sz w:val="28"/>
          <w:szCs w:val="28"/>
        </w:rPr>
        <w:t>持續強化影子銀行監管影響，</w:t>
      </w:r>
      <w:r w:rsidR="001A6D51" w:rsidRPr="00784003">
        <w:rPr>
          <w:rFonts w:eastAsia="標楷體"/>
          <w:color w:val="000000" w:themeColor="text1"/>
          <w:sz w:val="28"/>
          <w:szCs w:val="28"/>
        </w:rPr>
        <w:t>表外融資</w:t>
      </w:r>
      <w:r w:rsidR="0030170D" w:rsidRPr="00784003">
        <w:rPr>
          <w:rFonts w:eastAsia="標楷體"/>
          <w:color w:val="000000" w:themeColor="text1"/>
          <w:sz w:val="28"/>
          <w:szCs w:val="28"/>
        </w:rPr>
        <w:t>大幅縮減</w:t>
      </w:r>
      <w:r w:rsidR="001A6D51" w:rsidRPr="00784003">
        <w:rPr>
          <w:rFonts w:eastAsia="標楷體"/>
          <w:color w:val="000000" w:themeColor="text1"/>
          <w:sz w:val="28"/>
          <w:szCs w:val="28"/>
        </w:rPr>
        <w:t>，</w:t>
      </w:r>
      <w:r w:rsidR="0030170D" w:rsidRPr="00784003">
        <w:rPr>
          <w:rFonts w:eastAsia="標楷體"/>
          <w:color w:val="000000" w:themeColor="text1"/>
          <w:sz w:val="28"/>
          <w:szCs w:val="28"/>
        </w:rPr>
        <w:t>廠商融資管道轉向銀行體系。</w:t>
      </w:r>
      <w:r w:rsidR="001A6D51" w:rsidRPr="00784003">
        <w:rPr>
          <w:rFonts w:eastAsia="標楷體"/>
          <w:color w:val="000000" w:themeColor="text1"/>
          <w:sz w:val="28"/>
          <w:szCs w:val="28"/>
        </w:rPr>
        <w:t>2018</w:t>
      </w:r>
      <w:r w:rsidR="001A6D51" w:rsidRPr="00784003">
        <w:rPr>
          <w:rFonts w:eastAsia="標楷體"/>
          <w:color w:val="000000" w:themeColor="text1"/>
          <w:sz w:val="28"/>
          <w:szCs w:val="28"/>
        </w:rPr>
        <w:t>年中國大陸銀行</w:t>
      </w:r>
      <w:r w:rsidRPr="00784003">
        <w:rPr>
          <w:rFonts w:eastAsia="標楷體"/>
          <w:color w:val="000000" w:themeColor="text1"/>
          <w:sz w:val="28"/>
          <w:szCs w:val="28"/>
        </w:rPr>
        <w:t>人民幣</w:t>
      </w:r>
      <w:r w:rsidR="001A6D51" w:rsidRPr="00784003">
        <w:rPr>
          <w:rFonts w:eastAsia="標楷體"/>
          <w:color w:val="000000" w:themeColor="text1"/>
          <w:sz w:val="28"/>
          <w:szCs w:val="28"/>
        </w:rPr>
        <w:t>貸款增加</w:t>
      </w:r>
      <w:r>
        <w:rPr>
          <w:rFonts w:eastAsia="標楷體"/>
          <w:color w:val="000000" w:themeColor="text1"/>
          <w:sz w:val="28"/>
          <w:szCs w:val="28"/>
        </w:rPr>
        <w:t>15.</w:t>
      </w:r>
      <w:r w:rsidR="001A6D51" w:rsidRPr="00784003">
        <w:rPr>
          <w:rFonts w:eastAsia="標楷體"/>
          <w:color w:val="000000" w:themeColor="text1"/>
          <w:sz w:val="28"/>
          <w:szCs w:val="28"/>
        </w:rPr>
        <w:t>7</w:t>
      </w:r>
      <w:r w:rsidR="001A6D51" w:rsidRPr="00784003">
        <w:rPr>
          <w:rFonts w:eastAsia="標楷體"/>
          <w:color w:val="000000" w:themeColor="text1"/>
          <w:sz w:val="28"/>
          <w:szCs w:val="28"/>
        </w:rPr>
        <w:t>兆元，</w:t>
      </w:r>
      <w:r w:rsidR="0030170D" w:rsidRPr="00784003">
        <w:rPr>
          <w:rFonts w:eastAsia="標楷體"/>
          <w:color w:val="000000" w:themeColor="text1"/>
          <w:sz w:val="28"/>
          <w:szCs w:val="28"/>
        </w:rPr>
        <w:t>較</w:t>
      </w:r>
      <w:r w:rsidR="0030170D" w:rsidRPr="00784003">
        <w:rPr>
          <w:rFonts w:eastAsia="標楷體"/>
          <w:color w:val="000000" w:themeColor="text1"/>
          <w:sz w:val="28"/>
          <w:szCs w:val="28"/>
        </w:rPr>
        <w:t>2017</w:t>
      </w:r>
      <w:r w:rsidR="001A6D51" w:rsidRPr="00784003">
        <w:rPr>
          <w:rFonts w:eastAsia="標楷體"/>
          <w:color w:val="000000" w:themeColor="text1"/>
          <w:sz w:val="28"/>
          <w:szCs w:val="28"/>
        </w:rPr>
        <w:t>年增加</w:t>
      </w:r>
      <w:r>
        <w:rPr>
          <w:rFonts w:eastAsia="標楷體"/>
          <w:color w:val="000000" w:themeColor="text1"/>
          <w:sz w:val="28"/>
          <w:szCs w:val="28"/>
        </w:rPr>
        <w:t>1.8</w:t>
      </w:r>
      <w:r w:rsidR="001A6D51" w:rsidRPr="00784003">
        <w:rPr>
          <w:rFonts w:eastAsia="標楷體"/>
          <w:color w:val="000000" w:themeColor="text1"/>
          <w:sz w:val="28"/>
          <w:szCs w:val="28"/>
        </w:rPr>
        <w:t>兆元，金額持續創紀錄。</w:t>
      </w:r>
    </w:p>
    <w:p w:rsidR="00BC596C" w:rsidRPr="00784003" w:rsidRDefault="001A6D51" w:rsidP="002A4962">
      <w:pPr>
        <w:pStyle w:val="a3"/>
        <w:numPr>
          <w:ilvl w:val="0"/>
          <w:numId w:val="3"/>
        </w:numPr>
        <w:spacing w:beforeLines="30" w:before="108" w:line="480" w:lineRule="exact"/>
        <w:ind w:leftChars="236" w:left="849" w:hangingChars="101" w:hanging="283"/>
        <w:jc w:val="both"/>
        <w:rPr>
          <w:rFonts w:eastAsia="標楷體"/>
          <w:sz w:val="28"/>
          <w:szCs w:val="28"/>
        </w:rPr>
      </w:pPr>
      <w:r w:rsidRPr="00784003">
        <w:rPr>
          <w:rFonts w:eastAsia="標楷體"/>
          <w:b/>
          <w:kern w:val="0"/>
          <w:sz w:val="28"/>
          <w:szCs w:val="28"/>
        </w:rPr>
        <w:t>表外融資下降明顯：</w:t>
      </w:r>
      <w:r w:rsidRPr="00784003">
        <w:rPr>
          <w:rFonts w:eastAsia="標楷體"/>
          <w:kern w:val="0"/>
          <w:sz w:val="28"/>
          <w:szCs w:val="28"/>
        </w:rPr>
        <w:t>2018</w:t>
      </w:r>
      <w:r w:rsidRPr="00784003">
        <w:rPr>
          <w:rFonts w:eastAsia="標楷體"/>
          <w:kern w:val="0"/>
          <w:sz w:val="28"/>
          <w:szCs w:val="28"/>
        </w:rPr>
        <w:t>年表外融資</w:t>
      </w:r>
      <w:r w:rsidR="00784003">
        <w:rPr>
          <w:rFonts w:eastAsia="標楷體" w:hint="eastAsia"/>
          <w:kern w:val="0"/>
          <w:sz w:val="28"/>
          <w:szCs w:val="28"/>
        </w:rPr>
        <w:t>（</w:t>
      </w:r>
      <w:r w:rsidRPr="00784003">
        <w:rPr>
          <w:rFonts w:eastAsia="標楷體"/>
          <w:kern w:val="0"/>
          <w:sz w:val="28"/>
          <w:szCs w:val="28"/>
        </w:rPr>
        <w:t>包括委託貸款、信託貸款及未貼現銀行承兌匯票</w:t>
      </w:r>
      <w:r w:rsidR="00784003">
        <w:rPr>
          <w:rFonts w:eastAsia="標楷體" w:hint="eastAsia"/>
          <w:kern w:val="0"/>
          <w:sz w:val="28"/>
          <w:szCs w:val="28"/>
        </w:rPr>
        <w:t>）</w:t>
      </w:r>
      <w:r w:rsidRPr="00784003">
        <w:rPr>
          <w:rFonts w:eastAsia="標楷體"/>
          <w:kern w:val="0"/>
          <w:sz w:val="28"/>
          <w:szCs w:val="28"/>
        </w:rPr>
        <w:t>合計減少</w:t>
      </w:r>
      <w:r w:rsidRPr="00784003">
        <w:rPr>
          <w:rFonts w:eastAsia="標楷體"/>
          <w:kern w:val="0"/>
          <w:sz w:val="28"/>
          <w:szCs w:val="28"/>
        </w:rPr>
        <w:t>2.9</w:t>
      </w:r>
      <w:r w:rsidRPr="00784003">
        <w:rPr>
          <w:rFonts w:eastAsia="標楷體"/>
          <w:kern w:val="0"/>
          <w:sz w:val="28"/>
          <w:szCs w:val="28"/>
        </w:rPr>
        <w:t>兆元</w:t>
      </w:r>
      <w:r w:rsidRPr="00784003">
        <w:rPr>
          <w:rFonts w:eastAsia="標楷體"/>
          <w:sz w:val="28"/>
          <w:szCs w:val="28"/>
        </w:rPr>
        <w:t>，主因</w:t>
      </w:r>
      <w:r w:rsidR="00532040" w:rsidRPr="00784003">
        <w:rPr>
          <w:rFonts w:eastAsia="標楷體"/>
          <w:sz w:val="28"/>
          <w:szCs w:val="28"/>
        </w:rPr>
        <w:t>是</w:t>
      </w:r>
      <w:r w:rsidR="0013190D" w:rsidRPr="00784003">
        <w:rPr>
          <w:rFonts w:eastAsia="標楷體"/>
          <w:sz w:val="28"/>
          <w:szCs w:val="28"/>
        </w:rPr>
        <w:t>中國大陸持續</w:t>
      </w:r>
      <w:r w:rsidR="00532040" w:rsidRPr="00784003">
        <w:rPr>
          <w:rFonts w:eastAsia="標楷體"/>
          <w:sz w:val="28"/>
          <w:szCs w:val="28"/>
        </w:rPr>
        <w:t>加強</w:t>
      </w:r>
      <w:r w:rsidRPr="00784003">
        <w:rPr>
          <w:rFonts w:eastAsia="標楷體"/>
          <w:sz w:val="28"/>
          <w:szCs w:val="28"/>
        </w:rPr>
        <w:t>監管政策</w:t>
      </w:r>
      <w:r w:rsidR="00532040" w:rsidRPr="00784003">
        <w:rPr>
          <w:rStyle w:val="ae"/>
          <w:rFonts w:eastAsia="標楷體"/>
          <w:sz w:val="28"/>
          <w:szCs w:val="28"/>
        </w:rPr>
        <w:footnoteReference w:id="3"/>
      </w:r>
      <w:r w:rsidRPr="00784003">
        <w:rPr>
          <w:rFonts w:eastAsia="標楷體"/>
          <w:sz w:val="28"/>
          <w:szCs w:val="28"/>
        </w:rPr>
        <w:t>，</w:t>
      </w:r>
      <w:r w:rsidR="00532040" w:rsidRPr="00784003">
        <w:rPr>
          <w:rFonts w:eastAsia="標楷體"/>
          <w:sz w:val="28"/>
          <w:szCs w:val="28"/>
        </w:rPr>
        <w:t>抑制表外融資的擴張行為，</w:t>
      </w:r>
      <w:r w:rsidRPr="00784003">
        <w:rPr>
          <w:rFonts w:eastAsia="標楷體"/>
          <w:sz w:val="28"/>
          <w:szCs w:val="28"/>
        </w:rPr>
        <w:t>導致銀行同業、理財、表外業務增速放緩或呈現負增長。</w:t>
      </w:r>
    </w:p>
    <w:p w:rsidR="009748AC" w:rsidRPr="00784003" w:rsidRDefault="001A6D51" w:rsidP="00043C0B">
      <w:pPr>
        <w:pStyle w:val="a3"/>
        <w:numPr>
          <w:ilvl w:val="0"/>
          <w:numId w:val="2"/>
        </w:numPr>
        <w:spacing w:beforeLines="30" w:before="108" w:line="480" w:lineRule="exact"/>
        <w:ind w:leftChars="178" w:left="850" w:hangingChars="151" w:hanging="423"/>
        <w:jc w:val="both"/>
        <w:rPr>
          <w:rFonts w:eastAsia="標楷體"/>
          <w:kern w:val="0"/>
          <w:sz w:val="28"/>
          <w:szCs w:val="28"/>
        </w:rPr>
      </w:pPr>
      <w:r w:rsidRPr="00784003">
        <w:rPr>
          <w:rFonts w:eastAsia="標楷體"/>
          <w:b/>
          <w:kern w:val="0"/>
          <w:sz w:val="28"/>
          <w:szCs w:val="28"/>
        </w:rPr>
        <w:t>資本市場融資：</w:t>
      </w:r>
      <w:r w:rsidR="00C5529A" w:rsidRPr="00784003">
        <w:rPr>
          <w:rFonts w:eastAsia="標楷體"/>
          <w:kern w:val="0"/>
          <w:sz w:val="28"/>
          <w:szCs w:val="28"/>
        </w:rPr>
        <w:t>由於影子銀行融資管道受限，企業轉向資本市場籌資。</w:t>
      </w:r>
      <w:r w:rsidRPr="00784003">
        <w:rPr>
          <w:rFonts w:eastAsia="標楷體"/>
          <w:kern w:val="0"/>
          <w:sz w:val="28"/>
          <w:szCs w:val="28"/>
        </w:rPr>
        <w:t>2018</w:t>
      </w:r>
      <w:r w:rsidRPr="00784003">
        <w:rPr>
          <w:rFonts w:eastAsia="標楷體"/>
          <w:kern w:val="0"/>
          <w:sz w:val="28"/>
          <w:szCs w:val="28"/>
        </w:rPr>
        <w:t>年資本市場融資（包括公司債及股票）合計增加</w:t>
      </w:r>
      <w:r w:rsidR="00784003">
        <w:rPr>
          <w:rFonts w:eastAsia="標楷體"/>
          <w:kern w:val="0"/>
          <w:sz w:val="28"/>
          <w:szCs w:val="28"/>
        </w:rPr>
        <w:t>2.</w:t>
      </w:r>
      <w:r w:rsidR="00784003">
        <w:rPr>
          <w:rFonts w:eastAsia="標楷體" w:hint="eastAsia"/>
          <w:kern w:val="0"/>
          <w:sz w:val="28"/>
          <w:szCs w:val="28"/>
        </w:rPr>
        <w:t>9</w:t>
      </w:r>
      <w:r w:rsidRPr="00784003">
        <w:rPr>
          <w:rFonts w:eastAsia="標楷體"/>
          <w:kern w:val="0"/>
          <w:sz w:val="28"/>
          <w:szCs w:val="28"/>
        </w:rPr>
        <w:t>兆元，其中債券融資增加較多，企業債融資為</w:t>
      </w:r>
      <w:r w:rsidRPr="00784003">
        <w:rPr>
          <w:rFonts w:eastAsia="標楷體"/>
          <w:kern w:val="0"/>
          <w:sz w:val="28"/>
          <w:szCs w:val="28"/>
        </w:rPr>
        <w:t>2.</w:t>
      </w:r>
      <w:r w:rsidR="00784003">
        <w:rPr>
          <w:rFonts w:eastAsia="標楷體" w:hint="eastAsia"/>
          <w:kern w:val="0"/>
          <w:sz w:val="28"/>
          <w:szCs w:val="28"/>
        </w:rPr>
        <w:t>5</w:t>
      </w:r>
      <w:r w:rsidRPr="00784003">
        <w:rPr>
          <w:rFonts w:eastAsia="標楷體"/>
          <w:kern w:val="0"/>
          <w:sz w:val="28"/>
          <w:szCs w:val="28"/>
        </w:rPr>
        <w:t>兆元，比</w:t>
      </w:r>
      <w:r w:rsidR="00C5529A" w:rsidRPr="00784003">
        <w:rPr>
          <w:rFonts w:eastAsia="標楷體"/>
          <w:kern w:val="0"/>
          <w:sz w:val="28"/>
          <w:szCs w:val="28"/>
        </w:rPr>
        <w:t>上</w:t>
      </w:r>
      <w:r w:rsidRPr="00784003">
        <w:rPr>
          <w:rFonts w:eastAsia="標楷體"/>
          <w:kern w:val="0"/>
          <w:sz w:val="28"/>
          <w:szCs w:val="28"/>
        </w:rPr>
        <w:t>年增加</w:t>
      </w:r>
      <w:r w:rsidRPr="00784003">
        <w:rPr>
          <w:rFonts w:eastAsia="標楷體"/>
          <w:kern w:val="0"/>
          <w:sz w:val="28"/>
          <w:szCs w:val="28"/>
        </w:rPr>
        <w:t>2.0</w:t>
      </w:r>
      <w:r w:rsidRPr="00784003">
        <w:rPr>
          <w:rFonts w:eastAsia="標楷體"/>
          <w:kern w:val="0"/>
          <w:sz w:val="28"/>
          <w:szCs w:val="28"/>
        </w:rPr>
        <w:t>兆元，而股票融資規模受</w:t>
      </w:r>
      <w:r w:rsidRPr="00784003">
        <w:rPr>
          <w:rFonts w:eastAsia="標楷體"/>
          <w:kern w:val="0"/>
          <w:sz w:val="28"/>
          <w:szCs w:val="28"/>
        </w:rPr>
        <w:t>2018</w:t>
      </w:r>
      <w:r w:rsidRPr="00784003">
        <w:rPr>
          <w:rFonts w:eastAsia="標楷體"/>
          <w:kern w:val="0"/>
          <w:sz w:val="28"/>
          <w:szCs w:val="28"/>
        </w:rPr>
        <w:t>年股市</w:t>
      </w:r>
      <w:r w:rsidR="00505970" w:rsidRPr="00784003">
        <w:rPr>
          <w:rFonts w:eastAsia="標楷體"/>
          <w:kern w:val="0"/>
          <w:sz w:val="28"/>
          <w:szCs w:val="28"/>
        </w:rPr>
        <w:t>疲弱</w:t>
      </w:r>
      <w:r w:rsidRPr="00784003">
        <w:rPr>
          <w:rFonts w:eastAsia="標楷體"/>
          <w:kern w:val="0"/>
          <w:sz w:val="28"/>
          <w:szCs w:val="28"/>
        </w:rPr>
        <w:t>影響，僅</w:t>
      </w:r>
      <w:r w:rsidR="00C5529A" w:rsidRPr="00784003">
        <w:rPr>
          <w:rFonts w:eastAsia="標楷體"/>
          <w:kern w:val="0"/>
          <w:sz w:val="28"/>
          <w:szCs w:val="28"/>
        </w:rPr>
        <w:t>增加</w:t>
      </w:r>
      <w:r w:rsidRPr="00784003">
        <w:rPr>
          <w:rFonts w:eastAsia="標楷體"/>
          <w:kern w:val="0"/>
          <w:sz w:val="28"/>
          <w:szCs w:val="28"/>
        </w:rPr>
        <w:t>0.4</w:t>
      </w:r>
      <w:r w:rsidRPr="00784003">
        <w:rPr>
          <w:rFonts w:eastAsia="標楷體"/>
          <w:kern w:val="0"/>
          <w:sz w:val="28"/>
          <w:szCs w:val="28"/>
        </w:rPr>
        <w:t>兆元，比去年減少</w:t>
      </w:r>
      <w:r w:rsidRPr="00784003">
        <w:rPr>
          <w:rFonts w:eastAsia="標楷體"/>
          <w:kern w:val="0"/>
          <w:sz w:val="28"/>
          <w:szCs w:val="28"/>
        </w:rPr>
        <w:t>0.5</w:t>
      </w:r>
      <w:r w:rsidR="007B7431" w:rsidRPr="00784003">
        <w:rPr>
          <w:rFonts w:eastAsia="標楷體"/>
          <w:kern w:val="0"/>
          <w:sz w:val="28"/>
          <w:szCs w:val="28"/>
        </w:rPr>
        <w:t>兆元</w:t>
      </w:r>
      <w:r w:rsidRPr="00784003">
        <w:rPr>
          <w:rFonts w:eastAsia="標楷體"/>
          <w:kern w:val="0"/>
          <w:sz w:val="28"/>
          <w:szCs w:val="28"/>
        </w:rPr>
        <w:t>。</w:t>
      </w:r>
    </w:p>
    <w:p w:rsidR="00512C72" w:rsidRPr="00512C72" w:rsidRDefault="00043C0B" w:rsidP="00512C72">
      <w:pPr>
        <w:tabs>
          <w:tab w:val="left" w:pos="290"/>
        </w:tabs>
        <w:spacing w:line="0" w:lineRule="atLeast"/>
        <w:ind w:left="482"/>
        <w:jc w:val="both"/>
        <w:rPr>
          <w:rFonts w:eastAsia="標楷體"/>
          <w:kern w:val="0"/>
          <w:sz w:val="18"/>
          <w:szCs w:val="28"/>
        </w:rPr>
      </w:pPr>
      <w:r w:rsidRPr="00784003">
        <w:rPr>
          <w:rFonts w:eastAsia="標楷體"/>
          <w:noProof/>
          <w:kern w:val="0"/>
          <w:sz w:val="28"/>
          <w:szCs w:val="28"/>
        </w:rPr>
        <w:drawing>
          <wp:anchor distT="0" distB="0" distL="114300" distR="114300" simplePos="0" relativeHeight="251664384" behindDoc="0" locked="0" layoutInCell="1" allowOverlap="1" wp14:anchorId="111779D3" wp14:editId="4CA95224">
            <wp:simplePos x="0" y="0"/>
            <wp:positionH relativeFrom="column">
              <wp:posOffset>-45720</wp:posOffset>
            </wp:positionH>
            <wp:positionV relativeFrom="paragraph">
              <wp:posOffset>51435</wp:posOffset>
            </wp:positionV>
            <wp:extent cx="5518150" cy="2345055"/>
            <wp:effectExtent l="0" t="0" r="0" b="0"/>
            <wp:wrapSquare wrapText="bothSides"/>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roofErr w:type="gramStart"/>
      <w:r w:rsidR="001A6D51" w:rsidRPr="00512C72">
        <w:rPr>
          <w:rFonts w:eastAsia="標楷體" w:hint="eastAsia"/>
          <w:kern w:val="0"/>
          <w:sz w:val="18"/>
          <w:szCs w:val="28"/>
        </w:rPr>
        <w:t>註</w:t>
      </w:r>
      <w:proofErr w:type="gramEnd"/>
      <w:r w:rsidR="001A6D51" w:rsidRPr="00512C72">
        <w:rPr>
          <w:rFonts w:eastAsia="標楷體" w:hint="eastAsia"/>
          <w:kern w:val="0"/>
          <w:sz w:val="18"/>
          <w:szCs w:val="28"/>
        </w:rPr>
        <w:t>：中國大陸政府於</w:t>
      </w:r>
      <w:r w:rsidR="001A6D51" w:rsidRPr="00512C72">
        <w:rPr>
          <w:rFonts w:eastAsia="標楷體"/>
          <w:kern w:val="0"/>
          <w:sz w:val="18"/>
          <w:szCs w:val="28"/>
        </w:rPr>
        <w:t>9</w:t>
      </w:r>
      <w:r w:rsidR="001A6D51" w:rsidRPr="00512C72">
        <w:rPr>
          <w:rFonts w:eastAsia="標楷體" w:hint="eastAsia"/>
          <w:kern w:val="0"/>
          <w:sz w:val="18"/>
          <w:szCs w:val="28"/>
        </w:rPr>
        <w:t>月起將地方政府專項債券淨融資納入社會融資規模</w:t>
      </w:r>
      <w:r w:rsidR="000C5E7C">
        <w:rPr>
          <w:rFonts w:eastAsia="標楷體" w:hint="eastAsia"/>
          <w:kern w:val="0"/>
          <w:sz w:val="18"/>
          <w:szCs w:val="28"/>
        </w:rPr>
        <w:t>。</w:t>
      </w:r>
    </w:p>
    <w:p w:rsidR="00512C72" w:rsidRDefault="001A6D51" w:rsidP="00043C0B">
      <w:pPr>
        <w:tabs>
          <w:tab w:val="left" w:pos="290"/>
        </w:tabs>
        <w:spacing w:line="0" w:lineRule="atLeast"/>
        <w:ind w:left="482"/>
        <w:jc w:val="both"/>
        <w:rPr>
          <w:rFonts w:eastAsia="標楷體"/>
          <w:kern w:val="0"/>
          <w:sz w:val="18"/>
          <w:szCs w:val="28"/>
        </w:rPr>
      </w:pPr>
      <w:r w:rsidRPr="00512C72">
        <w:rPr>
          <w:rFonts w:eastAsia="標楷體" w:hint="eastAsia"/>
          <w:kern w:val="0"/>
          <w:sz w:val="18"/>
          <w:szCs w:val="28"/>
        </w:rPr>
        <w:t>資料來源：</w:t>
      </w:r>
      <w:r w:rsidRPr="00512C72">
        <w:rPr>
          <w:rFonts w:eastAsia="標楷體"/>
          <w:kern w:val="0"/>
          <w:sz w:val="18"/>
          <w:szCs w:val="28"/>
        </w:rPr>
        <w:t>CEIC</w:t>
      </w:r>
      <w:r w:rsidRPr="00512C72">
        <w:rPr>
          <w:rFonts w:eastAsia="標楷體" w:hint="eastAsia"/>
          <w:kern w:val="0"/>
          <w:sz w:val="18"/>
          <w:szCs w:val="28"/>
        </w:rPr>
        <w:t>，經濟處自行計算。</w:t>
      </w:r>
    </w:p>
    <w:p w:rsidR="00297092" w:rsidRPr="00784003" w:rsidRDefault="001A6D51" w:rsidP="00297092">
      <w:pPr>
        <w:tabs>
          <w:tab w:val="left" w:pos="290"/>
        </w:tabs>
        <w:spacing w:afterLines="100" w:after="360" w:line="0" w:lineRule="atLeast"/>
        <w:ind w:left="482"/>
        <w:jc w:val="center"/>
        <w:rPr>
          <w:rFonts w:ascii="Times New Roman" w:eastAsia="標楷體" w:hAnsi="Times New Roman" w:cs="Times New Roman"/>
          <w:b/>
          <w:kern w:val="0"/>
          <w:sz w:val="28"/>
        </w:rPr>
      </w:pPr>
      <w:r w:rsidRPr="00784003">
        <w:rPr>
          <w:rFonts w:ascii="Times New Roman" w:eastAsia="標楷體" w:hAnsi="Times New Roman" w:cs="Times New Roman"/>
          <w:b/>
          <w:kern w:val="0"/>
          <w:sz w:val="28"/>
        </w:rPr>
        <w:t>圖</w:t>
      </w:r>
      <w:r w:rsidRPr="00784003">
        <w:rPr>
          <w:rFonts w:ascii="Times New Roman" w:eastAsia="標楷體" w:hAnsi="Times New Roman" w:cs="Times New Roman"/>
          <w:b/>
          <w:kern w:val="0"/>
          <w:sz w:val="28"/>
        </w:rPr>
        <w:t>1-4</w:t>
      </w:r>
      <w:r w:rsidRPr="00784003">
        <w:rPr>
          <w:rFonts w:ascii="Times New Roman" w:eastAsia="標楷體" w:hAnsi="Times New Roman" w:cs="Times New Roman"/>
          <w:b/>
          <w:kern w:val="0"/>
          <w:sz w:val="18"/>
          <w:szCs w:val="28"/>
        </w:rPr>
        <w:t xml:space="preserve"> </w:t>
      </w:r>
      <w:r w:rsidRPr="00784003">
        <w:rPr>
          <w:rFonts w:ascii="Times New Roman" w:eastAsia="標楷體" w:hAnsi="Times New Roman" w:cs="Times New Roman"/>
          <w:b/>
          <w:kern w:val="0"/>
          <w:sz w:val="28"/>
        </w:rPr>
        <w:t>社會融資規模增量金額</w:t>
      </w:r>
    </w:p>
    <w:p w:rsidR="00FF3B45" w:rsidRDefault="001A6D51" w:rsidP="00FF3B45">
      <w:pPr>
        <w:numPr>
          <w:ilvl w:val="0"/>
          <w:numId w:val="1"/>
        </w:numPr>
        <w:spacing w:line="480" w:lineRule="exact"/>
        <w:rPr>
          <w:rFonts w:ascii="Times New Roman" w:eastAsia="標楷體" w:hAnsi="Times New Roman" w:cs="Times New Roman"/>
          <w:b/>
          <w:sz w:val="28"/>
          <w:szCs w:val="24"/>
        </w:rPr>
      </w:pPr>
      <w:r>
        <w:rPr>
          <w:rFonts w:ascii="Times New Roman" w:eastAsia="標楷體" w:hAnsi="Times New Roman" w:cs="Times New Roman" w:hint="eastAsia"/>
          <w:b/>
          <w:sz w:val="28"/>
          <w:szCs w:val="24"/>
        </w:rPr>
        <w:lastRenderedPageBreak/>
        <w:t>股市表現</w:t>
      </w:r>
      <w:r w:rsidR="00907C53">
        <w:rPr>
          <w:rFonts w:ascii="Times New Roman" w:eastAsia="標楷體" w:hAnsi="Times New Roman" w:cs="Times New Roman" w:hint="eastAsia"/>
          <w:b/>
          <w:sz w:val="28"/>
          <w:szCs w:val="24"/>
        </w:rPr>
        <w:t>疲弱</w:t>
      </w:r>
    </w:p>
    <w:p w:rsidR="000E7DB0" w:rsidRPr="00784003" w:rsidRDefault="00043C0B" w:rsidP="00043C0B">
      <w:pPr>
        <w:spacing w:afterLines="50" w:after="180" w:line="480" w:lineRule="exact"/>
        <w:ind w:left="480" w:firstLine="480"/>
        <w:rPr>
          <w:rFonts w:ascii="Times New Roman" w:eastAsia="標楷體" w:hAnsi="Times New Roman" w:cs="Times New Roman"/>
          <w:sz w:val="28"/>
          <w:szCs w:val="24"/>
        </w:rPr>
      </w:pPr>
      <w:r w:rsidRPr="007E5E35">
        <w:rPr>
          <w:noProof/>
          <w:sz w:val="16"/>
        </w:rPr>
        <w:drawing>
          <wp:anchor distT="0" distB="0" distL="114300" distR="114300" simplePos="0" relativeHeight="251658240" behindDoc="0" locked="0" layoutInCell="1" allowOverlap="1" wp14:anchorId="75D8688C" wp14:editId="0A2FAE63">
            <wp:simplePos x="0" y="0"/>
            <wp:positionH relativeFrom="column">
              <wp:posOffset>208280</wp:posOffset>
            </wp:positionH>
            <wp:positionV relativeFrom="paragraph">
              <wp:posOffset>1698625</wp:posOffset>
            </wp:positionV>
            <wp:extent cx="5088255" cy="1979295"/>
            <wp:effectExtent l="0" t="0" r="0" b="0"/>
            <wp:wrapSquare wrapText="bothSides"/>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1A6D51" w:rsidRPr="00784003">
        <w:rPr>
          <w:rFonts w:ascii="Times New Roman" w:eastAsia="標楷體" w:hAnsi="Times New Roman" w:cs="Times New Roman"/>
          <w:sz w:val="28"/>
          <w:szCs w:val="24"/>
        </w:rPr>
        <w:t>2018</w:t>
      </w:r>
      <w:r w:rsidR="001A6D51" w:rsidRPr="00784003">
        <w:rPr>
          <w:rFonts w:ascii="Times New Roman" w:eastAsia="標楷體" w:hAnsi="Times New Roman" w:cs="Times New Roman"/>
          <w:sz w:val="28"/>
          <w:szCs w:val="24"/>
        </w:rPr>
        <w:t>年中國大陸股市的表現為</w:t>
      </w:r>
      <w:proofErr w:type="gramStart"/>
      <w:r w:rsidR="001A6D51" w:rsidRPr="00784003">
        <w:rPr>
          <w:rFonts w:ascii="Times New Roman" w:eastAsia="標楷體" w:hAnsi="Times New Roman" w:cs="Times New Roman"/>
          <w:sz w:val="28"/>
          <w:szCs w:val="24"/>
        </w:rPr>
        <w:t>近十年來最</w:t>
      </w:r>
      <w:proofErr w:type="gramEnd"/>
      <w:r w:rsidR="001A6D51" w:rsidRPr="00784003">
        <w:rPr>
          <w:rFonts w:ascii="Times New Roman" w:eastAsia="標楷體" w:hAnsi="Times New Roman" w:cs="Times New Roman"/>
          <w:sz w:val="28"/>
          <w:szCs w:val="24"/>
        </w:rPr>
        <w:t>差，</w:t>
      </w:r>
      <w:r w:rsidR="00907C53" w:rsidRPr="00784003">
        <w:rPr>
          <w:rFonts w:ascii="Times New Roman" w:eastAsia="標楷體" w:hAnsi="Times New Roman" w:cs="Times New Roman"/>
          <w:sz w:val="28"/>
          <w:szCs w:val="24"/>
        </w:rPr>
        <w:t>上海綜合證券股價指數</w:t>
      </w:r>
      <w:r w:rsidR="001A6D51" w:rsidRPr="00784003">
        <w:rPr>
          <w:rFonts w:ascii="Times New Roman" w:eastAsia="標楷體" w:hAnsi="Times New Roman" w:cs="Times New Roman"/>
          <w:sz w:val="28"/>
          <w:szCs w:val="24"/>
        </w:rPr>
        <w:t>在</w:t>
      </w:r>
      <w:r w:rsidR="001A6D51" w:rsidRPr="00784003">
        <w:rPr>
          <w:rFonts w:ascii="Times New Roman" w:eastAsia="標楷體" w:hAnsi="Times New Roman" w:cs="Times New Roman"/>
          <w:sz w:val="28"/>
          <w:szCs w:val="24"/>
        </w:rPr>
        <w:t>2018</w:t>
      </w:r>
      <w:r w:rsidR="001A6D51" w:rsidRPr="00784003">
        <w:rPr>
          <w:rFonts w:ascii="Times New Roman" w:eastAsia="標楷體" w:hAnsi="Times New Roman" w:cs="Times New Roman"/>
          <w:sz w:val="28"/>
          <w:szCs w:val="24"/>
        </w:rPr>
        <w:t>年</w:t>
      </w:r>
      <w:r w:rsidR="00907C53" w:rsidRPr="00784003">
        <w:rPr>
          <w:rFonts w:ascii="Times New Roman" w:eastAsia="標楷體" w:hAnsi="Times New Roman" w:cs="Times New Roman"/>
          <w:sz w:val="28"/>
          <w:szCs w:val="24"/>
        </w:rPr>
        <w:t>12</w:t>
      </w:r>
      <w:r w:rsidR="00907C53" w:rsidRPr="00784003">
        <w:rPr>
          <w:rFonts w:ascii="Times New Roman" w:eastAsia="標楷體" w:hAnsi="Times New Roman" w:cs="Times New Roman"/>
          <w:sz w:val="28"/>
          <w:szCs w:val="24"/>
        </w:rPr>
        <w:t>月底為</w:t>
      </w:r>
      <w:r w:rsidR="001A6D51" w:rsidRPr="00784003">
        <w:rPr>
          <w:rFonts w:ascii="Times New Roman" w:eastAsia="標楷體" w:hAnsi="Times New Roman" w:cs="Times New Roman"/>
          <w:sz w:val="28"/>
          <w:szCs w:val="24"/>
        </w:rPr>
        <w:t>2493.9</w:t>
      </w:r>
      <w:r w:rsidR="001A6D51" w:rsidRPr="00784003">
        <w:rPr>
          <w:rFonts w:ascii="Times New Roman" w:eastAsia="標楷體" w:hAnsi="Times New Roman" w:cs="Times New Roman"/>
          <w:sz w:val="28"/>
          <w:szCs w:val="24"/>
        </w:rPr>
        <w:t>點，</w:t>
      </w:r>
      <w:r w:rsidR="00907C53" w:rsidRPr="00784003">
        <w:rPr>
          <w:rFonts w:ascii="Times New Roman" w:eastAsia="標楷體" w:hAnsi="Times New Roman" w:cs="Times New Roman"/>
          <w:sz w:val="28"/>
          <w:szCs w:val="24"/>
        </w:rPr>
        <w:t>較</w:t>
      </w:r>
      <w:r w:rsidR="001D55A3" w:rsidRPr="00784003">
        <w:rPr>
          <w:rFonts w:ascii="Times New Roman" w:eastAsia="標楷體" w:hAnsi="Times New Roman" w:cs="Times New Roman"/>
          <w:sz w:val="28"/>
          <w:szCs w:val="24"/>
        </w:rPr>
        <w:t>上</w:t>
      </w:r>
      <w:r w:rsidR="001A6D51" w:rsidRPr="00784003">
        <w:rPr>
          <w:rFonts w:ascii="Times New Roman" w:eastAsia="標楷體" w:hAnsi="Times New Roman" w:cs="Times New Roman"/>
          <w:sz w:val="28"/>
          <w:szCs w:val="24"/>
        </w:rPr>
        <w:t>年</w:t>
      </w:r>
      <w:r w:rsidR="001D55A3" w:rsidRPr="00784003">
        <w:rPr>
          <w:rFonts w:ascii="Times New Roman" w:eastAsia="標楷體" w:hAnsi="Times New Roman" w:cs="Times New Roman"/>
          <w:sz w:val="28"/>
          <w:szCs w:val="24"/>
        </w:rPr>
        <w:t>同期</w:t>
      </w:r>
      <w:r w:rsidR="00907C53" w:rsidRPr="00784003">
        <w:rPr>
          <w:rFonts w:ascii="Times New Roman" w:eastAsia="標楷體" w:hAnsi="Times New Roman" w:cs="Times New Roman"/>
          <w:sz w:val="28"/>
          <w:szCs w:val="24"/>
        </w:rPr>
        <w:t>下跌</w:t>
      </w:r>
      <w:r w:rsidR="001A6D51" w:rsidRPr="00784003">
        <w:rPr>
          <w:rFonts w:ascii="Times New Roman" w:eastAsia="標楷體" w:hAnsi="Times New Roman" w:cs="Times New Roman"/>
          <w:sz w:val="28"/>
          <w:szCs w:val="24"/>
        </w:rPr>
        <w:t>24.6%</w:t>
      </w:r>
      <w:r w:rsidR="001A6D51" w:rsidRPr="00784003">
        <w:rPr>
          <w:rFonts w:ascii="Times New Roman" w:eastAsia="標楷體" w:hAnsi="Times New Roman" w:cs="Times New Roman"/>
          <w:sz w:val="28"/>
          <w:szCs w:val="24"/>
        </w:rPr>
        <w:t>；</w:t>
      </w:r>
      <w:r w:rsidR="009973DD" w:rsidRPr="009973DD">
        <w:rPr>
          <w:rFonts w:ascii="Times New Roman" w:eastAsia="標楷體" w:hAnsi="Times New Roman" w:cs="Times New Roman" w:hint="eastAsia"/>
          <w:sz w:val="28"/>
          <w:szCs w:val="24"/>
        </w:rPr>
        <w:t>深圳綜合股價指數</w:t>
      </w:r>
      <w:r w:rsidR="009973DD" w:rsidRPr="009973DD">
        <w:rPr>
          <w:rFonts w:ascii="Times New Roman" w:eastAsia="標楷體" w:hAnsi="Times New Roman" w:cs="Times New Roman" w:hint="eastAsia"/>
          <w:sz w:val="28"/>
          <w:szCs w:val="24"/>
        </w:rPr>
        <w:t>2018</w:t>
      </w:r>
      <w:r w:rsidR="009973DD" w:rsidRPr="009973DD">
        <w:rPr>
          <w:rFonts w:ascii="Times New Roman" w:eastAsia="標楷體" w:hAnsi="Times New Roman" w:cs="Times New Roman" w:hint="eastAsia"/>
          <w:sz w:val="28"/>
          <w:szCs w:val="24"/>
        </w:rPr>
        <w:t>年</w:t>
      </w:r>
      <w:r w:rsidR="009973DD" w:rsidRPr="009973DD">
        <w:rPr>
          <w:rFonts w:ascii="Times New Roman" w:eastAsia="標楷體" w:hAnsi="Times New Roman" w:cs="Times New Roman" w:hint="eastAsia"/>
          <w:sz w:val="28"/>
          <w:szCs w:val="24"/>
        </w:rPr>
        <w:t>12</w:t>
      </w:r>
      <w:r w:rsidR="009973DD" w:rsidRPr="009973DD">
        <w:rPr>
          <w:rFonts w:ascii="Times New Roman" w:eastAsia="標楷體" w:hAnsi="Times New Roman" w:cs="Times New Roman" w:hint="eastAsia"/>
          <w:sz w:val="28"/>
          <w:szCs w:val="24"/>
        </w:rPr>
        <w:t>月底為</w:t>
      </w:r>
      <w:r w:rsidR="009973DD" w:rsidRPr="009973DD">
        <w:rPr>
          <w:rFonts w:ascii="Times New Roman" w:eastAsia="標楷體" w:hAnsi="Times New Roman" w:cs="Times New Roman" w:hint="eastAsia"/>
          <w:sz w:val="28"/>
          <w:szCs w:val="24"/>
        </w:rPr>
        <w:t>1,628.5</w:t>
      </w:r>
      <w:r w:rsidR="009973DD" w:rsidRPr="009973DD">
        <w:rPr>
          <w:rFonts w:ascii="Times New Roman" w:eastAsia="標楷體" w:hAnsi="Times New Roman" w:cs="Times New Roman" w:hint="eastAsia"/>
          <w:sz w:val="28"/>
          <w:szCs w:val="24"/>
        </w:rPr>
        <w:t>點亦挫低</w:t>
      </w:r>
      <w:r w:rsidR="009973DD" w:rsidRPr="009973DD">
        <w:rPr>
          <w:rFonts w:ascii="Times New Roman" w:eastAsia="標楷體" w:hAnsi="Times New Roman" w:cs="Times New Roman" w:hint="eastAsia"/>
          <w:sz w:val="28"/>
          <w:szCs w:val="24"/>
        </w:rPr>
        <w:t>33.2%</w:t>
      </w:r>
      <w:r w:rsidR="009973DD" w:rsidRPr="009973DD">
        <w:rPr>
          <w:rFonts w:ascii="Times New Roman" w:eastAsia="標楷體" w:hAnsi="Times New Roman" w:cs="Times New Roman" w:hint="eastAsia"/>
          <w:sz w:val="28"/>
          <w:szCs w:val="24"/>
        </w:rPr>
        <w:t>。</w:t>
      </w:r>
      <w:r w:rsidR="001A6D51" w:rsidRPr="00784003">
        <w:rPr>
          <w:rFonts w:ascii="Times New Roman" w:eastAsia="標楷體" w:hAnsi="Times New Roman" w:cs="Times New Roman"/>
          <w:sz w:val="28"/>
          <w:szCs w:val="24"/>
        </w:rPr>
        <w:t>主因</w:t>
      </w:r>
      <w:r w:rsidR="001D55A3" w:rsidRPr="00784003">
        <w:rPr>
          <w:rFonts w:ascii="Times New Roman" w:eastAsia="標楷體" w:hAnsi="Times New Roman" w:cs="Times New Roman"/>
          <w:sz w:val="28"/>
          <w:szCs w:val="24"/>
        </w:rPr>
        <w:t>是受到</w:t>
      </w:r>
      <w:r w:rsidR="001A6D51" w:rsidRPr="00784003">
        <w:rPr>
          <w:rFonts w:ascii="Times New Roman" w:eastAsia="標楷體" w:hAnsi="Times New Roman" w:cs="Times New Roman"/>
          <w:sz w:val="28"/>
          <w:szCs w:val="24"/>
        </w:rPr>
        <w:t>中國大陸</w:t>
      </w:r>
      <w:r w:rsidR="001D55A3" w:rsidRPr="00784003">
        <w:rPr>
          <w:rFonts w:ascii="Times New Roman" w:eastAsia="標楷體" w:hAnsi="Times New Roman" w:cs="Times New Roman"/>
          <w:sz w:val="28"/>
          <w:szCs w:val="24"/>
        </w:rPr>
        <w:t>持續強化</w:t>
      </w:r>
      <w:r w:rsidR="001A6D51" w:rsidRPr="00784003">
        <w:rPr>
          <w:rFonts w:ascii="Times New Roman" w:eastAsia="標楷體" w:hAnsi="Times New Roman" w:cs="Times New Roman"/>
          <w:sz w:val="28"/>
          <w:szCs w:val="24"/>
        </w:rPr>
        <w:t>金融</w:t>
      </w:r>
      <w:r w:rsidR="001D55A3" w:rsidRPr="00784003">
        <w:rPr>
          <w:rFonts w:ascii="Times New Roman" w:eastAsia="標楷體" w:hAnsi="Times New Roman" w:cs="Times New Roman"/>
          <w:sz w:val="28"/>
          <w:szCs w:val="24"/>
        </w:rPr>
        <w:t>監管</w:t>
      </w:r>
      <w:r w:rsidR="001A6D51" w:rsidRPr="00784003">
        <w:rPr>
          <w:rFonts w:ascii="Times New Roman" w:eastAsia="標楷體" w:hAnsi="Times New Roman" w:cs="Times New Roman"/>
          <w:sz w:val="28"/>
          <w:szCs w:val="24"/>
        </w:rPr>
        <w:t>、美</w:t>
      </w:r>
      <w:r w:rsidR="001D55A3" w:rsidRPr="00784003">
        <w:rPr>
          <w:rFonts w:ascii="Times New Roman" w:eastAsia="標楷體" w:hAnsi="Times New Roman" w:cs="Times New Roman"/>
          <w:sz w:val="28"/>
          <w:szCs w:val="24"/>
        </w:rPr>
        <w:t>中</w:t>
      </w:r>
      <w:r w:rsidR="001A6D51" w:rsidRPr="00784003">
        <w:rPr>
          <w:rFonts w:ascii="Times New Roman" w:eastAsia="標楷體" w:hAnsi="Times New Roman" w:cs="Times New Roman"/>
          <w:sz w:val="28"/>
          <w:szCs w:val="24"/>
        </w:rPr>
        <w:t>貿易摩擦升級、美</w:t>
      </w:r>
      <w:r w:rsidR="001D55A3" w:rsidRPr="00784003">
        <w:rPr>
          <w:rFonts w:ascii="Times New Roman" w:eastAsia="標楷體" w:hAnsi="Times New Roman" w:cs="Times New Roman"/>
          <w:sz w:val="28"/>
          <w:szCs w:val="24"/>
        </w:rPr>
        <w:t>國</w:t>
      </w:r>
      <w:r w:rsidR="001A6D51" w:rsidRPr="00784003">
        <w:rPr>
          <w:rFonts w:ascii="Times New Roman" w:eastAsia="標楷體" w:hAnsi="Times New Roman" w:cs="Times New Roman"/>
          <w:sz w:val="28"/>
          <w:szCs w:val="24"/>
        </w:rPr>
        <w:t>聯</w:t>
      </w:r>
      <w:proofErr w:type="gramStart"/>
      <w:r w:rsidR="001D55A3" w:rsidRPr="00784003">
        <w:rPr>
          <w:rFonts w:ascii="Times New Roman" w:eastAsia="標楷體" w:hAnsi="Times New Roman" w:cs="Times New Roman"/>
          <w:sz w:val="28"/>
          <w:szCs w:val="24"/>
        </w:rPr>
        <w:t>準</w:t>
      </w:r>
      <w:proofErr w:type="gramEnd"/>
      <w:r w:rsidR="001D55A3" w:rsidRPr="00784003">
        <w:rPr>
          <w:rFonts w:ascii="Times New Roman" w:eastAsia="標楷體" w:hAnsi="Times New Roman" w:cs="Times New Roman"/>
          <w:sz w:val="28"/>
          <w:szCs w:val="24"/>
        </w:rPr>
        <w:t>會</w:t>
      </w:r>
      <w:r w:rsidR="001A6D51" w:rsidRPr="00784003">
        <w:rPr>
          <w:rFonts w:ascii="Times New Roman" w:eastAsia="標楷體" w:hAnsi="Times New Roman" w:cs="Times New Roman"/>
          <w:sz w:val="28"/>
          <w:szCs w:val="24"/>
        </w:rPr>
        <w:t>持續加</w:t>
      </w:r>
      <w:proofErr w:type="gramStart"/>
      <w:r w:rsidR="001A6D51" w:rsidRPr="00784003">
        <w:rPr>
          <w:rFonts w:ascii="Times New Roman" w:eastAsia="標楷體" w:hAnsi="Times New Roman" w:cs="Times New Roman"/>
          <w:sz w:val="28"/>
          <w:szCs w:val="24"/>
        </w:rPr>
        <w:t>息縮表</w:t>
      </w:r>
      <w:proofErr w:type="gramEnd"/>
      <w:r w:rsidR="001A6D51" w:rsidRPr="00784003">
        <w:rPr>
          <w:rFonts w:ascii="Times New Roman" w:eastAsia="標楷體" w:hAnsi="Times New Roman" w:cs="Times New Roman"/>
          <w:sz w:val="28"/>
          <w:szCs w:val="24"/>
        </w:rPr>
        <w:t>、投資者信心不足等因素影響。</w:t>
      </w:r>
    </w:p>
    <w:p w:rsidR="007E5E35" w:rsidRPr="007E5E35" w:rsidRDefault="001A6D51" w:rsidP="00043C0B">
      <w:pPr>
        <w:spacing w:line="160" w:lineRule="exact"/>
        <w:ind w:firstLine="482"/>
        <w:rPr>
          <w:rFonts w:ascii="標楷體" w:eastAsia="標楷體" w:hAnsi="標楷體"/>
          <w:sz w:val="28"/>
          <w:szCs w:val="28"/>
        </w:rPr>
      </w:pPr>
      <w:r w:rsidRPr="007E5E35">
        <w:rPr>
          <w:rFonts w:ascii="標楷體" w:eastAsia="標楷體" w:hAnsi="標楷體" w:hint="eastAsia"/>
          <w:sz w:val="18"/>
          <w:szCs w:val="28"/>
        </w:rPr>
        <w:t>資料來源：</w:t>
      </w:r>
      <w:r w:rsidRPr="007E5E35">
        <w:rPr>
          <w:rFonts w:ascii="標楷體" w:eastAsia="標楷體" w:hAnsi="標楷體"/>
          <w:sz w:val="18"/>
          <w:szCs w:val="28"/>
        </w:rPr>
        <w:t>CEIC</w:t>
      </w:r>
      <w:r w:rsidRPr="00A27A3B">
        <w:rPr>
          <w:rFonts w:eastAsia="標楷體" w:hint="eastAsia"/>
          <w:sz w:val="18"/>
        </w:rPr>
        <w:t>，經濟處製圖。</w:t>
      </w:r>
      <w:r w:rsidRPr="007E5E35">
        <w:rPr>
          <w:rFonts w:ascii="標楷體" w:eastAsia="標楷體" w:hAnsi="標楷體"/>
          <w:sz w:val="20"/>
          <w:szCs w:val="28"/>
        </w:rPr>
        <w:tab/>
      </w:r>
    </w:p>
    <w:p w:rsidR="007E5E35" w:rsidRPr="00784003" w:rsidRDefault="001A6D51" w:rsidP="00043C0B">
      <w:pPr>
        <w:pStyle w:val="a3"/>
        <w:spacing w:afterLines="30" w:after="108" w:line="0" w:lineRule="atLeast"/>
        <w:ind w:leftChars="0" w:left="0"/>
        <w:jc w:val="center"/>
        <w:rPr>
          <w:rFonts w:eastAsia="標楷體"/>
          <w:b/>
          <w:sz w:val="28"/>
        </w:rPr>
      </w:pPr>
      <w:r w:rsidRPr="00784003">
        <w:rPr>
          <w:rFonts w:eastAsia="標楷體"/>
          <w:b/>
          <w:sz w:val="28"/>
          <w:szCs w:val="28"/>
        </w:rPr>
        <w:t>圖</w:t>
      </w:r>
      <w:r w:rsidRPr="00784003">
        <w:rPr>
          <w:rFonts w:eastAsia="標楷體"/>
          <w:b/>
          <w:sz w:val="28"/>
          <w:szCs w:val="28"/>
        </w:rPr>
        <w:t>1-5</w:t>
      </w:r>
      <w:r w:rsidRPr="00784003">
        <w:rPr>
          <w:rFonts w:eastAsia="標楷體"/>
          <w:b/>
          <w:sz w:val="28"/>
          <w:szCs w:val="28"/>
        </w:rPr>
        <w:t>中國大陸股市趨勢圖</w:t>
      </w:r>
    </w:p>
    <w:p w:rsidR="007E5E35" w:rsidRDefault="001A6D51" w:rsidP="00043C0B">
      <w:pPr>
        <w:pStyle w:val="a3"/>
        <w:numPr>
          <w:ilvl w:val="0"/>
          <w:numId w:val="1"/>
        </w:numPr>
        <w:spacing w:line="480" w:lineRule="exact"/>
        <w:ind w:leftChars="0"/>
        <w:rPr>
          <w:rFonts w:eastAsia="標楷體"/>
          <w:b/>
          <w:sz w:val="28"/>
        </w:rPr>
      </w:pPr>
      <w:r w:rsidRPr="007E5E35">
        <w:rPr>
          <w:rFonts w:eastAsia="標楷體" w:hint="eastAsia"/>
          <w:b/>
          <w:sz w:val="28"/>
        </w:rPr>
        <w:t>人民幣貶值</w:t>
      </w:r>
    </w:p>
    <w:p w:rsidR="0052700F" w:rsidRPr="001A6D51" w:rsidRDefault="00043C0B" w:rsidP="000B23D7">
      <w:pPr>
        <w:pStyle w:val="a3"/>
        <w:spacing w:line="480" w:lineRule="exact"/>
        <w:ind w:firstLineChars="183" w:firstLine="512"/>
        <w:rPr>
          <w:rFonts w:eastAsia="標楷體"/>
          <w:sz w:val="28"/>
        </w:rPr>
      </w:pPr>
      <w:r w:rsidRPr="00513136">
        <w:rPr>
          <w:rFonts w:eastAsia="標楷體" w:hint="eastAsia"/>
          <w:noProof/>
          <w:sz w:val="28"/>
        </w:rPr>
        <mc:AlternateContent>
          <mc:Choice Requires="wpg">
            <w:drawing>
              <wp:anchor distT="0" distB="0" distL="114300" distR="114300" simplePos="0" relativeHeight="251662336" behindDoc="0" locked="0" layoutInCell="1" allowOverlap="1" wp14:anchorId="0BDE5F48" wp14:editId="6CF9F7DD">
                <wp:simplePos x="0" y="0"/>
                <wp:positionH relativeFrom="column">
                  <wp:posOffset>207645</wp:posOffset>
                </wp:positionH>
                <wp:positionV relativeFrom="paragraph">
                  <wp:posOffset>2212340</wp:posOffset>
                </wp:positionV>
                <wp:extent cx="5231765" cy="1470660"/>
                <wp:effectExtent l="0" t="0" r="0" b="0"/>
                <wp:wrapSquare wrapText="bothSides"/>
                <wp:docPr id="9" name="群組 9"/>
                <wp:cNvGraphicFramePr/>
                <a:graphic xmlns:a="http://schemas.openxmlformats.org/drawingml/2006/main">
                  <a:graphicData uri="http://schemas.microsoft.com/office/word/2010/wordprocessingGroup">
                    <wpg:wgp>
                      <wpg:cNvGrpSpPr/>
                      <wpg:grpSpPr>
                        <a:xfrm>
                          <a:off x="0" y="0"/>
                          <a:ext cx="5231765" cy="1470660"/>
                          <a:chOff x="0" y="-54472"/>
                          <a:chExt cx="6583680" cy="2018444"/>
                        </a:xfrm>
                      </wpg:grpSpPr>
                      <wps:wsp>
                        <wps:cNvPr id="7" name="文字方塊 1"/>
                        <wps:cNvSpPr txBox="1"/>
                        <wps:spPr>
                          <a:xfrm>
                            <a:off x="4923627" y="-54472"/>
                            <a:ext cx="1163913" cy="388999"/>
                          </a:xfrm>
                          <a:prstGeom prst="rect">
                            <a:avLst/>
                          </a:prstGeom>
                        </wps:spPr>
                        <wps:txbx>
                          <w:txbxContent>
                            <w:p w:rsidR="00AF26E2" w:rsidRPr="009748AC" w:rsidRDefault="00AF26E2" w:rsidP="007E5E35">
                              <w:pPr>
                                <w:pStyle w:val="Web"/>
                                <w:spacing w:before="0" w:beforeAutospacing="0" w:after="0" w:afterAutospacing="0"/>
                                <w:rPr>
                                  <w:sz w:val="22"/>
                                </w:rPr>
                              </w:pPr>
                              <w:r w:rsidRPr="009748AC">
                                <w:rPr>
                                  <w:rFonts w:ascii="標楷體" w:eastAsia="標楷體" w:hAnsi="標楷體" w:cstheme="minorBidi" w:hint="eastAsia"/>
                                  <w:sz w:val="20"/>
                                  <w:szCs w:val="21"/>
                                </w:rPr>
                                <w:t>人民幣/美元</w:t>
                              </w:r>
                            </w:p>
                          </w:txbxContent>
                        </wps:txbx>
                        <wps:bodyPr vertOverflow="clip" wrap="square" rtlCol="0">
                          <a:noAutofit/>
                        </wps:bodyPr>
                      </wps:wsp>
                      <wpg:graphicFrame>
                        <wpg:cNvPr id="8" name="圖表 8"/>
                        <wpg:cNvFrPr/>
                        <wpg:xfrm>
                          <a:off x="0" y="262393"/>
                          <a:ext cx="6583680" cy="1701579"/>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id="群組 9" o:spid="_x0000_s1027" style="position:absolute;left:0;text-align:left;margin-left:16.35pt;margin-top:174.2pt;width:411.95pt;height:115.8pt;z-index:251662336;mso-width-relative:margin;mso-height-relative:margin" coordorigin=",-544" coordsize="65836,2018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&#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">
                <v:shape id="文字方塊 1" o:spid="_x0000_s1028" type="#_x0000_t202" style="position:absolute;left:49236;top:-544;width:11639;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F26E2" w:rsidRPr="009748AC" w:rsidRDefault="00AF26E2" w:rsidP="007E5E35">
                        <w:pPr>
                          <w:pStyle w:val="Web"/>
                          <w:spacing w:before="0" w:beforeAutospacing="0" w:after="0" w:afterAutospacing="0"/>
                          <w:rPr>
                            <w:sz w:val="22"/>
                          </w:rPr>
                        </w:pPr>
                        <w:r w:rsidRPr="009748AC">
                          <w:rPr>
                            <w:rFonts w:ascii="標楷體" w:eastAsia="標楷體" w:hAnsi="標楷體" w:cstheme="minorBidi" w:hint="eastAsia"/>
                            <w:sz w:val="20"/>
                            <w:szCs w:val="21"/>
                          </w:rPr>
                          <w:t>人民幣/美元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8" o:spid="_x0000_s1029" type="#_x0000_t75" style="position:absolute;top:2634;width:65819;height:16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">
                  <v:imagedata r:id="rId20" o:title=""/>
                  <o:lock v:ext="edit" aspectratio="f"/>
                </v:shape>
                <w10:wrap type="square"/>
              </v:group>
              <o:OLEObject Type="Embed" ProgID="Excel.Chart.8" ShapeID="圖表 8" DrawAspect="Content" ObjectID="_1615094942" r:id="rId21">
                <o:FieldCodes>\s</o:FieldCodes>
              </o:OLEObject>
            </w:pict>
          </mc:Fallback>
        </mc:AlternateContent>
      </w:r>
      <w:r w:rsidR="001A6D51" w:rsidRPr="00513136">
        <w:rPr>
          <w:rFonts w:eastAsia="標楷體"/>
          <w:sz w:val="28"/>
        </w:rPr>
        <w:t>2018</w:t>
      </w:r>
      <w:r w:rsidR="001A6D51" w:rsidRPr="00513136">
        <w:rPr>
          <w:rFonts w:eastAsia="標楷體" w:hint="eastAsia"/>
          <w:sz w:val="28"/>
        </w:rPr>
        <w:t>年人民幣兌美元</w:t>
      </w:r>
      <w:proofErr w:type="gramStart"/>
      <w:r w:rsidR="000B23D7">
        <w:rPr>
          <w:rFonts w:eastAsia="標楷體" w:hint="eastAsia"/>
          <w:sz w:val="28"/>
        </w:rPr>
        <w:t>匯價呈</w:t>
      </w:r>
      <w:r w:rsidR="001A6D51" w:rsidRPr="00513136">
        <w:rPr>
          <w:rFonts w:eastAsia="標楷體" w:hint="eastAsia"/>
          <w:sz w:val="28"/>
        </w:rPr>
        <w:t>先</w:t>
      </w:r>
      <w:proofErr w:type="gramEnd"/>
      <w:r w:rsidR="001A6D51" w:rsidRPr="00513136">
        <w:rPr>
          <w:rFonts w:eastAsia="標楷體" w:hint="eastAsia"/>
          <w:sz w:val="28"/>
        </w:rPr>
        <w:t>升後貶</w:t>
      </w:r>
      <w:r w:rsidR="000B23D7" w:rsidRPr="00513136">
        <w:rPr>
          <w:rFonts w:eastAsia="標楷體" w:hint="eastAsia"/>
          <w:sz w:val="28"/>
        </w:rPr>
        <w:t>走勢</w:t>
      </w:r>
      <w:r w:rsidR="000B23D7">
        <w:rPr>
          <w:rFonts w:eastAsia="標楷體" w:hint="eastAsia"/>
          <w:sz w:val="28"/>
        </w:rPr>
        <w:t>。年初受到</w:t>
      </w:r>
      <w:r w:rsidR="000B23D7" w:rsidRPr="000B23D7">
        <w:rPr>
          <w:rFonts w:eastAsia="標楷體" w:hint="eastAsia"/>
          <w:sz w:val="28"/>
        </w:rPr>
        <w:t>美國財</w:t>
      </w:r>
      <w:proofErr w:type="gramStart"/>
      <w:r w:rsidR="000B23D7" w:rsidRPr="000B23D7">
        <w:rPr>
          <w:rFonts w:eastAsia="標楷體" w:hint="eastAsia"/>
          <w:sz w:val="28"/>
        </w:rPr>
        <w:t>長努欽表</w:t>
      </w:r>
      <w:r w:rsidR="005D747D">
        <w:rPr>
          <w:rFonts w:eastAsia="標楷體" w:hint="eastAsia"/>
          <w:sz w:val="28"/>
        </w:rPr>
        <w:t>示</w:t>
      </w:r>
      <w:proofErr w:type="gramEnd"/>
      <w:r w:rsidR="005D747D">
        <w:rPr>
          <w:rFonts w:eastAsia="標楷體" w:hint="eastAsia"/>
          <w:sz w:val="28"/>
        </w:rPr>
        <w:t>，</w:t>
      </w:r>
      <w:r w:rsidR="000B23D7" w:rsidRPr="000B23D7">
        <w:rPr>
          <w:rFonts w:eastAsia="標楷體" w:hint="eastAsia"/>
          <w:sz w:val="28"/>
        </w:rPr>
        <w:t>弱勢美元有利</w:t>
      </w:r>
      <w:r w:rsidR="005D747D">
        <w:rPr>
          <w:rFonts w:eastAsia="標楷體" w:hint="eastAsia"/>
          <w:sz w:val="28"/>
        </w:rPr>
        <w:t>美國貿易</w:t>
      </w:r>
      <w:r w:rsidR="000B23D7" w:rsidRPr="000B23D7">
        <w:rPr>
          <w:rFonts w:eastAsia="標楷體" w:hint="eastAsia"/>
          <w:sz w:val="28"/>
        </w:rPr>
        <w:t>，致美元走勢疲弱</w:t>
      </w:r>
      <w:r w:rsidR="000B23D7">
        <w:rPr>
          <w:rFonts w:eastAsia="標楷體" w:hint="eastAsia"/>
          <w:sz w:val="28"/>
        </w:rPr>
        <w:t>，人民幣呈現升值。</w:t>
      </w:r>
      <w:proofErr w:type="gramStart"/>
      <w:r w:rsidR="000B23D7">
        <w:rPr>
          <w:rFonts w:eastAsia="標楷體" w:hint="eastAsia"/>
          <w:sz w:val="28"/>
        </w:rPr>
        <w:t>惟</w:t>
      </w:r>
      <w:proofErr w:type="gramEnd"/>
      <w:r w:rsidR="000B23D7" w:rsidRPr="000B23D7">
        <w:rPr>
          <w:rFonts w:eastAsia="標楷體" w:hint="eastAsia"/>
          <w:sz w:val="28"/>
        </w:rPr>
        <w:t>美國</w:t>
      </w:r>
      <w:r w:rsidR="000B23D7">
        <w:rPr>
          <w:rFonts w:eastAsia="標楷體" w:hint="eastAsia"/>
          <w:sz w:val="28"/>
        </w:rPr>
        <w:t>於</w:t>
      </w:r>
      <w:r w:rsidR="000B23D7" w:rsidRPr="000B23D7">
        <w:rPr>
          <w:rFonts w:eastAsia="標楷體" w:hint="eastAsia"/>
          <w:sz w:val="28"/>
        </w:rPr>
        <w:t>2018</w:t>
      </w:r>
      <w:r w:rsidR="000B23D7" w:rsidRPr="000B23D7">
        <w:rPr>
          <w:rFonts w:eastAsia="標楷體" w:hint="eastAsia"/>
          <w:sz w:val="28"/>
        </w:rPr>
        <w:t>年</w:t>
      </w:r>
      <w:r w:rsidR="000B23D7" w:rsidRPr="000B23D7">
        <w:rPr>
          <w:rFonts w:eastAsia="標楷體" w:hint="eastAsia"/>
          <w:sz w:val="28"/>
        </w:rPr>
        <w:t>6</w:t>
      </w:r>
      <w:r w:rsidR="000B23D7" w:rsidRPr="000B23D7">
        <w:rPr>
          <w:rFonts w:eastAsia="標楷體" w:hint="eastAsia"/>
          <w:sz w:val="28"/>
        </w:rPr>
        <w:t>月</w:t>
      </w:r>
      <w:r w:rsidR="000B23D7" w:rsidRPr="000B23D7">
        <w:rPr>
          <w:rFonts w:eastAsia="標楷體" w:hint="eastAsia"/>
          <w:sz w:val="28"/>
        </w:rPr>
        <w:t>15</w:t>
      </w:r>
      <w:r w:rsidR="000B23D7" w:rsidRPr="000B23D7">
        <w:rPr>
          <w:rFonts w:eastAsia="標楷體" w:hint="eastAsia"/>
          <w:sz w:val="28"/>
        </w:rPr>
        <w:t>日宣</w:t>
      </w:r>
      <w:r w:rsidR="000B23D7">
        <w:rPr>
          <w:rFonts w:eastAsia="標楷體" w:hint="eastAsia"/>
          <w:sz w:val="28"/>
        </w:rPr>
        <w:t>布</w:t>
      </w:r>
      <w:proofErr w:type="gramStart"/>
      <w:r w:rsidR="000B23D7" w:rsidRPr="000B23D7">
        <w:rPr>
          <w:rFonts w:eastAsia="標楷體" w:hint="eastAsia"/>
          <w:sz w:val="28"/>
        </w:rPr>
        <w:t>對陸課</w:t>
      </w:r>
      <w:r w:rsidR="000B23D7">
        <w:rPr>
          <w:rFonts w:eastAsia="標楷體" w:hint="eastAsia"/>
          <w:sz w:val="28"/>
        </w:rPr>
        <w:t>徵</w:t>
      </w:r>
      <w:proofErr w:type="gramEnd"/>
      <w:r w:rsidR="000B23D7" w:rsidRPr="000B23D7">
        <w:rPr>
          <w:rFonts w:eastAsia="標楷體" w:hint="eastAsia"/>
          <w:sz w:val="28"/>
        </w:rPr>
        <w:t>第一波關稅後</w:t>
      </w:r>
      <w:r w:rsidR="000B23D7">
        <w:rPr>
          <w:rFonts w:eastAsia="標楷體" w:hint="eastAsia"/>
          <w:sz w:val="28"/>
        </w:rPr>
        <w:t>，</w:t>
      </w:r>
      <w:r w:rsidR="000B23D7" w:rsidRPr="000B23D7">
        <w:rPr>
          <w:rFonts w:eastAsia="標楷體" w:hint="eastAsia"/>
          <w:sz w:val="28"/>
        </w:rPr>
        <w:t>人民幣兌美元就一路走貶，</w:t>
      </w:r>
      <w:proofErr w:type="gramStart"/>
      <w:r w:rsidR="000B23D7" w:rsidRPr="000B23D7">
        <w:rPr>
          <w:rFonts w:eastAsia="標楷體" w:hint="eastAsia"/>
          <w:sz w:val="28"/>
        </w:rPr>
        <w:t>最</w:t>
      </w:r>
      <w:r w:rsidR="000B23D7">
        <w:rPr>
          <w:rFonts w:eastAsia="標楷體" w:hint="eastAsia"/>
          <w:sz w:val="28"/>
        </w:rPr>
        <w:t>低</w:t>
      </w:r>
      <w:r w:rsidR="000B23D7" w:rsidRPr="000B23D7">
        <w:rPr>
          <w:rFonts w:eastAsia="標楷體" w:hint="eastAsia"/>
          <w:sz w:val="28"/>
        </w:rPr>
        <w:t>貶</w:t>
      </w:r>
      <w:proofErr w:type="gramEnd"/>
      <w:r w:rsidR="000B23D7" w:rsidRPr="000B23D7">
        <w:rPr>
          <w:rFonts w:eastAsia="標楷體" w:hint="eastAsia"/>
          <w:sz w:val="28"/>
        </w:rPr>
        <w:t>至</w:t>
      </w:r>
      <w:r w:rsidR="000B23D7" w:rsidRPr="000B23D7">
        <w:rPr>
          <w:rFonts w:eastAsia="標楷體" w:hint="eastAsia"/>
          <w:sz w:val="28"/>
        </w:rPr>
        <w:t>6.965</w:t>
      </w:r>
      <w:r w:rsidR="000B23D7" w:rsidRPr="000B23D7">
        <w:rPr>
          <w:rFonts w:eastAsia="標楷體" w:hint="eastAsia"/>
          <w:sz w:val="28"/>
        </w:rPr>
        <w:t>元接近破</w:t>
      </w:r>
      <w:r w:rsidR="000B23D7" w:rsidRPr="000B23D7">
        <w:rPr>
          <w:rFonts w:eastAsia="標楷體" w:hint="eastAsia"/>
          <w:sz w:val="28"/>
        </w:rPr>
        <w:t>7</w:t>
      </w:r>
      <w:r w:rsidR="000B23D7" w:rsidRPr="000B23D7">
        <w:rPr>
          <w:rFonts w:eastAsia="標楷體" w:hint="eastAsia"/>
          <w:sz w:val="28"/>
        </w:rPr>
        <w:t>大關。</w:t>
      </w:r>
      <w:r w:rsidR="001A6D51">
        <w:rPr>
          <w:rFonts w:eastAsia="標楷體" w:hint="eastAsia"/>
          <w:sz w:val="28"/>
        </w:rPr>
        <w:t>直至</w:t>
      </w:r>
      <w:r w:rsidR="000B23D7">
        <w:rPr>
          <w:rFonts w:eastAsia="標楷體" w:hint="eastAsia"/>
          <w:sz w:val="28"/>
        </w:rPr>
        <w:t>2018</w:t>
      </w:r>
      <w:r w:rsidR="000B23D7">
        <w:rPr>
          <w:rFonts w:eastAsia="標楷體" w:hint="eastAsia"/>
          <w:sz w:val="28"/>
        </w:rPr>
        <w:t>年</w:t>
      </w:r>
      <w:r w:rsidR="001A6D51">
        <w:rPr>
          <w:rFonts w:eastAsia="標楷體"/>
          <w:sz w:val="28"/>
        </w:rPr>
        <w:t>12</w:t>
      </w:r>
      <w:r w:rsidR="001A6D51">
        <w:rPr>
          <w:rFonts w:eastAsia="標楷體" w:hint="eastAsia"/>
          <w:sz w:val="28"/>
        </w:rPr>
        <w:t>月初美中宣</w:t>
      </w:r>
      <w:r w:rsidR="000B23D7">
        <w:rPr>
          <w:rFonts w:eastAsia="標楷體" w:hint="eastAsia"/>
          <w:sz w:val="28"/>
        </w:rPr>
        <w:t>布</w:t>
      </w:r>
      <w:r w:rsidR="001A6D51">
        <w:rPr>
          <w:rFonts w:eastAsia="標楷體" w:hint="eastAsia"/>
          <w:sz w:val="28"/>
        </w:rPr>
        <w:t>重啟貿易談判，設下</w:t>
      </w:r>
      <w:r w:rsidR="001A6D51">
        <w:rPr>
          <w:rFonts w:eastAsia="標楷體"/>
          <w:sz w:val="28"/>
        </w:rPr>
        <w:t>90</w:t>
      </w:r>
      <w:r w:rsidR="001A6D51">
        <w:rPr>
          <w:rFonts w:eastAsia="標楷體" w:hint="eastAsia"/>
          <w:sz w:val="28"/>
        </w:rPr>
        <w:t>天談判期限</w:t>
      </w:r>
      <w:r w:rsidR="006D4914">
        <w:rPr>
          <w:rFonts w:eastAsia="標楷體" w:hint="eastAsia"/>
          <w:sz w:val="28"/>
        </w:rPr>
        <w:t>後</w:t>
      </w:r>
      <w:r w:rsidR="001A6D51">
        <w:rPr>
          <w:rFonts w:eastAsia="標楷體" w:hint="eastAsia"/>
          <w:sz w:val="28"/>
        </w:rPr>
        <w:t>，</w:t>
      </w:r>
      <w:r w:rsidR="006D4914" w:rsidRPr="006D4914">
        <w:rPr>
          <w:rFonts w:eastAsia="標楷體" w:hint="eastAsia"/>
          <w:sz w:val="28"/>
        </w:rPr>
        <w:t>人民幣兌美元</w:t>
      </w:r>
      <w:proofErr w:type="gramStart"/>
      <w:r w:rsidR="006D4914" w:rsidRPr="006D4914">
        <w:rPr>
          <w:rFonts w:eastAsia="標楷體" w:hint="eastAsia"/>
          <w:sz w:val="28"/>
        </w:rPr>
        <w:t>匯</w:t>
      </w:r>
      <w:proofErr w:type="gramEnd"/>
      <w:r w:rsidR="006D4914" w:rsidRPr="006D4914">
        <w:rPr>
          <w:rFonts w:eastAsia="標楷體" w:hint="eastAsia"/>
          <w:sz w:val="28"/>
        </w:rPr>
        <w:t>價</w:t>
      </w:r>
      <w:r w:rsidR="006D4914">
        <w:rPr>
          <w:rFonts w:eastAsia="標楷體" w:hint="eastAsia"/>
          <w:sz w:val="28"/>
        </w:rPr>
        <w:t>逐步</w:t>
      </w:r>
      <w:r w:rsidR="001A6D51">
        <w:rPr>
          <w:rFonts w:eastAsia="標楷體" w:hint="eastAsia"/>
          <w:sz w:val="28"/>
        </w:rPr>
        <w:t>回升，</w:t>
      </w:r>
      <w:r w:rsidR="0012763A">
        <w:rPr>
          <w:rFonts w:eastAsia="標楷體" w:hint="eastAsia"/>
          <w:sz w:val="28"/>
        </w:rPr>
        <w:t>至</w:t>
      </w:r>
      <w:r w:rsidR="001A6D51">
        <w:rPr>
          <w:rFonts w:eastAsia="標楷體"/>
          <w:sz w:val="28"/>
        </w:rPr>
        <w:t>2018</w:t>
      </w:r>
      <w:r w:rsidR="001A6D51">
        <w:rPr>
          <w:rFonts w:eastAsia="標楷體" w:hint="eastAsia"/>
          <w:sz w:val="28"/>
        </w:rPr>
        <w:t>年</w:t>
      </w:r>
      <w:r w:rsidR="0012763A">
        <w:rPr>
          <w:rFonts w:eastAsia="標楷體" w:hint="eastAsia"/>
          <w:sz w:val="28"/>
        </w:rPr>
        <w:t>12</w:t>
      </w:r>
      <w:r w:rsidR="0012763A">
        <w:rPr>
          <w:rFonts w:eastAsia="標楷體" w:hint="eastAsia"/>
          <w:sz w:val="28"/>
        </w:rPr>
        <w:t>月底</w:t>
      </w:r>
      <w:r w:rsidR="001A6D51">
        <w:rPr>
          <w:rFonts w:eastAsia="標楷體" w:hint="eastAsia"/>
          <w:sz w:val="28"/>
        </w:rPr>
        <w:t>人民幣兌美元</w:t>
      </w:r>
      <w:proofErr w:type="gramStart"/>
      <w:r w:rsidR="0012763A">
        <w:rPr>
          <w:rFonts w:eastAsia="標楷體" w:hint="eastAsia"/>
          <w:sz w:val="28"/>
        </w:rPr>
        <w:t>匯</w:t>
      </w:r>
      <w:proofErr w:type="gramEnd"/>
      <w:r w:rsidR="0012763A">
        <w:rPr>
          <w:rFonts w:eastAsia="標楷體" w:hint="eastAsia"/>
          <w:sz w:val="28"/>
        </w:rPr>
        <w:t>價為</w:t>
      </w:r>
      <w:r w:rsidR="001A6D51">
        <w:rPr>
          <w:rFonts w:eastAsia="標楷體"/>
          <w:sz w:val="28"/>
        </w:rPr>
        <w:t>6.863</w:t>
      </w:r>
      <w:r w:rsidR="001A6D51">
        <w:rPr>
          <w:rFonts w:eastAsia="標楷體" w:hint="eastAsia"/>
          <w:sz w:val="28"/>
        </w:rPr>
        <w:t>元</w:t>
      </w:r>
      <w:r w:rsidR="00C260BD">
        <w:rPr>
          <w:rFonts w:eastAsia="標楷體" w:hint="eastAsia"/>
          <w:sz w:val="28"/>
        </w:rPr>
        <w:t>，較上年同期貶值</w:t>
      </w:r>
      <w:r w:rsidR="00C260BD">
        <w:rPr>
          <w:rFonts w:eastAsia="標楷體" w:hint="eastAsia"/>
          <w:sz w:val="28"/>
        </w:rPr>
        <w:t>5.0%</w:t>
      </w:r>
      <w:r w:rsidR="001A6D51">
        <w:rPr>
          <w:rFonts w:eastAsia="標楷體" w:hint="eastAsia"/>
          <w:sz w:val="28"/>
        </w:rPr>
        <w:t>。</w:t>
      </w:r>
    </w:p>
    <w:p w:rsidR="00DE27FB" w:rsidRPr="00DE27FB" w:rsidRDefault="001A6D51" w:rsidP="00043C0B">
      <w:pPr>
        <w:pStyle w:val="a3"/>
        <w:spacing w:line="200" w:lineRule="exact"/>
        <w:ind w:leftChars="0" w:left="0"/>
        <w:rPr>
          <w:rFonts w:ascii="標楷體" w:eastAsia="標楷體" w:hAnsi="標楷體"/>
          <w:sz w:val="28"/>
          <w:szCs w:val="28"/>
        </w:rPr>
      </w:pPr>
      <w:r w:rsidRPr="00DE27FB">
        <w:rPr>
          <w:rFonts w:ascii="標楷體" w:eastAsia="標楷體" w:hAnsi="標楷體" w:hint="eastAsia"/>
          <w:sz w:val="18"/>
          <w:szCs w:val="28"/>
        </w:rPr>
        <w:t>資料來源：</w:t>
      </w:r>
      <w:r w:rsidRPr="00DE27FB">
        <w:rPr>
          <w:rFonts w:ascii="標楷體" w:eastAsia="標楷體" w:hAnsi="標楷體"/>
          <w:sz w:val="18"/>
          <w:szCs w:val="28"/>
        </w:rPr>
        <w:t>CEIC</w:t>
      </w:r>
      <w:r w:rsidRPr="00DE27FB">
        <w:rPr>
          <w:rFonts w:ascii="標楷體" w:eastAsia="標楷體" w:hAnsi="標楷體" w:hint="eastAsia"/>
          <w:sz w:val="18"/>
          <w:szCs w:val="28"/>
        </w:rPr>
        <w:t>，經濟處繪圖</w:t>
      </w:r>
    </w:p>
    <w:p w:rsidR="0008290D" w:rsidRPr="00784003" w:rsidRDefault="001A6D51" w:rsidP="00043C0B">
      <w:pPr>
        <w:spacing w:line="480" w:lineRule="exact"/>
        <w:ind w:firstLine="482"/>
        <w:jc w:val="center"/>
        <w:rPr>
          <w:rFonts w:ascii="Times New Roman" w:eastAsia="標楷體" w:hAnsi="Times New Roman" w:cs="Times New Roman"/>
          <w:b/>
          <w:sz w:val="28"/>
        </w:rPr>
      </w:pPr>
      <w:r w:rsidRPr="00784003">
        <w:rPr>
          <w:rFonts w:ascii="Times New Roman" w:eastAsia="標楷體" w:hAnsi="Times New Roman" w:cs="Times New Roman"/>
          <w:b/>
          <w:sz w:val="28"/>
          <w:szCs w:val="28"/>
        </w:rPr>
        <w:t>圖</w:t>
      </w:r>
      <w:r w:rsidRPr="00784003">
        <w:rPr>
          <w:rFonts w:ascii="Times New Roman" w:eastAsia="標楷體" w:hAnsi="Times New Roman" w:cs="Times New Roman"/>
          <w:b/>
          <w:sz w:val="28"/>
          <w:szCs w:val="28"/>
        </w:rPr>
        <w:t>1-6</w:t>
      </w:r>
      <w:r w:rsidRPr="00784003">
        <w:rPr>
          <w:rFonts w:ascii="Times New Roman" w:eastAsia="標楷體" w:hAnsi="Times New Roman" w:cs="Times New Roman"/>
          <w:b/>
          <w:sz w:val="28"/>
        </w:rPr>
        <w:t>人民幣兌美元匯率走勢圖</w:t>
      </w:r>
    </w:p>
    <w:p w:rsidR="0008290D" w:rsidRPr="00177414" w:rsidRDefault="00BE6BA8" w:rsidP="002A4962">
      <w:pPr>
        <w:pStyle w:val="a3"/>
        <w:numPr>
          <w:ilvl w:val="0"/>
          <w:numId w:val="4"/>
        </w:numPr>
        <w:spacing w:afterLines="50" w:after="180" w:line="500" w:lineRule="exact"/>
        <w:ind w:leftChars="0"/>
        <w:outlineLvl w:val="1"/>
        <w:rPr>
          <w:rFonts w:eastAsia="標楷體"/>
          <w:b/>
          <w:color w:val="000000" w:themeColor="text1"/>
          <w:sz w:val="28"/>
          <w:szCs w:val="22"/>
        </w:rPr>
      </w:pPr>
      <w:bookmarkStart w:id="18" w:name="_Toc1397864"/>
      <w:bookmarkStart w:id="19" w:name="_Toc1400590"/>
      <w:r>
        <w:rPr>
          <w:rFonts w:eastAsia="標楷體" w:hint="eastAsia"/>
          <w:b/>
          <w:color w:val="000000" w:themeColor="text1"/>
          <w:sz w:val="28"/>
          <w:szCs w:val="22"/>
        </w:rPr>
        <w:lastRenderedPageBreak/>
        <w:t>專題：</w:t>
      </w:r>
      <w:r w:rsidR="0008290D" w:rsidRPr="00177414">
        <w:rPr>
          <w:rFonts w:eastAsia="標楷體" w:hint="eastAsia"/>
          <w:b/>
          <w:color w:val="000000" w:themeColor="text1"/>
          <w:sz w:val="28"/>
          <w:szCs w:val="22"/>
        </w:rPr>
        <w:t>中國大陸</w:t>
      </w:r>
      <w:r w:rsidR="0008290D" w:rsidRPr="00177414">
        <w:rPr>
          <w:rFonts w:eastAsia="標楷體" w:hint="eastAsia"/>
          <w:b/>
          <w:color w:val="000000" w:themeColor="text1"/>
          <w:sz w:val="28"/>
          <w:szCs w:val="22"/>
        </w:rPr>
        <w:t>2019</w:t>
      </w:r>
      <w:r w:rsidR="0008290D" w:rsidRPr="00177414">
        <w:rPr>
          <w:rFonts w:eastAsia="標楷體" w:hint="eastAsia"/>
          <w:b/>
          <w:color w:val="000000" w:themeColor="text1"/>
          <w:sz w:val="28"/>
          <w:szCs w:val="22"/>
        </w:rPr>
        <w:t>年經濟</w:t>
      </w:r>
      <w:r w:rsidR="0008290D" w:rsidRPr="00177414">
        <w:rPr>
          <w:rFonts w:eastAsia="標楷體"/>
          <w:b/>
          <w:color w:val="000000" w:themeColor="text1"/>
          <w:sz w:val="28"/>
          <w:szCs w:val="22"/>
        </w:rPr>
        <w:t>展望</w:t>
      </w:r>
      <w:bookmarkEnd w:id="18"/>
      <w:bookmarkEnd w:id="19"/>
    </w:p>
    <w:p w:rsidR="0008290D" w:rsidRPr="00784003" w:rsidRDefault="0008290D" w:rsidP="00784003">
      <w:pPr>
        <w:spacing w:line="480" w:lineRule="exact"/>
        <w:jc w:val="distribute"/>
        <w:rPr>
          <w:rFonts w:ascii="Times New Roman" w:eastAsia="標楷體" w:hAnsi="Times New Roman" w:cs="Times New Roman"/>
          <w:sz w:val="28"/>
          <w:szCs w:val="28"/>
        </w:rPr>
      </w:pPr>
      <w:r w:rsidRPr="00177414">
        <w:t xml:space="preserve"> </w:t>
      </w:r>
      <w:r w:rsidR="00177414">
        <w:rPr>
          <w:rFonts w:hint="eastAsia"/>
        </w:rPr>
        <w:tab/>
      </w:r>
      <w:r w:rsidRPr="00784003">
        <w:rPr>
          <w:rFonts w:ascii="Times New Roman" w:eastAsia="標楷體" w:hAnsi="Times New Roman" w:cs="Times New Roman"/>
          <w:sz w:val="28"/>
          <w:szCs w:val="28"/>
        </w:rPr>
        <w:t>2018</w:t>
      </w:r>
      <w:r w:rsidRPr="00784003">
        <w:rPr>
          <w:rFonts w:ascii="Times New Roman" w:eastAsia="標楷體" w:hAnsi="Times New Roman" w:cs="Times New Roman"/>
          <w:sz w:val="28"/>
          <w:szCs w:val="28"/>
        </w:rPr>
        <w:t>年中國大陸雖然面臨美中貿易戰持續升級的衝擊，然而受惠於廠商搶出口及人民幣貶值效益影響，經濟仍維持一定的成長力道，全年經濟成長達</w:t>
      </w:r>
      <w:r w:rsidR="00B36ED9">
        <w:rPr>
          <w:rFonts w:ascii="Times New Roman" w:eastAsia="標楷體" w:hAnsi="Times New Roman" w:cs="Times New Roman"/>
          <w:sz w:val="28"/>
          <w:szCs w:val="28"/>
        </w:rPr>
        <w:t>6.</w:t>
      </w:r>
      <w:r w:rsidR="00B36ED9">
        <w:rPr>
          <w:rFonts w:ascii="Times New Roman" w:eastAsia="標楷體" w:hAnsi="Times New Roman" w:cs="Times New Roman" w:hint="eastAsia"/>
          <w:sz w:val="28"/>
          <w:szCs w:val="28"/>
        </w:rPr>
        <w:t>6</w:t>
      </w:r>
      <w:r w:rsidRPr="00784003">
        <w:rPr>
          <w:rFonts w:ascii="Times New Roman" w:eastAsia="標楷體" w:hAnsi="Times New Roman" w:cs="Times New Roman"/>
          <w:sz w:val="28"/>
          <w:szCs w:val="28"/>
        </w:rPr>
        <w:t>%</w:t>
      </w:r>
      <w:r w:rsidRPr="00784003">
        <w:rPr>
          <w:rFonts w:ascii="Times New Roman" w:eastAsia="標楷體" w:hAnsi="Times New Roman" w:cs="Times New Roman"/>
          <w:sz w:val="28"/>
          <w:szCs w:val="28"/>
        </w:rPr>
        <w:t>。展望今</w:t>
      </w:r>
      <w:r w:rsidR="00784003">
        <w:rPr>
          <w:rFonts w:ascii="Times New Roman" w:eastAsia="標楷體" w:hAnsi="Times New Roman" w:cs="Times New Roman" w:hint="eastAsia"/>
          <w:sz w:val="28"/>
          <w:szCs w:val="28"/>
        </w:rPr>
        <w:t>（</w:t>
      </w:r>
      <w:r w:rsidR="00784003">
        <w:rPr>
          <w:rFonts w:ascii="Times New Roman" w:eastAsia="標楷體" w:hAnsi="Times New Roman" w:cs="Times New Roman"/>
          <w:sz w:val="28"/>
          <w:szCs w:val="28"/>
        </w:rPr>
        <w:t>2019</w:t>
      </w:r>
      <w:r w:rsidR="00784003">
        <w:rPr>
          <w:rFonts w:ascii="Times New Roman" w:eastAsia="標楷體" w:hAnsi="Times New Roman" w:cs="Times New Roman" w:hint="eastAsia"/>
          <w:sz w:val="28"/>
          <w:szCs w:val="28"/>
        </w:rPr>
        <w:t>）</w:t>
      </w:r>
      <w:r w:rsidRPr="00784003">
        <w:rPr>
          <w:rFonts w:ascii="Times New Roman" w:eastAsia="標楷體" w:hAnsi="Times New Roman" w:cs="Times New Roman"/>
          <w:sz w:val="28"/>
          <w:szCs w:val="28"/>
        </w:rPr>
        <w:t>年，面對全球貿易和投資已經走疲，貿易緊張情勢持續升級，中國大陸經濟發展面臨高度挑戰。鑒於兩岸經濟往來密切，本文就中國大陸</w:t>
      </w:r>
      <w:r w:rsidRPr="00784003">
        <w:rPr>
          <w:rFonts w:ascii="Times New Roman" w:eastAsia="標楷體" w:hAnsi="Times New Roman" w:cs="Times New Roman"/>
          <w:sz w:val="28"/>
          <w:szCs w:val="28"/>
        </w:rPr>
        <w:t>2019</w:t>
      </w:r>
      <w:r w:rsidRPr="00784003">
        <w:rPr>
          <w:rFonts w:ascii="Times New Roman" w:eastAsia="標楷體" w:hAnsi="Times New Roman" w:cs="Times New Roman"/>
          <w:sz w:val="28"/>
          <w:szCs w:val="28"/>
        </w:rPr>
        <w:t>年展望進行</w:t>
      </w:r>
      <w:proofErr w:type="gramStart"/>
      <w:r w:rsidRPr="00784003">
        <w:rPr>
          <w:rFonts w:ascii="Times New Roman" w:eastAsia="標楷體" w:hAnsi="Times New Roman" w:cs="Times New Roman"/>
          <w:sz w:val="28"/>
          <w:szCs w:val="28"/>
        </w:rPr>
        <w:t>研</w:t>
      </w:r>
      <w:proofErr w:type="gramEnd"/>
      <w:r w:rsidRPr="00784003">
        <w:rPr>
          <w:rFonts w:ascii="Times New Roman" w:eastAsia="標楷體" w:hAnsi="Times New Roman" w:cs="Times New Roman"/>
          <w:sz w:val="28"/>
          <w:szCs w:val="28"/>
        </w:rPr>
        <w:t>析。</w:t>
      </w:r>
    </w:p>
    <w:p w:rsidR="0008290D" w:rsidRPr="00784003" w:rsidRDefault="0008290D" w:rsidP="002A4962">
      <w:pPr>
        <w:pStyle w:val="a3"/>
        <w:numPr>
          <w:ilvl w:val="0"/>
          <w:numId w:val="8"/>
        </w:numPr>
        <w:spacing w:after="50" w:line="520" w:lineRule="exact"/>
        <w:ind w:leftChars="0" w:rightChars="-24" w:right="-58"/>
        <w:jc w:val="both"/>
        <w:rPr>
          <w:rFonts w:eastAsia="標楷體"/>
          <w:b/>
          <w:color w:val="000000" w:themeColor="text1"/>
          <w:sz w:val="28"/>
          <w:szCs w:val="28"/>
        </w:rPr>
      </w:pPr>
      <w:r w:rsidRPr="00784003">
        <w:rPr>
          <w:rFonts w:eastAsia="標楷體"/>
          <w:b/>
          <w:color w:val="000000" w:themeColor="text1"/>
          <w:sz w:val="28"/>
          <w:szCs w:val="28"/>
        </w:rPr>
        <w:t>中央經濟工作會議重點</w:t>
      </w:r>
    </w:p>
    <w:p w:rsidR="00C9125E" w:rsidRDefault="0008290D" w:rsidP="00C9125E">
      <w:pPr>
        <w:spacing w:after="50" w:line="520" w:lineRule="exact"/>
        <w:ind w:leftChars="100" w:left="240" w:rightChars="-24" w:right="-58" w:firstLine="480"/>
        <w:jc w:val="both"/>
        <w:rPr>
          <w:rFonts w:ascii="Times New Roman" w:eastAsia="標楷體" w:hAnsi="Times New Roman" w:cs="Times New Roman"/>
          <w:sz w:val="28"/>
          <w:szCs w:val="28"/>
        </w:rPr>
      </w:pPr>
      <w:r w:rsidRPr="00784003">
        <w:rPr>
          <w:rFonts w:ascii="Times New Roman" w:eastAsia="標楷體" w:hAnsi="Times New Roman" w:cs="Times New Roman"/>
          <w:sz w:val="28"/>
          <w:szCs w:val="28"/>
        </w:rPr>
        <w:t>面對美中貿易戰的不確定性，中國大陸於</w:t>
      </w:r>
      <w:r w:rsidRPr="00784003">
        <w:rPr>
          <w:rFonts w:ascii="Times New Roman" w:eastAsia="標楷體" w:hAnsi="Times New Roman" w:cs="Times New Roman"/>
          <w:sz w:val="28"/>
          <w:szCs w:val="28"/>
        </w:rPr>
        <w:t>2018</w:t>
      </w:r>
      <w:r w:rsidRPr="00784003">
        <w:rPr>
          <w:rFonts w:ascii="Times New Roman" w:eastAsia="標楷體" w:hAnsi="Times New Roman" w:cs="Times New Roman"/>
          <w:sz w:val="28"/>
          <w:szCs w:val="28"/>
        </w:rPr>
        <w:t>年</w:t>
      </w:r>
      <w:r w:rsidRPr="00784003">
        <w:rPr>
          <w:rFonts w:ascii="Times New Roman" w:eastAsia="標楷體" w:hAnsi="Times New Roman" w:cs="Times New Roman"/>
          <w:sz w:val="28"/>
          <w:szCs w:val="28"/>
        </w:rPr>
        <w:t>12</w:t>
      </w:r>
      <w:r w:rsidRPr="00784003">
        <w:rPr>
          <w:rFonts w:ascii="Times New Roman" w:eastAsia="標楷體" w:hAnsi="Times New Roman" w:cs="Times New Roman"/>
          <w:sz w:val="28"/>
          <w:szCs w:val="28"/>
        </w:rPr>
        <w:t>月召開之中央經濟工作會議</w:t>
      </w:r>
      <w:r w:rsidRPr="00784003">
        <w:rPr>
          <w:rStyle w:val="ae"/>
          <w:rFonts w:ascii="Times New Roman" w:eastAsia="標楷體" w:hAnsi="Times New Roman" w:cs="Times New Roman"/>
          <w:sz w:val="28"/>
          <w:szCs w:val="28"/>
        </w:rPr>
        <w:footnoteReference w:id="4"/>
      </w:r>
      <w:r w:rsidRPr="00784003">
        <w:rPr>
          <w:rFonts w:ascii="Times New Roman" w:eastAsia="標楷體" w:hAnsi="Times New Roman" w:cs="Times New Roman"/>
          <w:sz w:val="28"/>
          <w:szCs w:val="28"/>
        </w:rPr>
        <w:t>要求</w:t>
      </w:r>
      <w:r w:rsidRPr="00784003">
        <w:rPr>
          <w:rFonts w:ascii="Times New Roman" w:eastAsia="標楷體" w:hAnsi="Times New Roman" w:cs="Times New Roman"/>
          <w:sz w:val="28"/>
          <w:szCs w:val="28"/>
        </w:rPr>
        <w:t>2019</w:t>
      </w:r>
      <w:r w:rsidRPr="00784003">
        <w:rPr>
          <w:rFonts w:ascii="Times New Roman" w:eastAsia="標楷體" w:hAnsi="Times New Roman" w:cs="Times New Roman"/>
          <w:sz w:val="28"/>
          <w:szCs w:val="28"/>
        </w:rPr>
        <w:t>年要「保持經濟運行在合理區間」，並進一步穩就業、穩金融、穩外貿、穩外資、穩投資、穩預期，提振市場信心。有關</w:t>
      </w:r>
      <w:r w:rsidRPr="00784003">
        <w:rPr>
          <w:rFonts w:ascii="Times New Roman" w:eastAsia="標楷體" w:hAnsi="Times New Roman" w:cs="Times New Roman"/>
          <w:sz w:val="28"/>
          <w:szCs w:val="28"/>
        </w:rPr>
        <w:t>2019</w:t>
      </w:r>
      <w:r w:rsidRPr="00784003">
        <w:rPr>
          <w:rFonts w:ascii="Times New Roman" w:eastAsia="標楷體" w:hAnsi="Times New Roman" w:cs="Times New Roman"/>
          <w:sz w:val="28"/>
          <w:szCs w:val="28"/>
        </w:rPr>
        <w:t>年重點措施說明如下</w:t>
      </w:r>
      <w:r w:rsidR="00C9125E">
        <w:rPr>
          <w:rFonts w:ascii="Times New Roman" w:eastAsia="標楷體" w:hAnsi="Times New Roman" w:cs="Times New Roman" w:hint="eastAsia"/>
          <w:sz w:val="28"/>
          <w:szCs w:val="28"/>
        </w:rPr>
        <w:t>：</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經濟成長</w:t>
      </w:r>
      <w:r w:rsidRPr="00C9125E">
        <w:rPr>
          <w:rFonts w:eastAsia="標楷體"/>
          <w:sz w:val="28"/>
          <w:szCs w:val="28"/>
        </w:rPr>
        <w:t>：中央經濟工作會議提出</w:t>
      </w:r>
      <w:r w:rsidRPr="00C9125E">
        <w:rPr>
          <w:rFonts w:eastAsia="標楷體"/>
          <w:sz w:val="28"/>
          <w:szCs w:val="28"/>
        </w:rPr>
        <w:t xml:space="preserve"> 2019</w:t>
      </w:r>
      <w:r w:rsidRPr="00C9125E">
        <w:rPr>
          <w:rFonts w:eastAsia="標楷體"/>
          <w:sz w:val="28"/>
          <w:szCs w:val="28"/>
        </w:rPr>
        <w:t>年「保持經濟運行在合理區間」，國家統計局</w:t>
      </w:r>
      <w:r w:rsidRPr="00C9125E">
        <w:rPr>
          <w:rFonts w:eastAsia="標楷體"/>
          <w:sz w:val="28"/>
          <w:szCs w:val="28"/>
        </w:rPr>
        <w:t>2018</w:t>
      </w:r>
      <w:r w:rsidRPr="00C9125E">
        <w:rPr>
          <w:rFonts w:eastAsia="標楷體"/>
          <w:sz w:val="28"/>
          <w:szCs w:val="28"/>
        </w:rPr>
        <w:t>年</w:t>
      </w:r>
      <w:r w:rsidRPr="00C9125E">
        <w:rPr>
          <w:rFonts w:eastAsia="標楷體"/>
          <w:sz w:val="28"/>
          <w:szCs w:val="28"/>
        </w:rPr>
        <w:t>12</w:t>
      </w:r>
      <w:r w:rsidRPr="00C9125E">
        <w:rPr>
          <w:rFonts w:eastAsia="標楷體"/>
          <w:sz w:val="28"/>
          <w:szCs w:val="28"/>
        </w:rPr>
        <w:t>月指出，中國大陸經濟已由高速增長轉向高質量發展的階段，同時考慮</w:t>
      </w:r>
      <w:r w:rsidRPr="00C9125E">
        <w:rPr>
          <w:rFonts w:eastAsia="標楷體"/>
          <w:sz w:val="28"/>
          <w:szCs w:val="28"/>
        </w:rPr>
        <w:t>2020</w:t>
      </w:r>
      <w:r w:rsidRPr="00C9125E">
        <w:rPr>
          <w:rFonts w:eastAsia="標楷體"/>
          <w:sz w:val="28"/>
          <w:szCs w:val="28"/>
        </w:rPr>
        <w:t>年相較</w:t>
      </w:r>
      <w:r w:rsidRPr="00C9125E">
        <w:rPr>
          <w:rFonts w:eastAsia="標楷體"/>
          <w:sz w:val="28"/>
          <w:szCs w:val="28"/>
        </w:rPr>
        <w:t>2010</w:t>
      </w:r>
      <w:r w:rsidRPr="00C9125E">
        <w:rPr>
          <w:rFonts w:eastAsia="標楷體"/>
          <w:sz w:val="28"/>
          <w:szCs w:val="28"/>
        </w:rPr>
        <w:t>年</w:t>
      </w:r>
      <w:r w:rsidRPr="00C9125E">
        <w:rPr>
          <w:rFonts w:eastAsia="標楷體"/>
          <w:sz w:val="28"/>
          <w:szCs w:val="28"/>
        </w:rPr>
        <w:t>GDP</w:t>
      </w:r>
      <w:r w:rsidRPr="00C9125E">
        <w:rPr>
          <w:rFonts w:eastAsia="標楷體"/>
          <w:sz w:val="28"/>
          <w:szCs w:val="28"/>
        </w:rPr>
        <w:t>成長一倍的目標銜接、就業要求和外部因素等。基此，</w:t>
      </w:r>
      <w:r w:rsidRPr="00C9125E">
        <w:rPr>
          <w:rFonts w:eastAsia="標楷體"/>
          <w:sz w:val="28"/>
          <w:szCs w:val="28"/>
        </w:rPr>
        <w:t>2019</w:t>
      </w:r>
      <w:r w:rsidRPr="00C9125E">
        <w:rPr>
          <w:rFonts w:eastAsia="標楷體"/>
          <w:sz w:val="28"/>
          <w:szCs w:val="28"/>
        </w:rPr>
        <w:t>年</w:t>
      </w:r>
      <w:r w:rsidRPr="00C9125E">
        <w:rPr>
          <w:rFonts w:eastAsia="標楷體"/>
          <w:sz w:val="28"/>
          <w:szCs w:val="28"/>
        </w:rPr>
        <w:t>GDP</w:t>
      </w:r>
      <w:r w:rsidRPr="00C9125E">
        <w:rPr>
          <w:rFonts w:eastAsia="標楷體"/>
          <w:sz w:val="28"/>
          <w:szCs w:val="28"/>
        </w:rPr>
        <w:t>可能在</w:t>
      </w:r>
      <w:r w:rsidRPr="00C9125E">
        <w:rPr>
          <w:rFonts w:eastAsia="標楷體"/>
          <w:sz w:val="28"/>
          <w:szCs w:val="28"/>
        </w:rPr>
        <w:t>6.3</w:t>
      </w:r>
      <w:r w:rsidRPr="00C9125E">
        <w:rPr>
          <w:rFonts w:eastAsia="標楷體"/>
          <w:color w:val="000000" w:themeColor="text1"/>
          <w:sz w:val="28"/>
          <w:szCs w:val="28"/>
        </w:rPr>
        <w:t>%</w:t>
      </w:r>
      <w:r w:rsidRPr="00C9125E">
        <w:rPr>
          <w:rFonts w:eastAsia="標楷體"/>
          <w:color w:val="000000" w:themeColor="text1"/>
          <w:sz w:val="28"/>
          <w:szCs w:val="28"/>
        </w:rPr>
        <w:t>以</w:t>
      </w:r>
      <w:proofErr w:type="gramStart"/>
      <w:r w:rsidRPr="00C9125E">
        <w:rPr>
          <w:rFonts w:eastAsia="標楷體"/>
          <w:color w:val="000000" w:themeColor="text1"/>
          <w:sz w:val="28"/>
          <w:szCs w:val="28"/>
        </w:rPr>
        <w:t>上</w:t>
      </w:r>
      <w:proofErr w:type="gramEnd"/>
      <w:r w:rsidRPr="00784003">
        <w:rPr>
          <w:rStyle w:val="ae"/>
          <w:rFonts w:eastAsia="標楷體"/>
          <w:sz w:val="28"/>
          <w:szCs w:val="28"/>
        </w:rPr>
        <w:footnoteReference w:id="5"/>
      </w:r>
      <w:r w:rsidRPr="00C9125E">
        <w:rPr>
          <w:rFonts w:eastAsia="標楷體"/>
          <w:sz w:val="28"/>
          <w:szCs w:val="28"/>
        </w:rPr>
        <w:t>。</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財政政策：</w:t>
      </w:r>
      <w:r w:rsidRPr="00C9125E">
        <w:rPr>
          <w:rFonts w:eastAsia="標楷體"/>
          <w:sz w:val="28"/>
          <w:szCs w:val="28"/>
        </w:rPr>
        <w:t>推動更大規模減稅、更明顯降費；在地方債務方面，較大幅度增加地方政府專項債券規模，並穩妥處理地方政府債務風險，做到</w:t>
      </w:r>
      <w:proofErr w:type="gramStart"/>
      <w:r w:rsidRPr="00C9125E">
        <w:rPr>
          <w:rFonts w:eastAsia="標楷體"/>
          <w:sz w:val="28"/>
          <w:szCs w:val="28"/>
        </w:rPr>
        <w:t>堅定、</w:t>
      </w:r>
      <w:proofErr w:type="gramEnd"/>
      <w:r w:rsidRPr="00C9125E">
        <w:rPr>
          <w:rFonts w:eastAsia="標楷體"/>
          <w:sz w:val="28"/>
          <w:szCs w:val="28"/>
        </w:rPr>
        <w:t>可控、有序、適度，健全地方稅體系，規範政府舉債融資機制，顯示對地方政府債務約束未放鬆。</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貨幣政策</w:t>
      </w:r>
      <w:r w:rsidRPr="00C9125E">
        <w:rPr>
          <w:rFonts w:eastAsia="標楷體"/>
          <w:sz w:val="28"/>
          <w:szCs w:val="28"/>
        </w:rPr>
        <w:t>：提出穩健的貨幣政策要鬆緊適度，保持流動性合理充裕，改善貨幣政策傳導機制，提高直接融資比重，解決民營企業和小型微型企業融資難、融資貴問題。</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lastRenderedPageBreak/>
        <w:t>金融措施：</w:t>
      </w:r>
      <w:r w:rsidRPr="00C9125E">
        <w:rPr>
          <w:rFonts w:eastAsia="標楷體"/>
          <w:sz w:val="28"/>
          <w:szCs w:val="28"/>
        </w:rPr>
        <w:t>以金融體系結構調整優化為重點深化金融體制改革，強</w:t>
      </w:r>
      <w:r w:rsidR="00C9125E">
        <w:rPr>
          <w:rFonts w:eastAsia="標楷體"/>
          <w:sz w:val="28"/>
          <w:szCs w:val="28"/>
        </w:rPr>
        <w:t>化監管和服務能力；推動在上交所設立</w:t>
      </w:r>
      <w:proofErr w:type="gramStart"/>
      <w:r w:rsidR="00C9125E">
        <w:rPr>
          <w:rFonts w:eastAsia="標楷體"/>
          <w:sz w:val="28"/>
          <w:szCs w:val="28"/>
        </w:rPr>
        <w:t>科創板並</w:t>
      </w:r>
      <w:proofErr w:type="gramEnd"/>
      <w:r w:rsidR="00C9125E">
        <w:rPr>
          <w:rFonts w:eastAsia="標楷體"/>
          <w:sz w:val="28"/>
          <w:szCs w:val="28"/>
        </w:rPr>
        <w:t>試點註冊制儘量快落地</w:t>
      </w:r>
      <w:r w:rsidR="00C9125E">
        <w:rPr>
          <w:rFonts w:eastAsia="標楷體" w:hint="eastAsia"/>
          <w:sz w:val="28"/>
          <w:szCs w:val="28"/>
        </w:rPr>
        <w:t>。</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推動製造業高質量發展：</w:t>
      </w:r>
      <w:r w:rsidRPr="00C9125E">
        <w:rPr>
          <w:rFonts w:eastAsia="標楷體"/>
          <w:sz w:val="28"/>
          <w:szCs w:val="28"/>
        </w:rPr>
        <w:t>推動先進製造業和現代服務業深度融合；加快處置</w:t>
      </w:r>
      <w:r w:rsidRPr="00C9125E">
        <w:rPr>
          <w:rFonts w:eastAsia="標楷體"/>
          <w:sz w:val="28"/>
          <w:szCs w:val="28"/>
        </w:rPr>
        <w:t>“</w:t>
      </w:r>
      <w:r w:rsidRPr="00C9125E">
        <w:rPr>
          <w:rFonts w:eastAsia="標楷體"/>
          <w:sz w:val="28"/>
          <w:szCs w:val="28"/>
        </w:rPr>
        <w:t>殭屍企業</w:t>
      </w:r>
      <w:r w:rsidRPr="00C9125E">
        <w:rPr>
          <w:rFonts w:eastAsia="標楷體"/>
          <w:sz w:val="28"/>
          <w:szCs w:val="28"/>
        </w:rPr>
        <w:t>”</w:t>
      </w:r>
      <w:r w:rsidRPr="00C9125E">
        <w:rPr>
          <w:rFonts w:eastAsia="標楷體"/>
          <w:sz w:val="28"/>
          <w:szCs w:val="28"/>
        </w:rPr>
        <w:t>；增強製造業技術創新能力，構建企業為主體的產學</w:t>
      </w:r>
      <w:proofErr w:type="gramStart"/>
      <w:r w:rsidRPr="00C9125E">
        <w:rPr>
          <w:rFonts w:eastAsia="標楷體"/>
          <w:sz w:val="28"/>
          <w:szCs w:val="28"/>
        </w:rPr>
        <w:t>研</w:t>
      </w:r>
      <w:proofErr w:type="gramEnd"/>
      <w:r w:rsidRPr="00C9125E">
        <w:rPr>
          <w:rFonts w:eastAsia="標楷體"/>
          <w:sz w:val="28"/>
          <w:szCs w:val="28"/>
        </w:rPr>
        <w:t>一體化創新機制，加大對中小企業創新支持力度，加強知識產權保護和運用；支持民營企業發展，營造法治化環境，保護民營企業家人身安全和財產安全。</w:t>
      </w:r>
    </w:p>
    <w:p w:rsid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提振內需市場動能：</w:t>
      </w:r>
      <w:r w:rsidRPr="00C9125E">
        <w:rPr>
          <w:rFonts w:eastAsia="標楷體"/>
          <w:sz w:val="28"/>
          <w:szCs w:val="28"/>
        </w:rPr>
        <w:t>落實個人所得稅專項附加扣除政策，增強消費能力；努力滿足最終需求，提升產品質量，加快教育、育幼、養老、醫療、文化、旅遊等服務業發展，改善消費環境。</w:t>
      </w:r>
    </w:p>
    <w:p w:rsidR="0008290D" w:rsidRP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推動全方位對外開放：</w:t>
      </w:r>
      <w:r w:rsidRPr="00C9125E">
        <w:rPr>
          <w:rFonts w:eastAsia="標楷體"/>
          <w:sz w:val="28"/>
          <w:szCs w:val="28"/>
        </w:rPr>
        <w:t>放寬市場准入，全面實施准入前國民待遇加負面清單管理制度，保護外商合法權益</w:t>
      </w:r>
      <w:r w:rsidR="008120BD">
        <w:rPr>
          <w:rFonts w:eastAsia="標楷體" w:hint="eastAsia"/>
          <w:sz w:val="28"/>
          <w:szCs w:val="28"/>
        </w:rPr>
        <w:t>，</w:t>
      </w:r>
      <w:r w:rsidRPr="00C9125E">
        <w:rPr>
          <w:rFonts w:eastAsia="標楷體"/>
          <w:sz w:val="28"/>
          <w:szCs w:val="28"/>
        </w:rPr>
        <w:t>特別是知識產權，允許更多領域實行獨資經營；擴大進出口貿易，推動出口市場多元化；積極參與世貿組織改革，促進貿易和投資自由化便利化；落實</w:t>
      </w:r>
      <w:r w:rsidRPr="00C9125E">
        <w:rPr>
          <w:rFonts w:eastAsia="標楷體"/>
          <w:sz w:val="28"/>
          <w:szCs w:val="28"/>
        </w:rPr>
        <w:t>G20</w:t>
      </w:r>
      <w:r w:rsidRPr="00C9125E">
        <w:rPr>
          <w:rFonts w:eastAsia="標楷體"/>
          <w:sz w:val="28"/>
          <w:szCs w:val="28"/>
        </w:rPr>
        <w:t>美中元首會晤共識，推進美中經貿磋商。</w:t>
      </w:r>
    </w:p>
    <w:p w:rsidR="0008290D" w:rsidRPr="00784003" w:rsidRDefault="0008290D" w:rsidP="002A4962">
      <w:pPr>
        <w:pStyle w:val="a3"/>
        <w:numPr>
          <w:ilvl w:val="0"/>
          <w:numId w:val="8"/>
        </w:numPr>
        <w:spacing w:after="50" w:line="520" w:lineRule="exact"/>
        <w:ind w:leftChars="0" w:rightChars="-24" w:right="-58"/>
        <w:jc w:val="both"/>
        <w:rPr>
          <w:rFonts w:eastAsia="標楷體"/>
          <w:b/>
          <w:color w:val="000000" w:themeColor="text1"/>
          <w:sz w:val="28"/>
          <w:szCs w:val="28"/>
        </w:rPr>
      </w:pPr>
      <w:r w:rsidRPr="00784003">
        <w:rPr>
          <w:rFonts w:eastAsia="標楷體"/>
          <w:b/>
          <w:color w:val="000000" w:themeColor="text1"/>
          <w:sz w:val="28"/>
          <w:szCs w:val="28"/>
        </w:rPr>
        <w:t>經濟面臨風險</w:t>
      </w:r>
    </w:p>
    <w:p w:rsidR="0008290D" w:rsidRPr="00C9125E" w:rsidRDefault="0008290D" w:rsidP="00C9125E">
      <w:pPr>
        <w:spacing w:after="50" w:line="520" w:lineRule="exact"/>
        <w:ind w:leftChars="100" w:left="240" w:rightChars="-24" w:right="-58" w:firstLine="480"/>
        <w:jc w:val="both"/>
        <w:rPr>
          <w:rFonts w:ascii="Times New Roman" w:eastAsia="標楷體" w:hAnsi="Times New Roman" w:cs="Times New Roman"/>
          <w:sz w:val="28"/>
          <w:szCs w:val="28"/>
        </w:rPr>
      </w:pPr>
      <w:r w:rsidRPr="00C9125E">
        <w:rPr>
          <w:rFonts w:ascii="Times New Roman" w:eastAsia="標楷體" w:hAnsi="Times New Roman" w:cs="Times New Roman"/>
          <w:sz w:val="28"/>
          <w:szCs w:val="28"/>
        </w:rPr>
        <w:t>中國大陸</w:t>
      </w:r>
      <w:r w:rsidRPr="00C9125E">
        <w:rPr>
          <w:rFonts w:ascii="Times New Roman" w:eastAsia="標楷體" w:hAnsi="Times New Roman" w:cs="Times New Roman"/>
          <w:sz w:val="28"/>
          <w:szCs w:val="28"/>
        </w:rPr>
        <w:t>2019</w:t>
      </w:r>
      <w:r w:rsidRPr="00C9125E">
        <w:rPr>
          <w:rFonts w:ascii="Times New Roman" w:eastAsia="標楷體" w:hAnsi="Times New Roman" w:cs="Times New Roman"/>
          <w:sz w:val="28"/>
          <w:szCs w:val="28"/>
        </w:rPr>
        <w:t>年經濟面臨諸多內外在風險，經濟成長恐較上年走緩，說明如下：</w:t>
      </w:r>
    </w:p>
    <w:p w:rsidR="0008290D" w:rsidRPr="00784003" w:rsidRDefault="0008290D" w:rsidP="002A4962">
      <w:pPr>
        <w:pStyle w:val="a3"/>
        <w:numPr>
          <w:ilvl w:val="0"/>
          <w:numId w:val="9"/>
        </w:numPr>
        <w:tabs>
          <w:tab w:val="left" w:pos="851"/>
        </w:tabs>
        <w:spacing w:after="50" w:line="480" w:lineRule="exact"/>
        <w:ind w:leftChars="0"/>
        <w:jc w:val="both"/>
        <w:rPr>
          <w:rFonts w:eastAsia="標楷體"/>
          <w:color w:val="000000" w:themeColor="text1"/>
          <w:sz w:val="28"/>
          <w:szCs w:val="28"/>
        </w:rPr>
      </w:pPr>
      <w:r w:rsidRPr="00784003">
        <w:rPr>
          <w:rFonts w:eastAsia="標楷體"/>
          <w:b/>
          <w:color w:val="000000" w:themeColor="text1"/>
          <w:sz w:val="28"/>
          <w:szCs w:val="28"/>
        </w:rPr>
        <w:t>貿易面臨風險</w:t>
      </w:r>
    </w:p>
    <w:p w:rsidR="00C9125E" w:rsidRDefault="0008290D" w:rsidP="00726E4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t>美中貿易戰衝擊逐步顯現：</w:t>
      </w:r>
      <w:r w:rsidRPr="00C9125E">
        <w:rPr>
          <w:rFonts w:eastAsia="標楷體"/>
          <w:sz w:val="28"/>
          <w:szCs w:val="28"/>
        </w:rPr>
        <w:t>受人民幣貶值及企業搶出口影響，</w:t>
      </w:r>
      <w:r w:rsidRPr="00C9125E">
        <w:rPr>
          <w:rFonts w:eastAsia="標楷體"/>
          <w:sz w:val="28"/>
          <w:szCs w:val="28"/>
        </w:rPr>
        <w:t>2018</w:t>
      </w:r>
      <w:r w:rsidRPr="00C9125E">
        <w:rPr>
          <w:rFonts w:eastAsia="標楷體"/>
          <w:sz w:val="28"/>
          <w:szCs w:val="28"/>
        </w:rPr>
        <w:t>年中國大陸整體出口表現亮眼。</w:t>
      </w:r>
      <w:proofErr w:type="gramStart"/>
      <w:r w:rsidRPr="00C9125E">
        <w:rPr>
          <w:rFonts w:eastAsia="標楷體"/>
          <w:sz w:val="28"/>
          <w:szCs w:val="28"/>
        </w:rPr>
        <w:t>惟</w:t>
      </w:r>
      <w:proofErr w:type="gramEnd"/>
      <w:r w:rsidRPr="00C9125E">
        <w:rPr>
          <w:rFonts w:eastAsia="標楷體"/>
          <w:sz w:val="28"/>
          <w:szCs w:val="28"/>
        </w:rPr>
        <w:t>2019</w:t>
      </w:r>
      <w:r w:rsidRPr="00C9125E">
        <w:rPr>
          <w:rFonts w:eastAsia="標楷體"/>
          <w:sz w:val="28"/>
          <w:szCs w:val="28"/>
        </w:rPr>
        <w:t>年，搶出口效應將減弱，加上若美國加徵關稅，對中國大陸出口的衝擊將逐步顯現。近期</w:t>
      </w:r>
      <w:r w:rsidRPr="00C9125E">
        <w:rPr>
          <w:rFonts w:eastAsia="標楷體"/>
          <w:sz w:val="28"/>
          <w:szCs w:val="28"/>
        </w:rPr>
        <w:t>IMF</w:t>
      </w:r>
      <w:r w:rsidRPr="00C9125E">
        <w:rPr>
          <w:rFonts w:eastAsia="標楷體"/>
          <w:sz w:val="28"/>
          <w:szCs w:val="28"/>
        </w:rPr>
        <w:t>及</w:t>
      </w:r>
      <w:r w:rsidRPr="00C9125E">
        <w:rPr>
          <w:rFonts w:eastAsia="標楷體"/>
          <w:sz w:val="28"/>
          <w:szCs w:val="28"/>
        </w:rPr>
        <w:t>WTO</w:t>
      </w:r>
      <w:r w:rsidRPr="00C9125E">
        <w:rPr>
          <w:rFonts w:eastAsia="標楷體"/>
          <w:sz w:val="28"/>
          <w:szCs w:val="28"/>
        </w:rPr>
        <w:t>等機構紛紛調降全球貿易成長預估，顯示中國大陸出口不容樂觀。</w:t>
      </w:r>
      <w:r w:rsidR="009D7256">
        <w:rPr>
          <w:rFonts w:eastAsia="標楷體" w:hint="eastAsia"/>
          <w:sz w:val="28"/>
          <w:szCs w:val="28"/>
        </w:rPr>
        <w:t>惟美中貿易戰近期</w:t>
      </w:r>
      <w:r w:rsidR="00485241">
        <w:rPr>
          <w:rFonts w:eastAsia="標楷體" w:hint="eastAsia"/>
          <w:sz w:val="28"/>
          <w:szCs w:val="28"/>
        </w:rPr>
        <w:t>轉為和緩</w:t>
      </w:r>
      <w:r w:rsidR="00726E4E">
        <w:rPr>
          <w:rFonts w:eastAsia="標楷體" w:hint="eastAsia"/>
          <w:sz w:val="28"/>
          <w:szCs w:val="28"/>
        </w:rPr>
        <w:t>，後續仍待觀察。</w:t>
      </w:r>
    </w:p>
    <w:p w:rsidR="00C9125E" w:rsidRP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sz w:val="28"/>
          <w:szCs w:val="28"/>
        </w:rPr>
        <w:lastRenderedPageBreak/>
        <w:t>美中貿易戰擴大至科技戰：</w:t>
      </w:r>
      <w:r w:rsidRPr="00C9125E">
        <w:rPr>
          <w:rFonts w:eastAsia="標楷體"/>
          <w:sz w:val="28"/>
          <w:szCs w:val="28"/>
        </w:rPr>
        <w:t>根據花旗</w:t>
      </w:r>
      <w:r w:rsidRPr="00C9125E">
        <w:rPr>
          <w:rFonts w:eastAsia="標楷體"/>
          <w:color w:val="000000" w:themeColor="text1"/>
          <w:sz w:val="28"/>
          <w:szCs w:val="28"/>
        </w:rPr>
        <w:t>銀行</w:t>
      </w:r>
      <w:r w:rsidR="00726E4E">
        <w:rPr>
          <w:rFonts w:eastAsia="標楷體" w:hint="eastAsia"/>
          <w:color w:val="000000" w:themeColor="text1"/>
          <w:sz w:val="28"/>
          <w:szCs w:val="28"/>
        </w:rPr>
        <w:t>2018</w:t>
      </w:r>
      <w:r w:rsidR="00726E4E">
        <w:rPr>
          <w:rFonts w:eastAsia="標楷體" w:hint="eastAsia"/>
          <w:color w:val="000000" w:themeColor="text1"/>
          <w:sz w:val="28"/>
          <w:szCs w:val="28"/>
        </w:rPr>
        <w:t>年</w:t>
      </w:r>
      <w:r w:rsidRPr="00C9125E">
        <w:rPr>
          <w:rFonts w:eastAsia="標楷體"/>
          <w:color w:val="000000" w:themeColor="text1"/>
          <w:sz w:val="28"/>
          <w:szCs w:val="28"/>
        </w:rPr>
        <w:t>12</w:t>
      </w:r>
      <w:r w:rsidRPr="00C9125E">
        <w:rPr>
          <w:rFonts w:eastAsia="標楷體"/>
          <w:color w:val="000000" w:themeColor="text1"/>
          <w:sz w:val="28"/>
          <w:szCs w:val="28"/>
        </w:rPr>
        <w:t>月報告指出，由</w:t>
      </w:r>
      <w:r w:rsidR="00150601" w:rsidRPr="00C9125E">
        <w:rPr>
          <w:rFonts w:eastAsia="標楷體"/>
          <w:color w:val="000000" w:themeColor="text1"/>
          <w:sz w:val="28"/>
          <w:szCs w:val="28"/>
        </w:rPr>
        <w:t>於</w:t>
      </w:r>
      <w:r w:rsidRPr="00C9125E">
        <w:rPr>
          <w:rFonts w:eastAsia="標楷體"/>
          <w:color w:val="000000" w:themeColor="text1"/>
          <w:sz w:val="28"/>
          <w:szCs w:val="28"/>
        </w:rPr>
        <w:t>中國大陸嚴重依賴美國市場和技術，若美中戰爭由貿易擴大至</w:t>
      </w:r>
      <w:r w:rsidR="00150601" w:rsidRPr="00C9125E">
        <w:rPr>
          <w:rFonts w:eastAsia="標楷體"/>
          <w:color w:val="000000" w:themeColor="text1"/>
          <w:sz w:val="28"/>
          <w:szCs w:val="28"/>
        </w:rPr>
        <w:t>科</w:t>
      </w:r>
      <w:r w:rsidRPr="00C9125E">
        <w:rPr>
          <w:rFonts w:eastAsia="標楷體"/>
          <w:color w:val="000000" w:themeColor="text1"/>
          <w:sz w:val="28"/>
          <w:szCs w:val="28"/>
        </w:rPr>
        <w:t>技面，將導致中國大陸的技術升級速度放緩，部分高科技公司</w:t>
      </w:r>
      <w:proofErr w:type="gramStart"/>
      <w:r w:rsidR="00150601" w:rsidRPr="00C9125E">
        <w:rPr>
          <w:rFonts w:eastAsia="標楷體"/>
          <w:color w:val="000000" w:themeColor="text1"/>
          <w:sz w:val="28"/>
          <w:szCs w:val="28"/>
        </w:rPr>
        <w:t>恐</w:t>
      </w:r>
      <w:proofErr w:type="gramEnd"/>
      <w:r w:rsidRPr="00C9125E">
        <w:rPr>
          <w:rFonts w:eastAsia="標楷體"/>
          <w:color w:val="000000" w:themeColor="text1"/>
          <w:sz w:val="28"/>
          <w:szCs w:val="28"/>
        </w:rPr>
        <w:t>無法存活，導致供應</w:t>
      </w:r>
      <w:proofErr w:type="gramStart"/>
      <w:r w:rsidRPr="00C9125E">
        <w:rPr>
          <w:rFonts w:eastAsia="標楷體"/>
          <w:color w:val="000000" w:themeColor="text1"/>
          <w:sz w:val="28"/>
          <w:szCs w:val="28"/>
        </w:rPr>
        <w:t>鏈斷鏈</w:t>
      </w:r>
      <w:proofErr w:type="gramEnd"/>
      <w:r w:rsidRPr="00C9125E">
        <w:rPr>
          <w:rFonts w:eastAsia="標楷體"/>
          <w:color w:val="000000" w:themeColor="text1"/>
          <w:sz w:val="28"/>
          <w:szCs w:val="28"/>
        </w:rPr>
        <w:t>。</w:t>
      </w:r>
    </w:p>
    <w:p w:rsidR="0008290D" w:rsidRPr="00C9125E" w:rsidRDefault="0008290D" w:rsidP="00C9125E">
      <w:pPr>
        <w:pStyle w:val="a3"/>
        <w:numPr>
          <w:ilvl w:val="0"/>
          <w:numId w:val="25"/>
        </w:numPr>
        <w:spacing w:after="50" w:line="520" w:lineRule="exact"/>
        <w:ind w:leftChars="0" w:rightChars="-24" w:right="-58"/>
        <w:jc w:val="both"/>
        <w:rPr>
          <w:rFonts w:eastAsia="標楷體"/>
          <w:sz w:val="28"/>
          <w:szCs w:val="28"/>
        </w:rPr>
      </w:pPr>
      <w:r w:rsidRPr="00C9125E">
        <w:rPr>
          <w:rFonts w:eastAsia="標楷體"/>
          <w:b/>
          <w:color w:val="000000" w:themeColor="text1"/>
          <w:sz w:val="28"/>
          <w:szCs w:val="28"/>
        </w:rPr>
        <w:t>美中貿易戰提高中國大陸失業的風險：</w:t>
      </w:r>
      <w:r w:rsidRPr="00C9125E">
        <w:rPr>
          <w:rFonts w:eastAsia="標楷體"/>
          <w:color w:val="000000" w:themeColor="text1"/>
          <w:sz w:val="28"/>
          <w:szCs w:val="28"/>
        </w:rPr>
        <w:t>根據聯合國</w:t>
      </w:r>
      <w:r w:rsidR="009D7256">
        <w:rPr>
          <w:rFonts w:eastAsia="標楷體" w:hint="eastAsia"/>
          <w:color w:val="000000" w:themeColor="text1"/>
          <w:sz w:val="28"/>
          <w:szCs w:val="28"/>
        </w:rPr>
        <w:t>2018</w:t>
      </w:r>
      <w:r w:rsidR="009D7256">
        <w:rPr>
          <w:rFonts w:eastAsia="標楷體" w:hint="eastAsia"/>
          <w:color w:val="000000" w:themeColor="text1"/>
          <w:sz w:val="28"/>
          <w:szCs w:val="28"/>
        </w:rPr>
        <w:t>年</w:t>
      </w:r>
      <w:r w:rsidRPr="00C9125E">
        <w:rPr>
          <w:rFonts w:eastAsia="標楷體"/>
          <w:color w:val="000000" w:themeColor="text1"/>
          <w:sz w:val="28"/>
          <w:szCs w:val="28"/>
        </w:rPr>
        <w:t>12</w:t>
      </w:r>
      <w:r w:rsidRPr="00C9125E">
        <w:rPr>
          <w:rFonts w:eastAsia="標楷體"/>
          <w:color w:val="000000" w:themeColor="text1"/>
          <w:sz w:val="28"/>
          <w:szCs w:val="28"/>
        </w:rPr>
        <w:t>月發布的「亞太貿易投資報告」</w:t>
      </w:r>
      <w:r w:rsidR="00737E41" w:rsidRPr="00C9125E">
        <w:rPr>
          <w:rStyle w:val="ae"/>
          <w:rFonts w:eastAsia="標楷體"/>
          <w:color w:val="000000" w:themeColor="text1"/>
          <w:sz w:val="28"/>
          <w:szCs w:val="28"/>
        </w:rPr>
        <w:footnoteReference w:id="6"/>
      </w:r>
      <w:r w:rsidRPr="00C9125E">
        <w:rPr>
          <w:rFonts w:eastAsia="標楷體"/>
          <w:color w:val="000000" w:themeColor="text1"/>
          <w:sz w:val="28"/>
          <w:szCs w:val="28"/>
        </w:rPr>
        <w:t>指出，美中貿易衝突升級衝擊投資人與消費者信心，將使中國大陸流失</w:t>
      </w:r>
      <w:r w:rsidRPr="00C9125E">
        <w:rPr>
          <w:rFonts w:eastAsia="標楷體"/>
          <w:color w:val="000000" w:themeColor="text1"/>
          <w:sz w:val="28"/>
          <w:szCs w:val="28"/>
        </w:rPr>
        <w:t>890</w:t>
      </w:r>
      <w:r w:rsidRPr="00C9125E">
        <w:rPr>
          <w:rFonts w:eastAsia="標楷體"/>
          <w:color w:val="000000" w:themeColor="text1"/>
          <w:sz w:val="28"/>
          <w:szCs w:val="28"/>
        </w:rPr>
        <w:t>萬個工作機會。</w:t>
      </w:r>
      <w:proofErr w:type="gramStart"/>
      <w:r w:rsidRPr="00C9125E">
        <w:rPr>
          <w:rFonts w:eastAsia="標楷體"/>
          <w:color w:val="000000" w:themeColor="text1"/>
          <w:sz w:val="28"/>
          <w:szCs w:val="28"/>
        </w:rPr>
        <w:t>此外，</w:t>
      </w:r>
      <w:proofErr w:type="gramEnd"/>
      <w:r w:rsidRPr="00C9125E">
        <w:rPr>
          <w:rFonts w:eastAsia="標楷體"/>
          <w:color w:val="000000" w:themeColor="text1"/>
          <w:sz w:val="28"/>
          <w:szCs w:val="28"/>
        </w:rPr>
        <w:t>美國關稅措施亦迫使</w:t>
      </w:r>
      <w:proofErr w:type="gramStart"/>
      <w:r w:rsidRPr="00C9125E">
        <w:rPr>
          <w:rFonts w:eastAsia="標楷體"/>
          <w:color w:val="000000" w:themeColor="text1"/>
          <w:sz w:val="28"/>
          <w:szCs w:val="28"/>
        </w:rPr>
        <w:t>臺</w:t>
      </w:r>
      <w:proofErr w:type="gramEnd"/>
      <w:r w:rsidRPr="00C9125E">
        <w:rPr>
          <w:rFonts w:eastAsia="標楷體"/>
          <w:color w:val="000000" w:themeColor="text1"/>
          <w:sz w:val="28"/>
          <w:szCs w:val="28"/>
        </w:rPr>
        <w:t>商及美國跨國公司調整全球供應鏈佈局，導致中國大陸失業風險增加。</w:t>
      </w:r>
    </w:p>
    <w:p w:rsidR="0008290D" w:rsidRPr="00C9125E" w:rsidRDefault="0008290D" w:rsidP="002A4962">
      <w:pPr>
        <w:pStyle w:val="a3"/>
        <w:numPr>
          <w:ilvl w:val="0"/>
          <w:numId w:val="9"/>
        </w:numPr>
        <w:tabs>
          <w:tab w:val="left" w:pos="851"/>
        </w:tabs>
        <w:spacing w:after="50" w:line="480" w:lineRule="exact"/>
        <w:ind w:leftChars="0"/>
        <w:jc w:val="both"/>
        <w:rPr>
          <w:rFonts w:eastAsia="標楷體"/>
          <w:b/>
          <w:color w:val="000000" w:themeColor="text1"/>
          <w:sz w:val="28"/>
          <w:szCs w:val="28"/>
        </w:rPr>
      </w:pPr>
      <w:r w:rsidRPr="00C9125E">
        <w:rPr>
          <w:rFonts w:eastAsia="標楷體"/>
          <w:b/>
          <w:color w:val="000000" w:themeColor="text1"/>
          <w:sz w:val="28"/>
          <w:szCs w:val="28"/>
        </w:rPr>
        <w:t>金融市場風險</w:t>
      </w:r>
    </w:p>
    <w:p w:rsidR="00C9125E" w:rsidRPr="00C9125E" w:rsidRDefault="0008290D" w:rsidP="00C9125E">
      <w:pPr>
        <w:pStyle w:val="a3"/>
        <w:numPr>
          <w:ilvl w:val="0"/>
          <w:numId w:val="25"/>
        </w:numPr>
        <w:spacing w:after="50" w:line="520" w:lineRule="exact"/>
        <w:ind w:leftChars="0" w:rightChars="-24" w:right="-58"/>
        <w:jc w:val="both"/>
        <w:rPr>
          <w:rFonts w:eastAsia="標楷體"/>
          <w:b/>
          <w:color w:val="000000" w:themeColor="text1"/>
          <w:sz w:val="28"/>
          <w:szCs w:val="28"/>
        </w:rPr>
      </w:pPr>
      <w:r w:rsidRPr="00C9125E">
        <w:rPr>
          <w:rFonts w:eastAsia="標楷體"/>
          <w:b/>
          <w:color w:val="000000" w:themeColor="text1"/>
          <w:sz w:val="28"/>
          <w:szCs w:val="28"/>
        </w:rPr>
        <w:t>企業債務風險提升：</w:t>
      </w:r>
      <w:r w:rsidRPr="00C9125E">
        <w:rPr>
          <w:rFonts w:eastAsia="標楷體"/>
          <w:color w:val="000000" w:themeColor="text1"/>
          <w:sz w:val="28"/>
          <w:szCs w:val="28"/>
        </w:rPr>
        <w:t>根據路透社統計，截至</w:t>
      </w:r>
      <w:r w:rsidR="009D7256">
        <w:rPr>
          <w:rFonts w:eastAsia="標楷體" w:hint="eastAsia"/>
          <w:color w:val="000000" w:themeColor="text1"/>
          <w:sz w:val="28"/>
          <w:szCs w:val="28"/>
        </w:rPr>
        <w:t>2018</w:t>
      </w:r>
      <w:r w:rsidR="009D7256">
        <w:rPr>
          <w:rFonts w:eastAsia="標楷體" w:hint="eastAsia"/>
          <w:color w:val="000000" w:themeColor="text1"/>
          <w:sz w:val="28"/>
          <w:szCs w:val="28"/>
        </w:rPr>
        <w:t>年</w:t>
      </w:r>
      <w:r w:rsidRPr="00C9125E">
        <w:rPr>
          <w:rFonts w:eastAsia="標楷體"/>
          <w:color w:val="000000" w:themeColor="text1"/>
          <w:sz w:val="28"/>
          <w:szCs w:val="28"/>
        </w:rPr>
        <w:t>9</w:t>
      </w:r>
      <w:r w:rsidRPr="00C9125E">
        <w:rPr>
          <w:rFonts w:eastAsia="標楷體"/>
          <w:color w:val="000000" w:themeColor="text1"/>
          <w:sz w:val="28"/>
          <w:szCs w:val="28"/>
        </w:rPr>
        <w:t>月底，共有</w:t>
      </w:r>
      <w:r w:rsidRPr="00C9125E">
        <w:rPr>
          <w:rFonts w:eastAsia="標楷體"/>
          <w:color w:val="000000" w:themeColor="text1"/>
          <w:sz w:val="28"/>
          <w:szCs w:val="28"/>
        </w:rPr>
        <w:t>25</w:t>
      </w:r>
      <w:r w:rsidRPr="00C9125E">
        <w:rPr>
          <w:rFonts w:eastAsia="標楷體"/>
          <w:color w:val="000000" w:themeColor="text1"/>
          <w:sz w:val="28"/>
          <w:szCs w:val="28"/>
        </w:rPr>
        <w:t>家企業</w:t>
      </w:r>
      <w:r w:rsidRPr="00C9125E">
        <w:rPr>
          <w:rFonts w:eastAsia="標楷體"/>
          <w:color w:val="000000" w:themeColor="text1"/>
          <w:sz w:val="28"/>
          <w:szCs w:val="28"/>
        </w:rPr>
        <w:t>52</w:t>
      </w:r>
      <w:r w:rsidRPr="00C9125E">
        <w:rPr>
          <w:rFonts w:eastAsia="標楷體"/>
          <w:color w:val="000000" w:themeColor="text1"/>
          <w:sz w:val="28"/>
          <w:szCs w:val="28"/>
        </w:rPr>
        <w:t>筆債務違約，金額約</w:t>
      </w:r>
      <w:r w:rsidRPr="00C9125E">
        <w:rPr>
          <w:rFonts w:eastAsia="標楷體"/>
          <w:color w:val="000000" w:themeColor="text1"/>
          <w:sz w:val="28"/>
          <w:szCs w:val="28"/>
        </w:rPr>
        <w:t>606</w:t>
      </w:r>
      <w:r w:rsidRPr="00C9125E">
        <w:rPr>
          <w:rFonts w:eastAsia="標楷體"/>
          <w:color w:val="000000" w:themeColor="text1"/>
          <w:sz w:val="28"/>
          <w:szCs w:val="28"/>
        </w:rPr>
        <w:t>億元人民幣（</w:t>
      </w:r>
      <w:r w:rsidRPr="00C9125E">
        <w:rPr>
          <w:rFonts w:eastAsia="標楷體"/>
          <w:color w:val="000000" w:themeColor="text1"/>
          <w:sz w:val="28"/>
          <w:szCs w:val="28"/>
        </w:rPr>
        <w:t>87.6</w:t>
      </w:r>
      <w:r w:rsidRPr="00C9125E">
        <w:rPr>
          <w:rFonts w:eastAsia="標楷體"/>
          <w:color w:val="000000" w:themeColor="text1"/>
          <w:sz w:val="28"/>
          <w:szCs w:val="28"/>
        </w:rPr>
        <w:t>億美元）。隨著全球金融條件緊縮，貿易緊張情勢加劇，投資人風險偏好下降，企業債務違約風險提升。</w:t>
      </w:r>
      <w:proofErr w:type="gramStart"/>
      <w:r w:rsidRPr="00C9125E">
        <w:rPr>
          <w:rFonts w:eastAsia="標楷體"/>
          <w:color w:val="000000" w:themeColor="text1"/>
          <w:sz w:val="28"/>
          <w:szCs w:val="28"/>
        </w:rPr>
        <w:t>惠譽</w:t>
      </w:r>
      <w:r w:rsidR="009D7256">
        <w:rPr>
          <w:rFonts w:eastAsia="標楷體" w:hint="eastAsia"/>
          <w:color w:val="000000" w:themeColor="text1"/>
          <w:sz w:val="28"/>
          <w:szCs w:val="28"/>
        </w:rPr>
        <w:t>2018</w:t>
      </w:r>
      <w:r w:rsidR="009D7256">
        <w:rPr>
          <w:rFonts w:eastAsia="標楷體" w:hint="eastAsia"/>
          <w:color w:val="000000" w:themeColor="text1"/>
          <w:sz w:val="28"/>
          <w:szCs w:val="28"/>
        </w:rPr>
        <w:t>年</w:t>
      </w:r>
      <w:r w:rsidRPr="00C9125E">
        <w:rPr>
          <w:rFonts w:eastAsia="標楷體"/>
          <w:color w:val="000000" w:themeColor="text1"/>
          <w:sz w:val="28"/>
          <w:szCs w:val="28"/>
        </w:rPr>
        <w:t>10</w:t>
      </w:r>
      <w:r w:rsidRPr="00C9125E">
        <w:rPr>
          <w:rFonts w:eastAsia="標楷體"/>
          <w:color w:val="000000" w:themeColor="text1"/>
          <w:sz w:val="28"/>
          <w:szCs w:val="28"/>
        </w:rPr>
        <w:t>月</w:t>
      </w:r>
      <w:proofErr w:type="gramEnd"/>
      <w:r w:rsidRPr="00C9125E">
        <w:rPr>
          <w:rFonts w:eastAsia="標楷體"/>
          <w:color w:val="000000" w:themeColor="text1"/>
          <w:sz w:val="28"/>
          <w:szCs w:val="28"/>
        </w:rPr>
        <w:t>指出</w:t>
      </w:r>
      <w:r w:rsidR="009D7256">
        <w:rPr>
          <w:rStyle w:val="ae"/>
          <w:rFonts w:eastAsia="標楷體"/>
          <w:color w:val="000000" w:themeColor="text1"/>
          <w:sz w:val="28"/>
          <w:szCs w:val="28"/>
        </w:rPr>
        <w:footnoteReference w:id="7"/>
      </w:r>
      <w:r w:rsidRPr="00C9125E">
        <w:rPr>
          <w:rFonts w:eastAsia="標楷體"/>
          <w:color w:val="000000" w:themeColor="text1"/>
          <w:sz w:val="28"/>
          <w:szCs w:val="28"/>
        </w:rPr>
        <w:t>，</w:t>
      </w:r>
      <w:r w:rsidRPr="00C9125E">
        <w:rPr>
          <w:rFonts w:eastAsia="標楷體"/>
          <w:color w:val="000000" w:themeColor="text1"/>
          <w:sz w:val="28"/>
          <w:szCs w:val="28"/>
        </w:rPr>
        <w:t>2019</w:t>
      </w:r>
      <w:r w:rsidRPr="00C9125E">
        <w:rPr>
          <w:rFonts w:eastAsia="標楷體"/>
          <w:color w:val="000000" w:themeColor="text1"/>
          <w:sz w:val="28"/>
          <w:szCs w:val="28"/>
        </w:rPr>
        <w:t>年中國大陸的企業債券違約</w:t>
      </w:r>
      <w:r w:rsidR="004F319E">
        <w:rPr>
          <w:rFonts w:eastAsia="標楷體" w:hint="eastAsia"/>
          <w:color w:val="000000" w:themeColor="text1"/>
          <w:sz w:val="28"/>
          <w:szCs w:val="28"/>
        </w:rPr>
        <w:t>恐</w:t>
      </w:r>
      <w:r w:rsidRPr="00C9125E">
        <w:rPr>
          <w:rFonts w:eastAsia="標楷體"/>
          <w:color w:val="000000" w:themeColor="text1"/>
          <w:sz w:val="28"/>
          <w:szCs w:val="28"/>
        </w:rPr>
        <w:t>將繼續上升，企業違約應會繼續集中在私營部門。</w:t>
      </w:r>
    </w:p>
    <w:p w:rsidR="00C9125E" w:rsidRPr="00C9125E" w:rsidRDefault="0008290D" w:rsidP="00C9125E">
      <w:pPr>
        <w:pStyle w:val="a3"/>
        <w:numPr>
          <w:ilvl w:val="0"/>
          <w:numId w:val="25"/>
        </w:numPr>
        <w:spacing w:after="50" w:line="520" w:lineRule="exact"/>
        <w:ind w:leftChars="0" w:rightChars="-24" w:right="-58"/>
        <w:jc w:val="both"/>
        <w:rPr>
          <w:rFonts w:eastAsia="標楷體"/>
          <w:b/>
          <w:color w:val="000000" w:themeColor="text1"/>
          <w:sz w:val="28"/>
          <w:szCs w:val="28"/>
        </w:rPr>
      </w:pPr>
      <w:r w:rsidRPr="00C9125E">
        <w:rPr>
          <w:rFonts w:eastAsia="標楷體"/>
          <w:b/>
          <w:color w:val="000000" w:themeColor="text1"/>
          <w:sz w:val="28"/>
          <w:szCs w:val="28"/>
        </w:rPr>
        <w:t>地方債務潛存高度風險：</w:t>
      </w:r>
      <w:proofErr w:type="gramStart"/>
      <w:r w:rsidRPr="00C9125E">
        <w:rPr>
          <w:rFonts w:eastAsia="標楷體"/>
          <w:color w:val="000000" w:themeColor="text1"/>
          <w:sz w:val="28"/>
          <w:szCs w:val="28"/>
        </w:rPr>
        <w:t>標普</w:t>
      </w:r>
      <w:r w:rsidR="004F319E">
        <w:rPr>
          <w:rFonts w:eastAsia="標楷體" w:hint="eastAsia"/>
          <w:color w:val="000000" w:themeColor="text1"/>
          <w:sz w:val="28"/>
          <w:szCs w:val="28"/>
        </w:rPr>
        <w:t>2018</w:t>
      </w:r>
      <w:r w:rsidR="004F319E">
        <w:rPr>
          <w:rFonts w:eastAsia="標楷體" w:hint="eastAsia"/>
          <w:color w:val="000000" w:themeColor="text1"/>
          <w:sz w:val="28"/>
          <w:szCs w:val="28"/>
        </w:rPr>
        <w:t>年</w:t>
      </w:r>
      <w:r w:rsidRPr="00C9125E">
        <w:rPr>
          <w:rFonts w:eastAsia="標楷體"/>
          <w:color w:val="000000" w:themeColor="text1"/>
          <w:sz w:val="28"/>
          <w:szCs w:val="28"/>
        </w:rPr>
        <w:t>10</w:t>
      </w:r>
      <w:r w:rsidRPr="00C9125E">
        <w:rPr>
          <w:rFonts w:eastAsia="標楷體"/>
          <w:color w:val="000000" w:themeColor="text1"/>
          <w:sz w:val="28"/>
          <w:szCs w:val="28"/>
        </w:rPr>
        <w:t>月</w:t>
      </w:r>
      <w:proofErr w:type="gramEnd"/>
      <w:r w:rsidRPr="00C9125E">
        <w:rPr>
          <w:rFonts w:eastAsia="標楷體"/>
          <w:color w:val="000000" w:themeColor="text1"/>
          <w:sz w:val="28"/>
          <w:szCs w:val="28"/>
        </w:rPr>
        <w:t>發布「地方政府隱性債務高懸，或預示融資平</w:t>
      </w:r>
      <w:proofErr w:type="gramStart"/>
      <w:r w:rsidRPr="00C9125E">
        <w:rPr>
          <w:rFonts w:eastAsia="標楷體"/>
          <w:color w:val="000000" w:themeColor="text1"/>
          <w:sz w:val="28"/>
          <w:szCs w:val="28"/>
        </w:rPr>
        <w:t>臺</w:t>
      </w:r>
      <w:proofErr w:type="gramEnd"/>
      <w:r w:rsidRPr="00C9125E">
        <w:rPr>
          <w:rFonts w:eastAsia="標楷體"/>
          <w:color w:val="000000" w:themeColor="text1"/>
          <w:sz w:val="28"/>
          <w:szCs w:val="28"/>
        </w:rPr>
        <w:t>違約增加」報告指出，中國大陸地方政府的隱性債務規模可能超過</w:t>
      </w:r>
      <w:r w:rsidRPr="00C9125E">
        <w:rPr>
          <w:rFonts w:eastAsia="標楷體"/>
          <w:color w:val="000000" w:themeColor="text1"/>
          <w:sz w:val="28"/>
          <w:szCs w:val="28"/>
        </w:rPr>
        <w:t>6</w:t>
      </w:r>
      <w:r w:rsidRPr="00C9125E">
        <w:rPr>
          <w:rFonts w:eastAsia="標楷體"/>
          <w:color w:val="000000" w:themeColor="text1"/>
          <w:sz w:val="28"/>
          <w:szCs w:val="28"/>
        </w:rPr>
        <w:t>兆美元，</w:t>
      </w:r>
      <w:proofErr w:type="gramStart"/>
      <w:r w:rsidRPr="00C9125E">
        <w:rPr>
          <w:rFonts w:eastAsia="標楷體"/>
          <w:color w:val="000000" w:themeColor="text1"/>
          <w:sz w:val="28"/>
          <w:szCs w:val="28"/>
        </w:rPr>
        <w:t>標普並</w:t>
      </w:r>
      <w:proofErr w:type="gramEnd"/>
      <w:r w:rsidRPr="00C9125E">
        <w:rPr>
          <w:rFonts w:eastAsia="標楷體"/>
          <w:color w:val="000000" w:themeColor="text1"/>
          <w:sz w:val="28"/>
          <w:szCs w:val="28"/>
        </w:rPr>
        <w:t>指出中央政府將繼續大力整治地方政府透過融資平</w:t>
      </w:r>
      <w:proofErr w:type="gramStart"/>
      <w:r w:rsidRPr="00C9125E">
        <w:rPr>
          <w:rFonts w:eastAsia="標楷體"/>
          <w:color w:val="000000" w:themeColor="text1"/>
          <w:sz w:val="28"/>
          <w:szCs w:val="28"/>
        </w:rPr>
        <w:t>臺</w:t>
      </w:r>
      <w:proofErr w:type="gramEnd"/>
      <w:r w:rsidRPr="00C9125E">
        <w:rPr>
          <w:rFonts w:eastAsia="標楷體"/>
          <w:color w:val="000000" w:themeColor="text1"/>
          <w:sz w:val="28"/>
          <w:szCs w:val="28"/>
        </w:rPr>
        <w:t>舉債的違規行為。</w:t>
      </w:r>
      <w:proofErr w:type="gramStart"/>
      <w:r w:rsidRPr="00C9125E">
        <w:rPr>
          <w:rFonts w:eastAsia="標楷體"/>
          <w:color w:val="000000" w:themeColor="text1"/>
          <w:sz w:val="28"/>
          <w:szCs w:val="28"/>
        </w:rPr>
        <w:t>此外，</w:t>
      </w:r>
      <w:proofErr w:type="gramEnd"/>
      <w:r w:rsidRPr="00C9125E">
        <w:rPr>
          <w:rFonts w:eastAsia="標楷體"/>
          <w:color w:val="000000" w:themeColor="text1"/>
          <w:sz w:val="28"/>
          <w:szCs w:val="28"/>
        </w:rPr>
        <w:t>中國大陸近期為因應美中貿易戰加大減稅力道</w:t>
      </w:r>
      <w:r w:rsidR="00737E41" w:rsidRPr="00C9125E">
        <w:rPr>
          <w:rStyle w:val="ae"/>
          <w:rFonts w:eastAsia="標楷體"/>
          <w:color w:val="000000" w:themeColor="text1"/>
          <w:sz w:val="28"/>
          <w:szCs w:val="28"/>
        </w:rPr>
        <w:footnoteReference w:id="8"/>
      </w:r>
      <w:r w:rsidRPr="00C9125E">
        <w:rPr>
          <w:rFonts w:eastAsia="標楷體"/>
          <w:color w:val="000000" w:themeColor="text1"/>
          <w:sz w:val="28"/>
          <w:szCs w:val="28"/>
        </w:rPr>
        <w:t>，致地方政府稅收驟</w:t>
      </w:r>
      <w:r w:rsidR="00150601" w:rsidRPr="00C9125E">
        <w:rPr>
          <w:rFonts w:eastAsia="標楷體"/>
          <w:color w:val="000000" w:themeColor="text1"/>
          <w:sz w:val="28"/>
          <w:szCs w:val="28"/>
        </w:rPr>
        <w:t>減，</w:t>
      </w:r>
      <w:r w:rsidRPr="00C9125E">
        <w:rPr>
          <w:rFonts w:eastAsia="標楷體"/>
          <w:color w:val="000000" w:themeColor="text1"/>
          <w:sz w:val="28"/>
          <w:szCs w:val="28"/>
        </w:rPr>
        <w:t>提升</w:t>
      </w:r>
      <w:r w:rsidRPr="00C9125E">
        <w:rPr>
          <w:rFonts w:eastAsia="標楷體"/>
          <w:color w:val="000000" w:themeColor="text1"/>
          <w:sz w:val="28"/>
          <w:szCs w:val="28"/>
        </w:rPr>
        <w:t>2019</w:t>
      </w:r>
      <w:r w:rsidRPr="00C9125E">
        <w:rPr>
          <w:rFonts w:eastAsia="標楷體"/>
          <w:color w:val="000000" w:themeColor="text1"/>
          <w:sz w:val="28"/>
          <w:szCs w:val="28"/>
        </w:rPr>
        <w:t>年中國大陸地方政府違約風險。</w:t>
      </w:r>
    </w:p>
    <w:p w:rsidR="0008290D" w:rsidRPr="00C9125E" w:rsidRDefault="0008290D" w:rsidP="00C9125E">
      <w:pPr>
        <w:pStyle w:val="a3"/>
        <w:numPr>
          <w:ilvl w:val="0"/>
          <w:numId w:val="25"/>
        </w:numPr>
        <w:spacing w:after="50" w:line="520" w:lineRule="exact"/>
        <w:ind w:leftChars="0" w:rightChars="-24" w:right="-58"/>
        <w:jc w:val="both"/>
        <w:rPr>
          <w:rFonts w:eastAsia="標楷體"/>
          <w:b/>
          <w:color w:val="000000" w:themeColor="text1"/>
          <w:sz w:val="28"/>
          <w:szCs w:val="28"/>
        </w:rPr>
      </w:pPr>
      <w:r w:rsidRPr="00C9125E">
        <w:rPr>
          <w:rFonts w:eastAsia="標楷體"/>
          <w:b/>
          <w:color w:val="000000" w:themeColor="text1"/>
          <w:sz w:val="28"/>
          <w:szCs w:val="28"/>
        </w:rPr>
        <w:lastRenderedPageBreak/>
        <w:t>人民幣貶值風險高：</w:t>
      </w:r>
      <w:r w:rsidRPr="00C9125E">
        <w:rPr>
          <w:rFonts w:eastAsia="標楷體"/>
          <w:color w:val="000000" w:themeColor="text1"/>
          <w:sz w:val="28"/>
          <w:szCs w:val="28"/>
        </w:rPr>
        <w:t>G20</w:t>
      </w:r>
      <w:r w:rsidRPr="00C9125E">
        <w:rPr>
          <w:rFonts w:eastAsia="標楷體"/>
          <w:color w:val="000000" w:themeColor="text1"/>
          <w:sz w:val="28"/>
          <w:szCs w:val="28"/>
        </w:rPr>
        <w:t>峰會後，美中雙方同意在</w:t>
      </w:r>
      <w:r w:rsidRPr="00C9125E">
        <w:rPr>
          <w:rFonts w:eastAsia="標楷體"/>
          <w:color w:val="000000" w:themeColor="text1"/>
          <w:sz w:val="28"/>
          <w:szCs w:val="28"/>
        </w:rPr>
        <w:t>90</w:t>
      </w:r>
      <w:r w:rsidRPr="00C9125E">
        <w:rPr>
          <w:rFonts w:eastAsia="標楷體"/>
          <w:color w:val="000000" w:themeColor="text1"/>
          <w:sz w:val="28"/>
          <w:szCs w:val="28"/>
        </w:rPr>
        <w:t>天內完成協商，讓人民幣</w:t>
      </w:r>
      <w:proofErr w:type="gramStart"/>
      <w:r w:rsidRPr="00C9125E">
        <w:rPr>
          <w:rFonts w:eastAsia="標楷體"/>
          <w:color w:val="000000" w:themeColor="text1"/>
          <w:sz w:val="28"/>
          <w:szCs w:val="28"/>
        </w:rPr>
        <w:t>匯</w:t>
      </w:r>
      <w:proofErr w:type="gramEnd"/>
      <w:r w:rsidRPr="00C9125E">
        <w:rPr>
          <w:rFonts w:eastAsia="標楷體"/>
          <w:color w:val="000000" w:themeColor="text1"/>
          <w:sz w:val="28"/>
          <w:szCs w:val="28"/>
        </w:rPr>
        <w:t>價貶值風險減緩。然而美中貿易戰難以在短期解決，屆時美國或將推出更嚴厲的貿易制裁</w:t>
      </w:r>
      <w:r w:rsidR="008120BD">
        <w:rPr>
          <w:rFonts w:eastAsia="標楷體" w:hint="eastAsia"/>
          <w:color w:val="000000" w:themeColor="text1"/>
          <w:sz w:val="28"/>
          <w:szCs w:val="28"/>
        </w:rPr>
        <w:t>，</w:t>
      </w:r>
      <w:r w:rsidRPr="00C9125E">
        <w:rPr>
          <w:rFonts w:eastAsia="標楷體"/>
          <w:color w:val="000000" w:themeColor="text1"/>
          <w:sz w:val="28"/>
          <w:szCs w:val="28"/>
        </w:rPr>
        <w:t>恐讓人民幣貶值再起，加上美國聯準會推動貨幣政策正常化，美國利率潛存上升預期，人民幣恐有進一步貶值風險，若貶值引發資金外流，可能引爆國內金融危機</w:t>
      </w:r>
      <w:r w:rsidR="00737E41" w:rsidRPr="00C9125E">
        <w:rPr>
          <w:rStyle w:val="ae"/>
          <w:rFonts w:eastAsia="標楷體"/>
          <w:color w:val="000000" w:themeColor="text1"/>
          <w:sz w:val="28"/>
          <w:szCs w:val="28"/>
        </w:rPr>
        <w:footnoteReference w:id="9"/>
      </w:r>
      <w:r w:rsidRPr="00C9125E">
        <w:rPr>
          <w:rFonts w:eastAsia="標楷體"/>
          <w:color w:val="000000" w:themeColor="text1"/>
          <w:sz w:val="28"/>
          <w:szCs w:val="28"/>
        </w:rPr>
        <w:t>。</w:t>
      </w:r>
    </w:p>
    <w:p w:rsidR="0008290D" w:rsidRPr="00784003" w:rsidRDefault="0008290D" w:rsidP="002A4962">
      <w:pPr>
        <w:pStyle w:val="a3"/>
        <w:numPr>
          <w:ilvl w:val="0"/>
          <w:numId w:val="8"/>
        </w:numPr>
        <w:spacing w:after="50" w:line="520" w:lineRule="exact"/>
        <w:ind w:leftChars="0" w:rightChars="-24" w:right="-58"/>
        <w:jc w:val="both"/>
        <w:rPr>
          <w:rFonts w:eastAsia="標楷體"/>
          <w:b/>
          <w:color w:val="000000" w:themeColor="text1"/>
          <w:sz w:val="28"/>
          <w:szCs w:val="28"/>
        </w:rPr>
      </w:pPr>
      <w:r w:rsidRPr="00784003">
        <w:rPr>
          <w:rFonts w:eastAsia="標楷體"/>
          <w:b/>
          <w:color w:val="000000" w:themeColor="text1"/>
          <w:sz w:val="28"/>
          <w:szCs w:val="28"/>
        </w:rPr>
        <w:t>主要機構對中國大陸經濟預測</w:t>
      </w:r>
    </w:p>
    <w:p w:rsidR="0008290D" w:rsidRPr="00C9125E" w:rsidRDefault="0008290D" w:rsidP="00C9125E">
      <w:pPr>
        <w:spacing w:after="50" w:line="520" w:lineRule="exact"/>
        <w:ind w:leftChars="100" w:left="240" w:rightChars="-24" w:right="-58" w:firstLine="480"/>
        <w:jc w:val="both"/>
        <w:rPr>
          <w:rFonts w:ascii="Times New Roman" w:eastAsia="標楷體" w:hAnsi="Times New Roman" w:cs="Times New Roman"/>
          <w:sz w:val="28"/>
          <w:szCs w:val="28"/>
        </w:rPr>
      </w:pPr>
      <w:r w:rsidRPr="00C9125E">
        <w:rPr>
          <w:rFonts w:ascii="Times New Roman" w:eastAsia="標楷體" w:hAnsi="Times New Roman" w:cs="Times New Roman"/>
          <w:sz w:val="28"/>
          <w:szCs w:val="28"/>
        </w:rPr>
        <w:t>受美中貿易戰及美國升息影響，國際主要機構預測</w:t>
      </w:r>
      <w:r w:rsidRPr="00C9125E">
        <w:rPr>
          <w:rFonts w:ascii="Times New Roman" w:eastAsia="標楷體" w:hAnsi="Times New Roman" w:cs="Times New Roman"/>
          <w:sz w:val="28"/>
          <w:szCs w:val="28"/>
        </w:rPr>
        <w:t>2019</w:t>
      </w:r>
      <w:r w:rsidRPr="00C9125E">
        <w:rPr>
          <w:rFonts w:ascii="Times New Roman" w:eastAsia="標楷體" w:hAnsi="Times New Roman" w:cs="Times New Roman"/>
          <w:sz w:val="28"/>
          <w:szCs w:val="28"/>
        </w:rPr>
        <w:t>年中國大陸</w:t>
      </w:r>
      <w:r w:rsidRPr="00C9125E">
        <w:rPr>
          <w:rFonts w:ascii="Times New Roman" w:eastAsia="標楷體" w:hAnsi="Times New Roman" w:cs="Times New Roman"/>
          <w:sz w:val="28"/>
          <w:szCs w:val="28"/>
        </w:rPr>
        <w:t>GDP</w:t>
      </w:r>
      <w:r w:rsidRPr="00C9125E">
        <w:rPr>
          <w:rFonts w:ascii="Times New Roman" w:eastAsia="標楷體" w:hAnsi="Times New Roman" w:cs="Times New Roman"/>
          <w:sz w:val="28"/>
          <w:szCs w:val="28"/>
        </w:rPr>
        <w:t>實際成長率大約在</w:t>
      </w:r>
      <w:r w:rsidRPr="00C9125E">
        <w:rPr>
          <w:rFonts w:ascii="Times New Roman" w:eastAsia="標楷體" w:hAnsi="Times New Roman" w:cs="Times New Roman"/>
          <w:sz w:val="28"/>
          <w:szCs w:val="28"/>
        </w:rPr>
        <w:t>6.0%</w:t>
      </w:r>
      <w:r w:rsidRPr="00C9125E">
        <w:rPr>
          <w:rFonts w:ascii="Times New Roman" w:eastAsia="標楷體" w:hAnsi="Times New Roman" w:cs="Times New Roman"/>
          <w:sz w:val="28"/>
          <w:szCs w:val="28"/>
        </w:rPr>
        <w:t>至</w:t>
      </w:r>
      <w:r w:rsidRPr="00C9125E">
        <w:rPr>
          <w:rFonts w:ascii="Times New Roman" w:eastAsia="標楷體" w:hAnsi="Times New Roman" w:cs="Times New Roman"/>
          <w:sz w:val="28"/>
          <w:szCs w:val="28"/>
        </w:rPr>
        <w:t>6.3%</w:t>
      </w:r>
      <w:r w:rsidRPr="00C9125E">
        <w:rPr>
          <w:rFonts w:ascii="Times New Roman" w:eastAsia="標楷體" w:hAnsi="Times New Roman" w:cs="Times New Roman"/>
          <w:sz w:val="28"/>
          <w:szCs w:val="28"/>
        </w:rPr>
        <w:t>間</w:t>
      </w:r>
      <w:r w:rsidR="00C9125E" w:rsidRPr="00C9125E">
        <w:rPr>
          <w:rFonts w:ascii="Times New Roman" w:eastAsia="標楷體" w:hAnsi="Times New Roman" w:cs="Times New Roman"/>
          <w:sz w:val="28"/>
          <w:szCs w:val="28"/>
        </w:rPr>
        <w:t>（</w:t>
      </w:r>
      <w:r w:rsidRPr="00C9125E">
        <w:rPr>
          <w:rFonts w:ascii="Times New Roman" w:eastAsia="標楷體" w:hAnsi="Times New Roman" w:cs="Times New Roman"/>
          <w:sz w:val="28"/>
          <w:szCs w:val="28"/>
        </w:rPr>
        <w:t>詳表</w:t>
      </w:r>
      <w:r w:rsidRPr="00C9125E">
        <w:rPr>
          <w:rFonts w:ascii="Times New Roman" w:eastAsia="標楷體" w:hAnsi="Times New Roman" w:cs="Times New Roman"/>
          <w:sz w:val="28"/>
          <w:szCs w:val="28"/>
        </w:rPr>
        <w:t>1</w:t>
      </w:r>
      <w:r w:rsidR="00C9125E" w:rsidRPr="00C9125E">
        <w:rPr>
          <w:rFonts w:ascii="Times New Roman" w:eastAsia="標楷體" w:hAnsi="Times New Roman" w:cs="Times New Roman"/>
          <w:sz w:val="28"/>
          <w:szCs w:val="28"/>
        </w:rPr>
        <w:t>-2</w:t>
      </w:r>
      <w:r w:rsidR="00C9125E" w:rsidRPr="00C9125E">
        <w:rPr>
          <w:rFonts w:ascii="Times New Roman" w:eastAsia="標楷體" w:hAnsi="Times New Roman" w:cs="Times New Roman"/>
          <w:sz w:val="28"/>
          <w:szCs w:val="28"/>
        </w:rPr>
        <w:t>）</w:t>
      </w:r>
      <w:r w:rsidRPr="00C9125E">
        <w:rPr>
          <w:rFonts w:ascii="Times New Roman" w:eastAsia="標楷體" w:hAnsi="Times New Roman" w:cs="Times New Roman"/>
          <w:sz w:val="28"/>
          <w:szCs w:val="28"/>
        </w:rPr>
        <w:t>。其中，美中貿易戰、全球貿易走疲、中國大陸金融風險等是影響其經濟表現的主要關鍵因素。</w:t>
      </w:r>
    </w:p>
    <w:p w:rsidR="0008290D" w:rsidRPr="00D23362" w:rsidRDefault="0008290D" w:rsidP="00644C52">
      <w:pPr>
        <w:spacing w:beforeLines="50" w:before="180" w:after="50" w:line="520" w:lineRule="exact"/>
        <w:ind w:left="482" w:rightChars="-24" w:right="-58"/>
        <w:jc w:val="center"/>
        <w:rPr>
          <w:rFonts w:ascii="Times New Roman" w:eastAsia="標楷體" w:hAnsi="Times New Roman" w:cs="Times New Roman"/>
          <w:b/>
          <w:color w:val="000000" w:themeColor="text1"/>
          <w:sz w:val="28"/>
          <w:szCs w:val="28"/>
        </w:rPr>
      </w:pPr>
      <w:r w:rsidRPr="00D23362">
        <w:rPr>
          <w:rFonts w:ascii="Times New Roman" w:eastAsia="標楷體" w:hAnsi="Times New Roman" w:cs="Times New Roman"/>
          <w:color w:val="000000" w:themeColor="text1"/>
          <w:sz w:val="28"/>
          <w:szCs w:val="28"/>
        </w:rPr>
        <w:t xml:space="preserve">  </w:t>
      </w:r>
      <w:r w:rsidRPr="00D23362">
        <w:rPr>
          <w:rFonts w:ascii="Times New Roman" w:eastAsia="標楷體" w:hAnsi="Times New Roman" w:cs="Times New Roman" w:hint="eastAsia"/>
          <w:b/>
          <w:color w:val="000000" w:themeColor="text1"/>
          <w:sz w:val="28"/>
          <w:szCs w:val="28"/>
        </w:rPr>
        <w:t>表</w:t>
      </w:r>
      <w:r>
        <w:rPr>
          <w:rFonts w:ascii="Times New Roman" w:eastAsia="標楷體" w:hAnsi="Times New Roman" w:cs="Times New Roman" w:hint="eastAsia"/>
          <w:b/>
          <w:color w:val="000000" w:themeColor="text1"/>
          <w:sz w:val="28"/>
          <w:szCs w:val="28"/>
        </w:rPr>
        <w:t>1</w:t>
      </w:r>
      <w:r w:rsidR="007F005F">
        <w:rPr>
          <w:rFonts w:ascii="Times New Roman" w:eastAsia="標楷體" w:hAnsi="Times New Roman" w:cs="Times New Roman" w:hint="eastAsia"/>
          <w:b/>
          <w:color w:val="000000" w:themeColor="text1"/>
          <w:sz w:val="28"/>
          <w:szCs w:val="28"/>
        </w:rPr>
        <w:t>-2</w:t>
      </w:r>
      <w:r w:rsidRPr="00D23362">
        <w:rPr>
          <w:rFonts w:ascii="Times New Roman" w:eastAsia="標楷體" w:hAnsi="Times New Roman" w:cs="Times New Roman"/>
          <w:b/>
          <w:color w:val="000000" w:themeColor="text1"/>
          <w:sz w:val="28"/>
          <w:szCs w:val="28"/>
        </w:rPr>
        <w:t xml:space="preserve"> </w:t>
      </w:r>
      <w:r w:rsidRPr="00D23362">
        <w:rPr>
          <w:rFonts w:ascii="Times New Roman" w:eastAsia="標楷體" w:hAnsi="Times New Roman" w:cs="Times New Roman" w:hint="eastAsia"/>
          <w:b/>
          <w:color w:val="000000" w:themeColor="text1"/>
          <w:sz w:val="28"/>
          <w:szCs w:val="28"/>
        </w:rPr>
        <w:t>主要預測機構對中國大陸之經濟成長率預估</w:t>
      </w:r>
    </w:p>
    <w:p w:rsidR="0008290D" w:rsidRPr="00D23362" w:rsidRDefault="0008290D" w:rsidP="00644C52">
      <w:pPr>
        <w:spacing w:after="50" w:line="280" w:lineRule="exact"/>
        <w:ind w:left="482" w:rightChars="-24" w:right="-58"/>
        <w:jc w:val="right"/>
        <w:rPr>
          <w:rFonts w:ascii="Times New Roman" w:eastAsia="標楷體" w:hAnsi="Times New Roman" w:cs="Times New Roman"/>
          <w:color w:val="000000" w:themeColor="text1"/>
          <w:sz w:val="20"/>
          <w:szCs w:val="20"/>
        </w:rPr>
      </w:pPr>
      <w:r w:rsidRPr="00D23362">
        <w:rPr>
          <w:rFonts w:ascii="Times New Roman" w:eastAsia="標楷體" w:hAnsi="Times New Roman" w:cs="Times New Roman" w:hint="eastAsia"/>
          <w:color w:val="000000" w:themeColor="text1"/>
          <w:sz w:val="20"/>
          <w:szCs w:val="20"/>
        </w:rPr>
        <w:t>單位：</w:t>
      </w:r>
      <w:r w:rsidRPr="00D23362">
        <w:rPr>
          <w:rFonts w:ascii="Times New Roman" w:eastAsia="標楷體" w:hAnsi="Times New Roman" w:cs="Times New Roman"/>
          <w:color w:val="000000" w:themeColor="text1"/>
          <w:sz w:val="20"/>
          <w:szCs w:val="20"/>
        </w:rPr>
        <w:t>%</w:t>
      </w:r>
    </w:p>
    <w:tbl>
      <w:tblPr>
        <w:tblStyle w:val="13"/>
        <w:tblW w:w="0" w:type="auto"/>
        <w:tblBorders>
          <w:left w:val="none" w:sz="0" w:space="0" w:color="auto"/>
          <w:right w:val="none" w:sz="0" w:space="0" w:color="auto"/>
        </w:tblBorders>
        <w:tblLook w:val="04A0" w:firstRow="1" w:lastRow="0" w:firstColumn="1" w:lastColumn="0" w:noHBand="0" w:noVBand="1"/>
      </w:tblPr>
      <w:tblGrid>
        <w:gridCol w:w="2802"/>
        <w:gridCol w:w="3260"/>
        <w:gridCol w:w="2300"/>
      </w:tblGrid>
      <w:tr w:rsidR="00737E41" w:rsidRPr="00C9125E" w:rsidTr="00644C52">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預測機構</w:t>
            </w:r>
            <w:r w:rsidRPr="00C9125E">
              <w:rPr>
                <w:rFonts w:ascii="Times New Roman" w:eastAsia="標楷體" w:hAnsi="Times New Roman" w:cs="Times New Roman"/>
                <w:color w:val="000000" w:themeColor="text1"/>
                <w:szCs w:val="28"/>
              </w:rPr>
              <w:t>(</w:t>
            </w:r>
            <w:r w:rsidRPr="00C9125E">
              <w:rPr>
                <w:rFonts w:ascii="Times New Roman" w:eastAsia="標楷體" w:hAnsi="Times New Roman" w:cs="Times New Roman"/>
                <w:color w:val="000000" w:themeColor="text1"/>
                <w:szCs w:val="28"/>
              </w:rPr>
              <w:t>發布時間</w:t>
            </w:r>
            <w:r w:rsidRPr="00C9125E">
              <w:rPr>
                <w:rFonts w:ascii="Times New Roman" w:eastAsia="標楷體" w:hAnsi="Times New Roman" w:cs="Times New Roman"/>
                <w:color w:val="000000" w:themeColor="text1"/>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737E41" w:rsidRPr="00C9125E" w:rsidRDefault="00737E41" w:rsidP="00737E41">
            <w:pPr>
              <w:spacing w:line="0" w:lineRule="atLeast"/>
              <w:ind w:rightChars="-24" w:right="-58"/>
              <w:jc w:val="center"/>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2018</w:t>
            </w:r>
            <w:r w:rsidRPr="00C9125E">
              <w:rPr>
                <w:rFonts w:ascii="Times New Roman" w:eastAsia="標楷體" w:hAnsi="Times New Roman" w:cs="Times New Roman"/>
                <w:color w:val="000000" w:themeColor="text1"/>
                <w:szCs w:val="28"/>
              </w:rPr>
              <w:t>年</w:t>
            </w:r>
          </w:p>
        </w:tc>
        <w:tc>
          <w:tcPr>
            <w:tcW w:w="2300" w:type="dxa"/>
            <w:tcBorders>
              <w:top w:val="single" w:sz="4" w:space="0" w:color="auto"/>
              <w:left w:val="single" w:sz="4" w:space="0" w:color="auto"/>
              <w:bottom w:val="single" w:sz="4" w:space="0" w:color="auto"/>
              <w:right w:val="nil"/>
            </w:tcBorders>
            <w:hideMark/>
          </w:tcPr>
          <w:p w:rsidR="00737E41" w:rsidRPr="00C9125E" w:rsidRDefault="00737E41" w:rsidP="00737E41">
            <w:pPr>
              <w:spacing w:line="0" w:lineRule="atLeast"/>
              <w:ind w:rightChars="-24" w:right="-58"/>
              <w:jc w:val="center"/>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2019</w:t>
            </w:r>
            <w:r w:rsidRPr="00C9125E">
              <w:rPr>
                <w:rFonts w:ascii="Times New Roman" w:eastAsia="標楷體" w:hAnsi="Times New Roman" w:cs="Times New Roman"/>
                <w:color w:val="000000" w:themeColor="text1"/>
                <w:szCs w:val="28"/>
              </w:rPr>
              <w:t>年</w:t>
            </w:r>
          </w:p>
        </w:tc>
      </w:tr>
      <w:tr w:rsidR="00737E41" w:rsidRPr="00C9125E" w:rsidTr="00644C52">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世界銀行</w:t>
            </w:r>
            <w:r w:rsidRPr="00C9125E">
              <w:rPr>
                <w:rFonts w:ascii="Times New Roman" w:eastAsia="標楷體" w:hAnsi="Times New Roman" w:cs="Times New Roman"/>
                <w:color w:val="000000" w:themeColor="text1"/>
                <w:szCs w:val="28"/>
              </w:rPr>
              <w:t>(2019.1.8)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6.5(6.5)</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6.2(6.3)</w:t>
            </w:r>
          </w:p>
        </w:tc>
      </w:tr>
      <w:tr w:rsidR="00737E41" w:rsidRPr="00C9125E" w:rsidTr="00644C52">
        <w:tc>
          <w:tcPr>
            <w:tcW w:w="2802" w:type="dxa"/>
            <w:tcBorders>
              <w:top w:val="single" w:sz="4" w:space="0" w:color="auto"/>
              <w:left w:val="nil"/>
              <w:bottom w:val="single" w:sz="4" w:space="0" w:color="auto"/>
              <w:right w:val="single" w:sz="4" w:space="0" w:color="auto"/>
            </w:tcBorders>
            <w:vAlign w:val="center"/>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 xml:space="preserve">IHS </w:t>
            </w:r>
            <w:proofErr w:type="spellStart"/>
            <w:r w:rsidRPr="00C9125E">
              <w:rPr>
                <w:rFonts w:ascii="Times New Roman" w:eastAsia="標楷體" w:hAnsi="Times New Roman" w:cs="Times New Roman"/>
                <w:color w:val="000000" w:themeColor="text1"/>
                <w:szCs w:val="28"/>
              </w:rPr>
              <w:t>Markit</w:t>
            </w:r>
            <w:proofErr w:type="spellEnd"/>
            <w:r w:rsidRPr="00C9125E">
              <w:rPr>
                <w:rFonts w:ascii="Times New Roman" w:eastAsia="標楷體" w:hAnsi="Times New Roman" w:cs="Times New Roman"/>
                <w:color w:val="000000" w:themeColor="text1"/>
                <w:szCs w:val="28"/>
              </w:rPr>
              <w:t xml:space="preserve"> (2019.1.15)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6.6(6.6)</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6.3(6.3)</w:t>
            </w:r>
          </w:p>
        </w:tc>
      </w:tr>
      <w:tr w:rsidR="00737E41" w:rsidRPr="00C9125E" w:rsidTr="00644C52">
        <w:tc>
          <w:tcPr>
            <w:tcW w:w="2802" w:type="dxa"/>
            <w:tcBorders>
              <w:top w:val="single" w:sz="4" w:space="0" w:color="auto"/>
              <w:left w:val="nil"/>
              <w:bottom w:val="single" w:sz="4" w:space="0" w:color="auto"/>
              <w:right w:val="single" w:sz="4" w:space="0" w:color="auto"/>
            </w:tcBorders>
            <w:vAlign w:val="center"/>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OECD (2018.11.21)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6.6(6.7)</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6.3(6.4)</w:t>
            </w:r>
          </w:p>
        </w:tc>
      </w:tr>
      <w:tr w:rsidR="00737E41" w:rsidRPr="00C9125E" w:rsidTr="00644C52">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EIU(2018.11.15)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6.6(6.6)</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6.2(6.2)</w:t>
            </w:r>
          </w:p>
        </w:tc>
      </w:tr>
      <w:tr w:rsidR="00737E41" w:rsidRPr="00C9125E" w:rsidTr="00644C52">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IMF(2019.1.21)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6.6(6.6)</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6.2(6.2)</w:t>
            </w:r>
          </w:p>
        </w:tc>
      </w:tr>
      <w:tr w:rsidR="00737E41" w:rsidRPr="00C9125E" w:rsidTr="00644C52">
        <w:tc>
          <w:tcPr>
            <w:tcW w:w="2802" w:type="dxa"/>
            <w:tcBorders>
              <w:top w:val="single" w:sz="4" w:space="0" w:color="auto"/>
              <w:left w:val="nil"/>
              <w:bottom w:val="dashed" w:sz="4" w:space="0" w:color="auto"/>
              <w:right w:val="single" w:sz="4" w:space="0" w:color="auto"/>
            </w:tcBorders>
            <w:vAlign w:val="center"/>
            <w:hideMark/>
          </w:tcPr>
          <w:p w:rsidR="00737E41" w:rsidRPr="00C9125E" w:rsidRDefault="00737E41" w:rsidP="00737E41">
            <w:pPr>
              <w:spacing w:line="0" w:lineRule="atLeast"/>
              <w:rPr>
                <w:rFonts w:ascii="Times New Roman" w:eastAsia="標楷體" w:hAnsi="Times New Roman" w:cs="Times New Roman"/>
                <w:color w:val="000000" w:themeColor="text1"/>
              </w:rPr>
            </w:pPr>
            <w:r w:rsidRPr="00C9125E">
              <w:rPr>
                <w:rFonts w:ascii="Times New Roman" w:eastAsia="標楷體" w:hAnsi="Times New Roman" w:cs="Times New Roman"/>
                <w:color w:val="000000" w:themeColor="text1"/>
              </w:rPr>
              <w:t>ADB (2018.09.26)</w:t>
            </w:r>
          </w:p>
        </w:tc>
        <w:tc>
          <w:tcPr>
            <w:tcW w:w="3260" w:type="dxa"/>
            <w:tcBorders>
              <w:top w:val="single" w:sz="4" w:space="0" w:color="auto"/>
              <w:left w:val="single" w:sz="4" w:space="0" w:color="auto"/>
              <w:bottom w:val="dashed"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6.6(6.6)</w:t>
            </w:r>
          </w:p>
        </w:tc>
        <w:tc>
          <w:tcPr>
            <w:tcW w:w="2300" w:type="dxa"/>
            <w:tcBorders>
              <w:top w:val="single" w:sz="4" w:space="0" w:color="auto"/>
              <w:left w:val="single" w:sz="4" w:space="0" w:color="auto"/>
              <w:bottom w:val="dashed"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6.3(6.4)</w:t>
            </w:r>
          </w:p>
        </w:tc>
      </w:tr>
      <w:tr w:rsidR="00737E41" w:rsidRPr="00C9125E" w:rsidTr="00644C52">
        <w:tc>
          <w:tcPr>
            <w:tcW w:w="2802" w:type="dxa"/>
            <w:tcBorders>
              <w:top w:val="dashed"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標準普爾</w:t>
            </w:r>
            <w:r w:rsidRPr="00C9125E">
              <w:rPr>
                <w:rFonts w:ascii="Times New Roman" w:eastAsia="標楷體" w:hAnsi="Times New Roman" w:cs="Times New Roman"/>
                <w:color w:val="000000" w:themeColor="text1"/>
                <w:szCs w:val="28"/>
              </w:rPr>
              <w:t>(2018.12.11)</w:t>
            </w:r>
          </w:p>
        </w:tc>
        <w:tc>
          <w:tcPr>
            <w:tcW w:w="3260" w:type="dxa"/>
            <w:tcBorders>
              <w:top w:val="dashed"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6.5</w:t>
            </w:r>
          </w:p>
        </w:tc>
        <w:tc>
          <w:tcPr>
            <w:tcW w:w="2300" w:type="dxa"/>
            <w:tcBorders>
              <w:top w:val="dashed"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6.2</w:t>
            </w:r>
          </w:p>
        </w:tc>
      </w:tr>
      <w:tr w:rsidR="00737E41" w:rsidRPr="00C9125E" w:rsidTr="00644C52">
        <w:trPr>
          <w:trHeight w:val="136"/>
        </w:trPr>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proofErr w:type="gramStart"/>
            <w:r w:rsidRPr="00C9125E">
              <w:rPr>
                <w:rFonts w:ascii="Times New Roman" w:eastAsia="標楷體" w:hAnsi="Times New Roman" w:cs="Times New Roman"/>
                <w:color w:val="000000" w:themeColor="text1"/>
                <w:szCs w:val="28"/>
              </w:rPr>
              <w:t>惠譽</w:t>
            </w:r>
            <w:proofErr w:type="gramEnd"/>
            <w:r w:rsidRPr="00C9125E">
              <w:rPr>
                <w:rFonts w:ascii="Times New Roman" w:eastAsia="標楷體" w:hAnsi="Times New Roman" w:cs="Times New Roman"/>
                <w:color w:val="000000" w:themeColor="text1"/>
                <w:szCs w:val="28"/>
              </w:rPr>
              <w:t>(2018.12.05)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6.1</w:t>
            </w:r>
          </w:p>
        </w:tc>
      </w:tr>
      <w:tr w:rsidR="00737E41" w:rsidRPr="00C9125E" w:rsidTr="00644C52">
        <w:tc>
          <w:tcPr>
            <w:tcW w:w="2802" w:type="dxa"/>
            <w:tcBorders>
              <w:top w:val="single" w:sz="4" w:space="0" w:color="auto"/>
              <w:left w:val="nil"/>
              <w:bottom w:val="single" w:sz="4" w:space="0" w:color="auto"/>
              <w:right w:val="single" w:sz="4" w:space="0" w:color="auto"/>
            </w:tcBorders>
            <w:hideMark/>
          </w:tcPr>
          <w:p w:rsidR="00737E41" w:rsidRPr="00C9125E" w:rsidRDefault="00737E41" w:rsidP="00737E41">
            <w:pPr>
              <w:spacing w:line="0" w:lineRule="atLeast"/>
              <w:ind w:rightChars="-24" w:right="-58"/>
              <w:rPr>
                <w:rFonts w:ascii="Times New Roman" w:eastAsia="標楷體" w:hAnsi="Times New Roman" w:cs="Times New Roman"/>
                <w:color w:val="000000" w:themeColor="text1"/>
                <w:szCs w:val="28"/>
              </w:rPr>
            </w:pPr>
            <w:r w:rsidRPr="00C9125E">
              <w:rPr>
                <w:rFonts w:ascii="Times New Roman" w:eastAsia="標楷體" w:hAnsi="Times New Roman" w:cs="Times New Roman"/>
                <w:color w:val="000000" w:themeColor="text1"/>
                <w:szCs w:val="28"/>
              </w:rPr>
              <w:t>穆迪</w:t>
            </w:r>
            <w:r w:rsidRPr="00C9125E">
              <w:rPr>
                <w:rFonts w:ascii="Times New Roman" w:eastAsia="標楷體" w:hAnsi="Times New Roman" w:cs="Times New Roman"/>
                <w:color w:val="000000" w:themeColor="text1"/>
                <w:szCs w:val="28"/>
              </w:rPr>
              <w:t>(2018.12.04)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6.6</w:t>
            </w:r>
          </w:p>
        </w:tc>
        <w:tc>
          <w:tcPr>
            <w:tcW w:w="2300" w:type="dxa"/>
            <w:tcBorders>
              <w:top w:val="single" w:sz="4" w:space="0" w:color="auto"/>
              <w:left w:val="single" w:sz="4" w:space="0" w:color="auto"/>
              <w:bottom w:val="single" w:sz="4" w:space="0" w:color="auto"/>
              <w:right w:val="nil"/>
            </w:tcBorders>
            <w:vAlign w:val="center"/>
            <w:hideMark/>
          </w:tcPr>
          <w:p w:rsidR="00737E41" w:rsidRPr="00C9125E" w:rsidRDefault="00737E41" w:rsidP="00737E41">
            <w:pPr>
              <w:spacing w:line="0" w:lineRule="atLeast"/>
              <w:jc w:val="center"/>
              <w:rPr>
                <w:rFonts w:ascii="Times New Roman" w:eastAsia="標楷體" w:hAnsi="Times New Roman" w:cs="Times New Roman"/>
              </w:rPr>
            </w:pPr>
            <w:r w:rsidRPr="00C9125E">
              <w:rPr>
                <w:rFonts w:ascii="Times New Roman" w:eastAsia="標楷體" w:hAnsi="Times New Roman" w:cs="Times New Roman"/>
              </w:rPr>
              <w:t>6.0</w:t>
            </w:r>
          </w:p>
        </w:tc>
      </w:tr>
    </w:tbl>
    <w:p w:rsidR="0008290D" w:rsidRDefault="0008290D" w:rsidP="00644C52">
      <w:pPr>
        <w:spacing w:line="240" w:lineRule="exact"/>
        <w:ind w:left="389" w:rightChars="-24" w:right="-58" w:hangingChars="177" w:hanging="389"/>
        <w:rPr>
          <w:rFonts w:ascii="Times New Roman" w:eastAsia="標楷體" w:hAnsi="Times New Roman" w:cs="Times New Roman"/>
          <w:color w:val="000000" w:themeColor="text1"/>
          <w:sz w:val="22"/>
        </w:rPr>
      </w:pPr>
      <w:proofErr w:type="gramStart"/>
      <w:r w:rsidRPr="00D23362">
        <w:rPr>
          <w:rFonts w:ascii="Times New Roman" w:eastAsia="標楷體" w:hAnsi="Times New Roman" w:cs="Times New Roman" w:hint="eastAsia"/>
          <w:color w:val="000000" w:themeColor="text1"/>
          <w:sz w:val="22"/>
        </w:rPr>
        <w:t>註</w:t>
      </w:r>
      <w:proofErr w:type="gramEnd"/>
      <w:r w:rsidRPr="00D23362">
        <w:rPr>
          <w:rFonts w:ascii="Times New Roman" w:eastAsia="標楷體" w:hAnsi="Times New Roman" w:cs="Times New Roman" w:hint="eastAsia"/>
          <w:color w:val="000000" w:themeColor="text1"/>
          <w:sz w:val="22"/>
        </w:rPr>
        <w:t>：括號內為上次預測數據。</w:t>
      </w:r>
    </w:p>
    <w:p w:rsidR="00C9125E" w:rsidRPr="00C9125E" w:rsidRDefault="0008290D" w:rsidP="00C9125E">
      <w:pPr>
        <w:spacing w:line="240" w:lineRule="exact"/>
        <w:ind w:left="389" w:rightChars="-24" w:right="-58" w:hangingChars="177" w:hanging="389"/>
        <w:rPr>
          <w:rFonts w:ascii="Times New Roman" w:eastAsia="標楷體" w:hAnsi="Times New Roman" w:cs="Times New Roman"/>
          <w:color w:val="000000" w:themeColor="text1"/>
          <w:sz w:val="22"/>
        </w:rPr>
      </w:pPr>
      <w:r w:rsidRPr="00D23362">
        <w:rPr>
          <w:rFonts w:ascii="Times New Roman" w:eastAsia="標楷體" w:hAnsi="Times New Roman" w:cs="Times New Roman" w:hint="eastAsia"/>
          <w:color w:val="000000" w:themeColor="text1"/>
          <w:sz w:val="22"/>
        </w:rPr>
        <w:t>資料來源：各機構。</w:t>
      </w:r>
    </w:p>
    <w:p w:rsidR="00C9125E" w:rsidRDefault="00C9125E">
      <w:pPr>
        <w:widowControl/>
        <w:rPr>
          <w:rFonts w:ascii="Times New Roman" w:eastAsia="標楷體" w:hAnsi="Times New Roman" w:cs="Times New Roman"/>
          <w:b/>
          <w:color w:val="000000" w:themeColor="text1"/>
          <w:sz w:val="28"/>
          <w:szCs w:val="28"/>
        </w:rPr>
      </w:pPr>
      <w:r>
        <w:rPr>
          <w:rFonts w:eastAsia="標楷體"/>
          <w:b/>
          <w:color w:val="000000" w:themeColor="text1"/>
          <w:sz w:val="28"/>
          <w:szCs w:val="28"/>
        </w:rPr>
        <w:br w:type="page"/>
      </w:r>
    </w:p>
    <w:p w:rsidR="00737E41" w:rsidRPr="00737E41" w:rsidRDefault="0008290D" w:rsidP="002A4962">
      <w:pPr>
        <w:pStyle w:val="a3"/>
        <w:numPr>
          <w:ilvl w:val="0"/>
          <w:numId w:val="8"/>
        </w:numPr>
        <w:spacing w:beforeLines="50" w:before="180" w:after="120" w:line="520" w:lineRule="exact"/>
        <w:ind w:leftChars="0" w:rightChars="-24" w:right="-58"/>
        <w:jc w:val="both"/>
        <w:rPr>
          <w:rFonts w:eastAsia="標楷體"/>
          <w:b/>
          <w:color w:val="000000" w:themeColor="text1"/>
          <w:sz w:val="28"/>
          <w:szCs w:val="28"/>
        </w:rPr>
      </w:pPr>
      <w:r w:rsidRPr="00737E41">
        <w:rPr>
          <w:rFonts w:eastAsia="標楷體" w:hint="eastAsia"/>
          <w:b/>
          <w:color w:val="000000" w:themeColor="text1"/>
          <w:sz w:val="28"/>
          <w:szCs w:val="28"/>
        </w:rPr>
        <w:lastRenderedPageBreak/>
        <w:t>結語</w:t>
      </w:r>
    </w:p>
    <w:p w:rsidR="0008290D" w:rsidRPr="00C9125E" w:rsidRDefault="0008290D" w:rsidP="00C9125E">
      <w:pPr>
        <w:spacing w:after="50" w:line="520" w:lineRule="exact"/>
        <w:ind w:leftChars="100" w:left="240" w:rightChars="-24" w:right="-58" w:firstLine="480"/>
        <w:jc w:val="both"/>
        <w:rPr>
          <w:rFonts w:ascii="Times New Roman" w:eastAsia="標楷體" w:hAnsi="Times New Roman" w:cs="Times New Roman"/>
          <w:sz w:val="28"/>
          <w:szCs w:val="28"/>
        </w:rPr>
      </w:pPr>
      <w:r w:rsidRPr="00C9125E">
        <w:rPr>
          <w:rFonts w:ascii="Times New Roman" w:eastAsia="標楷體" w:hAnsi="Times New Roman" w:cs="Times New Roman"/>
          <w:sz w:val="28"/>
          <w:szCs w:val="28"/>
        </w:rPr>
        <w:t>2019</w:t>
      </w:r>
      <w:r w:rsidRPr="00C9125E">
        <w:rPr>
          <w:rFonts w:ascii="Times New Roman" w:eastAsia="標楷體" w:hAnsi="Times New Roman" w:cs="Times New Roman"/>
          <w:sz w:val="28"/>
          <w:szCs w:val="28"/>
        </w:rPr>
        <w:t>年對中國大陸來說，是高度不確定的一年。除美中貿易衝突持續延燒，全球經濟成長、貿易擴張將放緩等外部挑戰衝擊經濟成長，內部經濟成長走緩可能引發之相關效應如：失業、內需市場疲弱、金融市場波動加劇等風險。雖</w:t>
      </w:r>
      <w:r w:rsidR="00726E4E">
        <w:rPr>
          <w:rFonts w:ascii="Times New Roman" w:eastAsia="標楷體" w:hAnsi="Times New Roman" w:cs="Times New Roman" w:hint="eastAsia"/>
          <w:sz w:val="28"/>
          <w:szCs w:val="28"/>
        </w:rPr>
        <w:t>然</w:t>
      </w:r>
      <w:r w:rsidRPr="00C9125E">
        <w:rPr>
          <w:rFonts w:ascii="Times New Roman" w:eastAsia="標楷體" w:hAnsi="Times New Roman" w:cs="Times New Roman"/>
          <w:sz w:val="28"/>
          <w:szCs w:val="28"/>
        </w:rPr>
        <w:t>IMF</w:t>
      </w:r>
      <w:r w:rsidR="00726E4E">
        <w:rPr>
          <w:rFonts w:ascii="Times New Roman" w:eastAsia="標楷體" w:hAnsi="Times New Roman" w:cs="Times New Roman" w:hint="eastAsia"/>
          <w:sz w:val="28"/>
          <w:szCs w:val="28"/>
        </w:rPr>
        <w:t xml:space="preserve"> </w:t>
      </w:r>
      <w:r w:rsidR="004F319E">
        <w:rPr>
          <w:rFonts w:ascii="Times New Roman" w:eastAsia="標楷體" w:hAnsi="Times New Roman" w:cs="Times New Roman" w:hint="eastAsia"/>
          <w:sz w:val="28"/>
          <w:szCs w:val="28"/>
        </w:rPr>
        <w:t>2018</w:t>
      </w:r>
      <w:r w:rsidR="004F319E">
        <w:rPr>
          <w:rFonts w:ascii="Times New Roman" w:eastAsia="標楷體" w:hAnsi="Times New Roman" w:cs="Times New Roman" w:hint="eastAsia"/>
          <w:sz w:val="28"/>
          <w:szCs w:val="28"/>
        </w:rPr>
        <w:t>年</w:t>
      </w:r>
      <w:r w:rsidRPr="00C9125E">
        <w:rPr>
          <w:rFonts w:ascii="Times New Roman" w:eastAsia="標楷體" w:hAnsi="Times New Roman" w:cs="Times New Roman"/>
          <w:sz w:val="28"/>
          <w:szCs w:val="28"/>
        </w:rPr>
        <w:t xml:space="preserve"> 10</w:t>
      </w:r>
      <w:r w:rsidRPr="00C9125E">
        <w:rPr>
          <w:rFonts w:ascii="Times New Roman" w:eastAsia="標楷體" w:hAnsi="Times New Roman" w:cs="Times New Roman"/>
          <w:sz w:val="28"/>
          <w:szCs w:val="28"/>
        </w:rPr>
        <w:t>月報告指出，面對美中貿易戰的衝擊，中國大陸可透過短期政策刺激抵銷大部分影響，但考量中國大陸是新興市場中最大經濟體，</w:t>
      </w:r>
      <w:r w:rsidR="004F319E">
        <w:rPr>
          <w:rFonts w:ascii="Times New Roman" w:eastAsia="標楷體" w:hAnsi="Times New Roman" w:cs="Times New Roman" w:hint="eastAsia"/>
          <w:sz w:val="28"/>
          <w:szCs w:val="28"/>
        </w:rPr>
        <w:t>根據主計總處預估，</w:t>
      </w:r>
      <w:r w:rsidRPr="00C9125E">
        <w:rPr>
          <w:rFonts w:ascii="Times New Roman" w:eastAsia="標楷體" w:hAnsi="Times New Roman" w:cs="Times New Roman"/>
          <w:sz w:val="28"/>
          <w:szCs w:val="28"/>
        </w:rPr>
        <w:t>中國大陸經濟成長每降低</w:t>
      </w:r>
      <w:r w:rsidRPr="00C9125E">
        <w:rPr>
          <w:rFonts w:ascii="Times New Roman" w:eastAsia="標楷體" w:hAnsi="Times New Roman" w:cs="Times New Roman"/>
          <w:sz w:val="28"/>
          <w:szCs w:val="28"/>
        </w:rPr>
        <w:t>1</w:t>
      </w:r>
      <w:r w:rsidRPr="00C9125E">
        <w:rPr>
          <w:rFonts w:ascii="Times New Roman" w:eastAsia="標楷體" w:hAnsi="Times New Roman" w:cs="Times New Roman"/>
          <w:sz w:val="28"/>
          <w:szCs w:val="28"/>
        </w:rPr>
        <w:t>個百分點，臺灣經濟成長將下降</w:t>
      </w:r>
      <w:r w:rsidRPr="00C9125E">
        <w:rPr>
          <w:rFonts w:ascii="Times New Roman" w:eastAsia="標楷體" w:hAnsi="Times New Roman" w:cs="Times New Roman"/>
          <w:sz w:val="28"/>
          <w:szCs w:val="28"/>
        </w:rPr>
        <w:t>0.29</w:t>
      </w:r>
      <w:r w:rsidRPr="00C9125E">
        <w:rPr>
          <w:rFonts w:ascii="Times New Roman" w:eastAsia="標楷體" w:hAnsi="Times New Roman" w:cs="Times New Roman"/>
          <w:sz w:val="28"/>
          <w:szCs w:val="28"/>
        </w:rPr>
        <w:t>個百分點，本處將持續密切關注中國大陸近期經貿政策措施及推動成效，以及針對美中貿易摩擦的可能因應作為。</w:t>
      </w:r>
    </w:p>
    <w:p w:rsidR="0008290D" w:rsidRDefault="0008290D">
      <w:pPr>
        <w:widowControl/>
        <w:rPr>
          <w:rFonts w:ascii="標楷體" w:eastAsia="標楷體" w:hAnsi="標楷體" w:cs="Times New Roman"/>
          <w:b/>
          <w:bCs/>
          <w:color w:val="000000" w:themeColor="text1"/>
          <w:kern w:val="0"/>
          <w:sz w:val="32"/>
          <w:szCs w:val="32"/>
        </w:rPr>
      </w:pPr>
      <w:r>
        <w:rPr>
          <w:rFonts w:ascii="標楷體" w:eastAsia="標楷體" w:hAnsi="標楷體" w:cs="Times New Roman"/>
          <w:b/>
          <w:bCs/>
          <w:color w:val="000000" w:themeColor="text1"/>
          <w:kern w:val="0"/>
          <w:sz w:val="32"/>
          <w:szCs w:val="32"/>
        </w:rPr>
        <w:br w:type="page"/>
      </w:r>
    </w:p>
    <w:p w:rsidR="0008290D" w:rsidRPr="00817F73" w:rsidRDefault="009E4ECA" w:rsidP="00644C52">
      <w:pPr>
        <w:widowControl/>
        <w:jc w:val="center"/>
        <w:rPr>
          <w:rFonts w:ascii="標楷體" w:eastAsia="標楷體" w:hAnsi="標楷體" w:cs="Times New Roman"/>
          <w:b/>
          <w:bCs/>
          <w:color w:val="000000" w:themeColor="text1"/>
          <w:kern w:val="0"/>
          <w:sz w:val="28"/>
          <w:szCs w:val="28"/>
        </w:rPr>
      </w:pPr>
      <w:r>
        <w:rPr>
          <w:rFonts w:ascii="標楷體" w:eastAsia="標楷體" w:hAnsi="標楷體" w:cs="Times New Roman" w:hint="eastAsia"/>
          <w:b/>
          <w:bCs/>
          <w:color w:val="000000" w:themeColor="text1"/>
          <w:kern w:val="0"/>
          <w:sz w:val="28"/>
          <w:szCs w:val="28"/>
        </w:rPr>
        <w:lastRenderedPageBreak/>
        <w:t>表</w:t>
      </w:r>
      <w:r w:rsidR="007F005F">
        <w:rPr>
          <w:rFonts w:ascii="標楷體" w:eastAsia="標楷體" w:hAnsi="標楷體" w:cs="Times New Roman" w:hint="eastAsia"/>
          <w:b/>
          <w:bCs/>
          <w:color w:val="000000" w:themeColor="text1"/>
          <w:kern w:val="0"/>
          <w:sz w:val="28"/>
          <w:szCs w:val="28"/>
        </w:rPr>
        <w:t>1-3</w:t>
      </w:r>
      <w:r>
        <w:rPr>
          <w:rFonts w:ascii="標楷體" w:eastAsia="標楷體" w:hAnsi="標楷體" w:cs="Times New Roman" w:hint="eastAsia"/>
          <w:b/>
          <w:bCs/>
          <w:color w:val="000000" w:themeColor="text1"/>
          <w:kern w:val="0"/>
          <w:sz w:val="28"/>
          <w:szCs w:val="28"/>
        </w:rPr>
        <w:t xml:space="preserve"> </w:t>
      </w:r>
      <w:r w:rsidR="0008290D" w:rsidRPr="00817F73">
        <w:rPr>
          <w:rFonts w:ascii="標楷體" w:eastAsia="標楷體" w:hAnsi="標楷體" w:cs="Times New Roman" w:hint="eastAsia"/>
          <w:b/>
          <w:bCs/>
          <w:color w:val="000000" w:themeColor="text1"/>
          <w:kern w:val="0"/>
          <w:sz w:val="28"/>
          <w:szCs w:val="28"/>
        </w:rPr>
        <w:t>201</w:t>
      </w:r>
      <w:r w:rsidR="0008290D">
        <w:rPr>
          <w:rFonts w:ascii="標楷體" w:eastAsia="標楷體" w:hAnsi="標楷體" w:cs="Times New Roman" w:hint="eastAsia"/>
          <w:b/>
          <w:bCs/>
          <w:color w:val="000000" w:themeColor="text1"/>
          <w:kern w:val="0"/>
          <w:sz w:val="28"/>
          <w:szCs w:val="28"/>
        </w:rPr>
        <w:t>9</w:t>
      </w:r>
      <w:r w:rsidR="0008290D" w:rsidRPr="00817F73">
        <w:rPr>
          <w:rFonts w:ascii="標楷體" w:eastAsia="標楷體" w:hAnsi="標楷體" w:cs="Times New Roman" w:hint="eastAsia"/>
          <w:b/>
          <w:bCs/>
          <w:color w:val="000000" w:themeColor="text1"/>
          <w:kern w:val="0"/>
          <w:sz w:val="28"/>
          <w:szCs w:val="28"/>
        </w:rPr>
        <w:t>年中國大陸</w:t>
      </w:r>
      <w:r w:rsidR="0008290D">
        <w:rPr>
          <w:rFonts w:ascii="標楷體" w:eastAsia="標楷體" w:hAnsi="標楷體" w:cs="Times New Roman" w:hint="eastAsia"/>
          <w:b/>
          <w:bCs/>
          <w:color w:val="000000" w:themeColor="text1"/>
          <w:kern w:val="0"/>
          <w:sz w:val="28"/>
          <w:szCs w:val="28"/>
        </w:rPr>
        <w:t>經濟工作</w:t>
      </w:r>
      <w:r w:rsidR="0008290D" w:rsidRPr="00817F73">
        <w:rPr>
          <w:rFonts w:ascii="標楷體" w:eastAsia="標楷體" w:hAnsi="標楷體" w:cs="Times New Roman" w:hint="eastAsia"/>
          <w:b/>
          <w:bCs/>
          <w:color w:val="000000" w:themeColor="text1"/>
          <w:kern w:val="0"/>
          <w:sz w:val="28"/>
          <w:szCs w:val="28"/>
        </w:rPr>
        <w:t>重點</w:t>
      </w:r>
    </w:p>
    <w:tbl>
      <w:tblPr>
        <w:tblStyle w:val="af3"/>
        <w:tblW w:w="10215" w:type="dxa"/>
        <w:jc w:val="center"/>
        <w:tblLayout w:type="fixed"/>
        <w:tblLook w:val="04A0" w:firstRow="1" w:lastRow="0" w:firstColumn="1" w:lastColumn="0" w:noHBand="0" w:noVBand="1"/>
      </w:tblPr>
      <w:tblGrid>
        <w:gridCol w:w="514"/>
        <w:gridCol w:w="2990"/>
        <w:gridCol w:w="6711"/>
      </w:tblGrid>
      <w:tr w:rsidR="0008290D" w:rsidRPr="00463C54" w:rsidTr="00644C52">
        <w:trPr>
          <w:trHeight w:val="429"/>
          <w:jc w:val="center"/>
        </w:trPr>
        <w:tc>
          <w:tcPr>
            <w:tcW w:w="514" w:type="dxa"/>
            <w:tcBorders>
              <w:left w:val="nil"/>
            </w:tcBorders>
          </w:tcPr>
          <w:p w:rsidR="0008290D" w:rsidRPr="00463C54" w:rsidRDefault="0008290D" w:rsidP="009E4ECA">
            <w:pPr>
              <w:spacing w:line="0" w:lineRule="atLeast"/>
              <w:rPr>
                <w:rFonts w:ascii="標楷體" w:eastAsia="標楷體" w:hAnsi="標楷體"/>
                <w:b/>
                <w:color w:val="000000" w:themeColor="text1"/>
                <w:szCs w:val="24"/>
              </w:rPr>
            </w:pPr>
          </w:p>
        </w:tc>
        <w:tc>
          <w:tcPr>
            <w:tcW w:w="2990" w:type="dxa"/>
            <w:vAlign w:val="center"/>
          </w:tcPr>
          <w:p w:rsidR="0008290D" w:rsidRPr="00463C54" w:rsidRDefault="0008290D" w:rsidP="009E4ECA">
            <w:pPr>
              <w:spacing w:line="0" w:lineRule="atLeast"/>
              <w:jc w:val="center"/>
              <w:rPr>
                <w:rFonts w:ascii="標楷體" w:eastAsia="標楷體" w:hAnsi="標楷體"/>
                <w:b/>
                <w:color w:val="000000" w:themeColor="text1"/>
                <w:szCs w:val="24"/>
              </w:rPr>
            </w:pPr>
            <w:r w:rsidRPr="00463C54">
              <w:rPr>
                <w:rFonts w:ascii="標楷體" w:eastAsia="標楷體" w:hAnsi="標楷體" w:hint="eastAsia"/>
                <w:b/>
                <w:color w:val="000000" w:themeColor="text1"/>
                <w:szCs w:val="24"/>
              </w:rPr>
              <w:t>項目</w:t>
            </w:r>
          </w:p>
        </w:tc>
        <w:tc>
          <w:tcPr>
            <w:tcW w:w="6711" w:type="dxa"/>
            <w:tcBorders>
              <w:righ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4"/>
              </w:rPr>
            </w:pPr>
            <w:r w:rsidRPr="00463C54">
              <w:rPr>
                <w:rFonts w:ascii="標楷體" w:eastAsia="標楷體" w:hAnsi="標楷體" w:hint="eastAsia"/>
                <w:b/>
                <w:color w:val="000000" w:themeColor="text1"/>
                <w:szCs w:val="24"/>
              </w:rPr>
              <w:t>內容</w:t>
            </w:r>
          </w:p>
        </w:tc>
      </w:tr>
      <w:tr w:rsidR="0008290D" w:rsidRPr="00463C54" w:rsidTr="009E4ECA">
        <w:trPr>
          <w:cantSplit/>
          <w:trHeight w:val="531"/>
          <w:jc w:val="center"/>
        </w:trPr>
        <w:tc>
          <w:tcPr>
            <w:tcW w:w="514" w:type="dxa"/>
            <w:tcBorders>
              <w:left w:val="nil"/>
            </w:tcBorders>
            <w:textDirection w:val="tbRlV"/>
            <w:vAlign w:val="center"/>
          </w:tcPr>
          <w:p w:rsidR="0008290D" w:rsidRPr="00463C54" w:rsidRDefault="0008290D" w:rsidP="009E4ECA">
            <w:pPr>
              <w:spacing w:line="0" w:lineRule="atLeast"/>
              <w:jc w:val="center"/>
              <w:rPr>
                <w:rFonts w:ascii="標楷體" w:eastAsia="標楷體" w:hAnsi="標楷體"/>
                <w:b/>
                <w:color w:val="000000" w:themeColor="text1"/>
                <w:szCs w:val="28"/>
              </w:rPr>
            </w:pPr>
            <w:r w:rsidRPr="00463C54">
              <w:rPr>
                <w:rFonts w:ascii="標楷體" w:eastAsia="標楷體" w:hAnsi="標楷體" w:hint="eastAsia"/>
                <w:b/>
                <w:color w:val="000000" w:themeColor="text1"/>
                <w:szCs w:val="28"/>
              </w:rPr>
              <w:t>原</w:t>
            </w:r>
            <w:r w:rsidRPr="00463C54">
              <w:rPr>
                <w:rFonts w:ascii="標楷體" w:eastAsia="標楷體" w:hAnsi="標楷體"/>
                <w:b/>
                <w:color w:val="000000" w:themeColor="text1"/>
                <w:szCs w:val="28"/>
              </w:rPr>
              <w:t xml:space="preserve"> </w:t>
            </w:r>
            <w:r w:rsidRPr="00463C54">
              <w:rPr>
                <w:rFonts w:ascii="標楷體" w:eastAsia="標楷體" w:hAnsi="標楷體" w:hint="eastAsia"/>
                <w:b/>
                <w:color w:val="000000" w:themeColor="text1"/>
                <w:szCs w:val="28"/>
              </w:rPr>
              <w:t>則</w:t>
            </w:r>
          </w:p>
        </w:tc>
        <w:tc>
          <w:tcPr>
            <w:tcW w:w="2990" w:type="dxa"/>
            <w:vAlign w:val="center"/>
          </w:tcPr>
          <w:p w:rsidR="0008290D" w:rsidRPr="00463C54" w:rsidRDefault="0008290D" w:rsidP="009E4ECA">
            <w:pPr>
              <w:spacing w:line="0" w:lineRule="atLeast"/>
              <w:jc w:val="center"/>
              <w:rPr>
                <w:rFonts w:ascii="標楷體" w:eastAsia="標楷體" w:hAnsi="標楷體"/>
                <w:color w:val="000000" w:themeColor="text1"/>
                <w:szCs w:val="24"/>
              </w:rPr>
            </w:pPr>
            <w:r w:rsidRPr="00463C54">
              <w:rPr>
                <w:rFonts w:ascii="標楷體" w:eastAsia="標楷體" w:hAnsi="標楷體" w:hint="eastAsia"/>
                <w:color w:val="000000" w:themeColor="text1"/>
                <w:szCs w:val="24"/>
              </w:rPr>
              <w:t>穩中求進</w:t>
            </w:r>
          </w:p>
        </w:tc>
        <w:tc>
          <w:tcPr>
            <w:tcW w:w="6711" w:type="dxa"/>
            <w:tcBorders>
              <w:right w:val="nil"/>
            </w:tcBorders>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hint="eastAsia"/>
                <w:color w:val="000000" w:themeColor="text1"/>
                <w:szCs w:val="24"/>
              </w:rPr>
              <w:t>在經濟下行壓力有所加大的情況下，要求</w:t>
            </w:r>
            <w:r w:rsidRPr="00463C54">
              <w:rPr>
                <w:rFonts w:ascii="標楷體" w:eastAsia="標楷體" w:hAnsi="標楷體"/>
                <w:color w:val="000000" w:themeColor="text1"/>
                <w:szCs w:val="24"/>
              </w:rPr>
              <w:t>2019</w:t>
            </w:r>
            <w:r w:rsidRPr="00463C54">
              <w:rPr>
                <w:rFonts w:ascii="標楷體" w:eastAsia="標楷體" w:hAnsi="標楷體" w:hint="eastAsia"/>
                <w:color w:val="000000" w:themeColor="text1"/>
                <w:szCs w:val="24"/>
              </w:rPr>
              <w:t>年要「保持經濟運行在合理區間」</w:t>
            </w:r>
            <w:r w:rsidR="004F319E" w:rsidRPr="004F319E">
              <w:rPr>
                <w:rFonts w:ascii="標楷體" w:eastAsia="標楷體" w:hAnsi="標楷體" w:hint="eastAsia"/>
                <w:color w:val="000000" w:themeColor="text1"/>
                <w:szCs w:val="24"/>
              </w:rPr>
              <w:t>。</w:t>
            </w:r>
          </w:p>
        </w:tc>
      </w:tr>
      <w:tr w:rsidR="0008290D" w:rsidRPr="00463C54" w:rsidTr="009E4ECA">
        <w:trPr>
          <w:cantSplit/>
          <w:trHeight w:val="938"/>
          <w:jc w:val="center"/>
        </w:trPr>
        <w:tc>
          <w:tcPr>
            <w:tcW w:w="514" w:type="dxa"/>
            <w:vMerge w:val="restart"/>
            <w:tcBorders>
              <w:left w:val="nil"/>
            </w:tcBorders>
            <w:textDirection w:val="tbRlV"/>
            <w:vAlign w:val="center"/>
          </w:tcPr>
          <w:p w:rsidR="0008290D" w:rsidRDefault="0008290D" w:rsidP="004F319E">
            <w:pPr>
              <w:spacing w:line="0" w:lineRule="atLeast"/>
              <w:jc w:val="center"/>
              <w:rPr>
                <w:rFonts w:ascii="標楷體" w:eastAsia="標楷體" w:hAnsi="標楷體"/>
                <w:b/>
                <w:color w:val="000000" w:themeColor="text1"/>
                <w:szCs w:val="28"/>
              </w:rPr>
            </w:pPr>
            <w:r>
              <w:rPr>
                <w:rFonts w:ascii="標楷體" w:eastAsia="標楷體" w:hAnsi="標楷體" w:hint="eastAsia"/>
                <w:b/>
                <w:color w:val="000000" w:themeColor="text1"/>
                <w:szCs w:val="28"/>
              </w:rPr>
              <w:t>三大攻堅戰</w:t>
            </w:r>
          </w:p>
        </w:tc>
        <w:tc>
          <w:tcPr>
            <w:tcW w:w="2990" w:type="dxa"/>
            <w:vAlign w:val="center"/>
          </w:tcPr>
          <w:p w:rsidR="0008290D" w:rsidRDefault="0008290D" w:rsidP="004F319E">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t>1.打好重點戰役</w:t>
            </w:r>
          </w:p>
        </w:tc>
        <w:tc>
          <w:tcPr>
            <w:tcW w:w="6711" w:type="dxa"/>
            <w:tcBorders>
              <w:right w:val="nil"/>
            </w:tcBorders>
            <w:vAlign w:val="center"/>
          </w:tcPr>
          <w:p w:rsidR="0008290D" w:rsidRDefault="0008290D" w:rsidP="00726E4E">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t>打好防範化解重大風險攻堅戰，要堅持</w:t>
            </w:r>
            <w:proofErr w:type="gramStart"/>
            <w:r>
              <w:rPr>
                <w:rFonts w:ascii="標楷體" w:eastAsia="標楷體" w:hAnsi="標楷體" w:hint="eastAsia"/>
                <w:color w:val="000000" w:themeColor="text1"/>
                <w:szCs w:val="24"/>
              </w:rPr>
              <w:t>結構性去</w:t>
            </w:r>
            <w:r w:rsidR="00726E4E">
              <w:rPr>
                <w:rFonts w:ascii="標楷體" w:eastAsia="標楷體" w:hAnsi="標楷體" w:hint="eastAsia"/>
                <w:color w:val="000000" w:themeColor="text1"/>
                <w:szCs w:val="24"/>
              </w:rPr>
              <w:t>槓桿</w:t>
            </w:r>
            <w:proofErr w:type="gramEnd"/>
            <w:r>
              <w:rPr>
                <w:rFonts w:ascii="標楷體" w:eastAsia="標楷體" w:hAnsi="標楷體" w:hint="eastAsia"/>
                <w:color w:val="000000" w:themeColor="text1"/>
                <w:szCs w:val="24"/>
              </w:rPr>
              <w:t>的基本思路，防範金融市場異常波動和共振，穩妥處理地方政府債務風險，做到</w:t>
            </w:r>
            <w:proofErr w:type="gramStart"/>
            <w:r>
              <w:rPr>
                <w:rFonts w:ascii="標楷體" w:eastAsia="標楷體" w:hAnsi="標楷體" w:hint="eastAsia"/>
                <w:color w:val="000000" w:themeColor="text1"/>
                <w:szCs w:val="24"/>
              </w:rPr>
              <w:t>堅定、</w:t>
            </w:r>
            <w:proofErr w:type="gramEnd"/>
            <w:r>
              <w:rPr>
                <w:rFonts w:ascii="標楷體" w:eastAsia="標楷體" w:hAnsi="標楷體" w:hint="eastAsia"/>
                <w:color w:val="000000" w:themeColor="text1"/>
                <w:szCs w:val="24"/>
              </w:rPr>
              <w:t>可控、有序、適度。</w:t>
            </w:r>
          </w:p>
        </w:tc>
      </w:tr>
      <w:tr w:rsidR="0008290D" w:rsidRPr="00463C54" w:rsidTr="00644C52">
        <w:trPr>
          <w:cantSplit/>
          <w:trHeight w:val="957"/>
          <w:jc w:val="center"/>
        </w:trPr>
        <w:tc>
          <w:tcPr>
            <w:tcW w:w="514" w:type="dxa"/>
            <w:vMerge/>
            <w:tcBorders>
              <w:left w:val="nil"/>
            </w:tcBorders>
            <w:vAlign w:val="center"/>
          </w:tcPr>
          <w:p w:rsidR="0008290D" w:rsidRPr="00C745BA" w:rsidRDefault="0008290D" w:rsidP="009E4ECA">
            <w:pPr>
              <w:spacing w:line="0" w:lineRule="atLeast"/>
            </w:pPr>
          </w:p>
        </w:tc>
        <w:tc>
          <w:tcPr>
            <w:tcW w:w="2990" w:type="dxa"/>
            <w:vAlign w:val="center"/>
          </w:tcPr>
          <w:p w:rsidR="0008290D" w:rsidRPr="00C745BA" w:rsidRDefault="0008290D" w:rsidP="009E4ECA">
            <w:pPr>
              <w:spacing w:line="0" w:lineRule="atLeast"/>
            </w:pPr>
            <w:r>
              <w:rPr>
                <w:rFonts w:ascii="標楷體" w:eastAsia="標楷體" w:hAnsi="標楷體" w:hint="eastAsia"/>
                <w:color w:val="000000" w:themeColor="text1"/>
                <w:szCs w:val="24"/>
              </w:rPr>
              <w:t>2.打好脫貧攻堅戰</w:t>
            </w:r>
          </w:p>
        </w:tc>
        <w:tc>
          <w:tcPr>
            <w:tcW w:w="6711" w:type="dxa"/>
            <w:tcBorders>
              <w:right w:val="nil"/>
            </w:tcBorders>
            <w:vAlign w:val="center"/>
          </w:tcPr>
          <w:p w:rsidR="0008290D" w:rsidRPr="00C745BA" w:rsidRDefault="0008290D" w:rsidP="009E4ECA">
            <w:pPr>
              <w:spacing w:line="0" w:lineRule="atLeast"/>
            </w:pPr>
            <w:r>
              <w:rPr>
                <w:rFonts w:ascii="標楷體" w:eastAsia="標楷體" w:hAnsi="標楷體" w:hint="eastAsia"/>
                <w:color w:val="000000" w:themeColor="text1"/>
                <w:szCs w:val="24"/>
              </w:rPr>
              <w:t>要一鼓作氣，重點解決好實現“兩不愁三保障”面臨的突出問題，加大“三區三州”等深度貧困地區和特殊貧困群體脫貧攻堅力度，減少和防止貧困</w:t>
            </w:r>
            <w:proofErr w:type="gramStart"/>
            <w:r>
              <w:rPr>
                <w:rFonts w:ascii="標楷體" w:eastAsia="標楷體" w:hAnsi="標楷體" w:hint="eastAsia"/>
                <w:color w:val="000000" w:themeColor="text1"/>
                <w:szCs w:val="24"/>
              </w:rPr>
              <w:t>人口返貧</w:t>
            </w:r>
            <w:proofErr w:type="gramEnd"/>
            <w:r>
              <w:rPr>
                <w:rFonts w:ascii="標楷體" w:eastAsia="標楷體" w:hAnsi="標楷體" w:hint="eastAsia"/>
                <w:color w:val="000000" w:themeColor="text1"/>
                <w:szCs w:val="24"/>
              </w:rPr>
              <w:t>，研究解決那些收入水準略高於</w:t>
            </w:r>
            <w:proofErr w:type="gramStart"/>
            <w:r>
              <w:rPr>
                <w:rFonts w:ascii="標楷體" w:eastAsia="標楷體" w:hAnsi="標楷體" w:hint="eastAsia"/>
                <w:color w:val="000000" w:themeColor="text1"/>
                <w:szCs w:val="24"/>
              </w:rPr>
              <w:t>建檔立卡</w:t>
            </w:r>
            <w:proofErr w:type="gramEnd"/>
            <w:r>
              <w:rPr>
                <w:rFonts w:ascii="標楷體" w:eastAsia="標楷體" w:hAnsi="標楷體" w:hint="eastAsia"/>
                <w:color w:val="000000" w:themeColor="text1"/>
                <w:szCs w:val="24"/>
              </w:rPr>
              <w:t>貧困戶的群體缺乏政策支持等新問題</w:t>
            </w:r>
            <w:r w:rsidR="00043C0B">
              <w:rPr>
                <w:rFonts w:ascii="標楷體" w:eastAsia="標楷體" w:hAnsi="標楷體" w:hint="eastAsia"/>
                <w:color w:val="000000" w:themeColor="text1"/>
                <w:szCs w:val="24"/>
              </w:rPr>
              <w:t>。</w:t>
            </w:r>
          </w:p>
        </w:tc>
      </w:tr>
      <w:tr w:rsidR="0008290D" w:rsidRPr="00463C54" w:rsidTr="00644C52">
        <w:trPr>
          <w:cantSplit/>
          <w:trHeight w:val="957"/>
          <w:jc w:val="center"/>
        </w:trPr>
        <w:tc>
          <w:tcPr>
            <w:tcW w:w="514" w:type="dxa"/>
            <w:vMerge/>
            <w:tcBorders>
              <w:left w:val="nil"/>
            </w:tcBorders>
            <w:vAlign w:val="center"/>
          </w:tcPr>
          <w:p w:rsidR="0008290D" w:rsidRPr="00C745BA" w:rsidRDefault="0008290D" w:rsidP="009E4ECA">
            <w:pPr>
              <w:spacing w:line="0" w:lineRule="atLeast"/>
            </w:pPr>
          </w:p>
        </w:tc>
        <w:tc>
          <w:tcPr>
            <w:tcW w:w="2990" w:type="dxa"/>
            <w:vAlign w:val="center"/>
          </w:tcPr>
          <w:p w:rsidR="0008290D" w:rsidRPr="00C745BA" w:rsidRDefault="0008290D" w:rsidP="009E4ECA">
            <w:pPr>
              <w:spacing w:line="0" w:lineRule="atLeast"/>
            </w:pPr>
            <w:r>
              <w:rPr>
                <w:rFonts w:ascii="標楷體" w:eastAsia="標楷體" w:hAnsi="標楷體" w:hint="eastAsia"/>
                <w:color w:val="000000" w:themeColor="text1"/>
                <w:szCs w:val="24"/>
              </w:rPr>
              <w:t>3.</w:t>
            </w:r>
            <w:r>
              <w:rPr>
                <w:color w:val="000000" w:themeColor="text1"/>
              </w:rPr>
              <w:t xml:space="preserve"> </w:t>
            </w:r>
            <w:r>
              <w:rPr>
                <w:rFonts w:ascii="標楷體" w:eastAsia="標楷體" w:hAnsi="標楷體" w:hint="eastAsia"/>
                <w:color w:val="000000" w:themeColor="text1"/>
                <w:szCs w:val="24"/>
              </w:rPr>
              <w:t>打好污染防治攻堅戰</w:t>
            </w:r>
          </w:p>
        </w:tc>
        <w:tc>
          <w:tcPr>
            <w:tcW w:w="6711" w:type="dxa"/>
            <w:tcBorders>
              <w:right w:val="nil"/>
            </w:tcBorders>
            <w:vAlign w:val="center"/>
          </w:tcPr>
          <w:p w:rsidR="0008290D" w:rsidRPr="00C745BA" w:rsidRDefault="0008290D" w:rsidP="009E4ECA">
            <w:pPr>
              <w:spacing w:line="0" w:lineRule="atLeast"/>
            </w:pPr>
            <w:r>
              <w:rPr>
                <w:rFonts w:ascii="標楷體" w:eastAsia="標楷體" w:hAnsi="標楷體" w:hint="eastAsia"/>
                <w:color w:val="000000" w:themeColor="text1"/>
                <w:szCs w:val="24"/>
              </w:rPr>
              <w:t>要堅守陣地、鞏固成果，聚焦做好打贏藍天保衛戰等工作，加大工作和投入力度，同時要統籌兼顧，避免處置措施簡單粗暴。要增強服務意識，説明企業制定環境治理解決方案。</w:t>
            </w:r>
          </w:p>
        </w:tc>
      </w:tr>
      <w:tr w:rsidR="0008290D" w:rsidRPr="00463C54" w:rsidTr="00644C52">
        <w:trPr>
          <w:trHeight w:val="858"/>
          <w:jc w:val="center"/>
        </w:trPr>
        <w:tc>
          <w:tcPr>
            <w:tcW w:w="514" w:type="dxa"/>
            <w:vMerge w:val="restart"/>
            <w:tcBorders>
              <w:left w:val="nil"/>
            </w:tcBorders>
            <w:textDirection w:val="tbRlV"/>
            <w:vAlign w:val="center"/>
          </w:tcPr>
          <w:p w:rsidR="0008290D" w:rsidRPr="00463C54" w:rsidRDefault="0008290D" w:rsidP="009E4ECA">
            <w:pPr>
              <w:spacing w:line="0" w:lineRule="atLeast"/>
              <w:jc w:val="center"/>
              <w:rPr>
                <w:rFonts w:ascii="標楷體" w:eastAsia="標楷體" w:hAnsi="標楷體"/>
                <w:b/>
                <w:color w:val="000000" w:themeColor="text1"/>
                <w:szCs w:val="28"/>
              </w:rPr>
            </w:pPr>
            <w:r>
              <w:rPr>
                <w:rFonts w:ascii="標楷體" w:eastAsia="標楷體" w:hAnsi="標楷體" w:hint="eastAsia"/>
                <w:b/>
                <w:color w:val="000000" w:themeColor="text1"/>
                <w:szCs w:val="28"/>
              </w:rPr>
              <w:t>未來一年重點工作</w:t>
            </w:r>
          </w:p>
        </w:tc>
        <w:tc>
          <w:tcPr>
            <w:tcW w:w="2990" w:type="dxa"/>
            <w:vAlign w:val="center"/>
          </w:tcPr>
          <w:p w:rsidR="0008290D" w:rsidRPr="00463C54" w:rsidRDefault="0008290D" w:rsidP="009E4ECA">
            <w:pPr>
              <w:pStyle w:val="a3"/>
              <w:spacing w:line="0" w:lineRule="atLeast"/>
              <w:ind w:leftChars="0" w:left="0"/>
              <w:rPr>
                <w:rFonts w:ascii="標楷體" w:eastAsia="標楷體" w:hAnsi="標楷體"/>
                <w:color w:val="000000" w:themeColor="text1"/>
              </w:rPr>
            </w:pPr>
            <w:r w:rsidRPr="00463C54">
              <w:rPr>
                <w:rFonts w:ascii="標楷體" w:eastAsia="標楷體" w:hAnsi="標楷體"/>
                <w:color w:val="000000" w:themeColor="text1"/>
              </w:rPr>
              <w:t>1.</w:t>
            </w:r>
            <w:r w:rsidRPr="00463C54">
              <w:rPr>
                <w:rFonts w:ascii="標楷體" w:eastAsia="標楷體" w:hAnsi="標楷體" w:hint="eastAsia"/>
                <w:color w:val="000000" w:themeColor="text1"/>
              </w:rPr>
              <w:t>推動製造業高品質發展</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推動先進製造業和現代服務業深度融合。</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加快處置“僵屍企業”，制定退出實施辦法，促進新技術、新組織形式、新產業集群形成和發展。</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增強製造業技術創新能力，加大對中小企業創新支援力度，加強智慧財產權保護和運用，形成有效創新激勵機制。</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2.</w:t>
            </w:r>
            <w:r w:rsidRPr="00463C54">
              <w:rPr>
                <w:rFonts w:ascii="標楷體" w:eastAsia="標楷體" w:hAnsi="標楷體" w:hint="eastAsia"/>
                <w:color w:val="000000" w:themeColor="text1"/>
                <w:szCs w:val="24"/>
              </w:rPr>
              <w:t>促進形成強大國內市場</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滿足最終需求，提升產品品質，加快服務業發展，改善消費環境，落實好個人所得稅專項附加扣除政策，增強消費能力。</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加大製造業技術改造和設備更新，加快新型基礎設施建設，加大市政基礎設施等投資力度，補齊農村基礎設施和公共服務設施</w:t>
            </w:r>
            <w:proofErr w:type="gramStart"/>
            <w:r w:rsidRPr="00463C54">
              <w:rPr>
                <w:rFonts w:ascii="標楷體" w:eastAsia="標楷體" w:hAnsi="標楷體" w:hint="eastAsia"/>
                <w:color w:val="000000" w:themeColor="text1"/>
              </w:rPr>
              <w:t>建設短板</w:t>
            </w:r>
            <w:proofErr w:type="gramEnd"/>
            <w:r w:rsidRPr="00463C54">
              <w:rPr>
                <w:rFonts w:ascii="標楷體" w:eastAsia="標楷體" w:hAnsi="標楷體" w:hint="eastAsia"/>
                <w:color w:val="000000" w:themeColor="text1"/>
              </w:rPr>
              <w:t>，加強自然災害防治能力建設。</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3.</w:t>
            </w:r>
            <w:r w:rsidRPr="00463C54">
              <w:rPr>
                <w:rFonts w:ascii="標楷體" w:eastAsia="標楷體" w:hAnsi="標楷體" w:hint="eastAsia"/>
                <w:color w:val="000000" w:themeColor="text1"/>
                <w:szCs w:val="24"/>
              </w:rPr>
              <w:t>紮實推進鄉村振興戰略</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堅持農業農村優先發展，著力增加優質綠色農產品供給。</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重視培育家庭農場、農民合作社等新型經營主體，引入現代農業發展大格局。</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總結好農村土地制度改革三項試點經驗，繼續深化農村土地制度改革。</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4F319E">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4.</w:t>
            </w:r>
            <w:r w:rsidRPr="00463C54">
              <w:rPr>
                <w:rFonts w:ascii="標楷體" w:eastAsia="標楷體" w:hAnsi="標楷體" w:hint="eastAsia"/>
                <w:color w:val="000000" w:themeColor="text1"/>
                <w:szCs w:val="24"/>
              </w:rPr>
              <w:t>促進區域協調發展</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統籌推進西部大開發、東北全面振興、中部地區崛起、東部率先發展。</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增強中心城市輻射帶動力，形成高品質發展重要助推力。</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推動長江經濟帶發展，實施長江生態環境系統保護修復。</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推動城鎮化發展，督促落實</w:t>
            </w:r>
            <w:r w:rsidRPr="00463C54">
              <w:rPr>
                <w:rFonts w:ascii="標楷體" w:eastAsia="標楷體" w:hAnsi="標楷體"/>
                <w:color w:val="000000" w:themeColor="text1"/>
              </w:rPr>
              <w:t>2020</w:t>
            </w:r>
            <w:r w:rsidRPr="00463C54">
              <w:rPr>
                <w:rFonts w:ascii="標楷體" w:eastAsia="標楷體" w:hAnsi="標楷體" w:hint="eastAsia"/>
                <w:color w:val="000000" w:themeColor="text1"/>
              </w:rPr>
              <w:t>年</w:t>
            </w:r>
            <w:r w:rsidRPr="00463C54">
              <w:rPr>
                <w:rFonts w:ascii="標楷體" w:eastAsia="標楷體" w:hAnsi="標楷體"/>
                <w:color w:val="000000" w:themeColor="text1"/>
              </w:rPr>
              <w:t>1</w:t>
            </w:r>
            <w:r w:rsidRPr="00463C54">
              <w:rPr>
                <w:rFonts w:ascii="標楷體" w:eastAsia="標楷體" w:hAnsi="標楷體" w:hint="eastAsia"/>
                <w:color w:val="000000" w:themeColor="text1"/>
              </w:rPr>
              <w:t>億人落戶目標，提高大城市精細化管理水準。</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5.</w:t>
            </w:r>
            <w:r w:rsidRPr="00463C54">
              <w:rPr>
                <w:rFonts w:ascii="標楷體" w:eastAsia="標楷體" w:hAnsi="標楷體" w:hint="eastAsia"/>
                <w:color w:val="000000" w:themeColor="text1"/>
                <w:szCs w:val="24"/>
              </w:rPr>
              <w:t>加快經濟體制改革</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加快國資國企改革，積極推進混合所有制改革，加快推動中國鐵路總公司股份制改造。</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支援民營企業發展，營造法治化制度環境，保護民營企業家人身安全和財產安全。</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以金融體系結構調整優化為重點深化金融體制改革，發展民營銀行和社區銀行，推動城商行、農商行、</w:t>
            </w:r>
            <w:proofErr w:type="gramStart"/>
            <w:r w:rsidRPr="00463C54">
              <w:rPr>
                <w:rFonts w:ascii="標楷體" w:eastAsia="標楷體" w:hAnsi="標楷體" w:hint="eastAsia"/>
                <w:color w:val="000000" w:themeColor="text1"/>
              </w:rPr>
              <w:t>農信社</w:t>
            </w:r>
            <w:proofErr w:type="gramEnd"/>
            <w:r w:rsidRPr="00463C54">
              <w:rPr>
                <w:rFonts w:ascii="標楷體" w:eastAsia="標楷體" w:hAnsi="標楷體" w:hint="eastAsia"/>
                <w:color w:val="000000" w:themeColor="text1"/>
              </w:rPr>
              <w:t>業務逐步回歸本源。</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lastRenderedPageBreak/>
              <w:t>要完善金融基礎設施，強化監管和服務能力。</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推進財稅體制改革，健全地方稅體系，規範政府舉債融資機制。</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切實轉變政府職能，大幅減少政府對資源的直接配置，強化事中事後監管。</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6.</w:t>
            </w:r>
            <w:r w:rsidRPr="00463C54">
              <w:rPr>
                <w:rFonts w:ascii="標楷體" w:eastAsia="標楷體" w:hAnsi="標楷體" w:hint="eastAsia"/>
                <w:color w:val="000000" w:themeColor="text1"/>
                <w:szCs w:val="24"/>
              </w:rPr>
              <w:t>推動全方位對外開放</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推動由商品和要素流動型開放向制度型開放轉變。</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放寬市場准入，全面實施准入前國民待遇加負面清單管理制度，保護外商合法權益特別是智慧財產權，允許更多領域實行獨資經營。</w:t>
            </w:r>
          </w:p>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擴大進出口貿易，推動出口市場多元化，削減進口環節制度性成本。推動共建“一帶一路”，有效管控各類風險。</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積極參與世貿組織改革，促進貿易和投資自由化便利化。落實阿根廷中美元首會晤共識，推進</w:t>
            </w:r>
            <w:r>
              <w:rPr>
                <w:rFonts w:ascii="標楷體" w:eastAsia="標楷體" w:hAnsi="標楷體" w:hint="eastAsia"/>
                <w:color w:val="000000" w:themeColor="text1"/>
              </w:rPr>
              <w:t>美</w:t>
            </w:r>
            <w:r w:rsidRPr="00463C54">
              <w:rPr>
                <w:rFonts w:ascii="標楷體" w:eastAsia="標楷體" w:hAnsi="標楷體" w:hint="eastAsia"/>
                <w:color w:val="000000" w:themeColor="text1"/>
              </w:rPr>
              <w:t>中經貿磋商。</w:t>
            </w:r>
          </w:p>
        </w:tc>
      </w:tr>
      <w:tr w:rsidR="0008290D" w:rsidRPr="00463C54" w:rsidTr="00644C52">
        <w:trPr>
          <w:trHeight w:val="723"/>
          <w:jc w:val="center"/>
        </w:trPr>
        <w:tc>
          <w:tcPr>
            <w:tcW w:w="514" w:type="dxa"/>
            <w:vMerge/>
            <w:tcBorders>
              <w:left w:val="nil"/>
            </w:tcBorders>
            <w:vAlign w:val="center"/>
          </w:tcPr>
          <w:p w:rsidR="0008290D" w:rsidRPr="00463C54" w:rsidRDefault="0008290D" w:rsidP="009E4ECA">
            <w:pPr>
              <w:spacing w:line="0" w:lineRule="atLeast"/>
              <w:jc w:val="center"/>
              <w:rPr>
                <w:rFonts w:ascii="標楷體" w:eastAsia="標楷體" w:hAnsi="標楷體"/>
                <w:b/>
                <w:color w:val="000000" w:themeColor="text1"/>
                <w:szCs w:val="28"/>
              </w:rPr>
            </w:pPr>
          </w:p>
        </w:tc>
        <w:tc>
          <w:tcPr>
            <w:tcW w:w="2990" w:type="dxa"/>
            <w:vAlign w:val="center"/>
          </w:tcPr>
          <w:p w:rsidR="0008290D" w:rsidRPr="00463C54" w:rsidRDefault="0008290D" w:rsidP="009E4ECA">
            <w:pPr>
              <w:spacing w:line="0" w:lineRule="atLeast"/>
              <w:rPr>
                <w:rFonts w:ascii="標楷體" w:eastAsia="標楷體" w:hAnsi="標楷體"/>
                <w:color w:val="000000" w:themeColor="text1"/>
                <w:szCs w:val="24"/>
              </w:rPr>
            </w:pPr>
            <w:r w:rsidRPr="00463C54">
              <w:rPr>
                <w:rFonts w:ascii="標楷體" w:eastAsia="標楷體" w:hAnsi="標楷體"/>
                <w:color w:val="000000" w:themeColor="text1"/>
                <w:szCs w:val="24"/>
              </w:rPr>
              <w:t>7.</w:t>
            </w:r>
            <w:r w:rsidRPr="00463C54">
              <w:rPr>
                <w:rFonts w:ascii="標楷體" w:eastAsia="標楷體" w:hAnsi="標楷體" w:hint="eastAsia"/>
                <w:color w:val="000000" w:themeColor="text1"/>
                <w:szCs w:val="24"/>
              </w:rPr>
              <w:t>加強保障和改善民生</w:t>
            </w:r>
          </w:p>
        </w:tc>
        <w:tc>
          <w:tcPr>
            <w:tcW w:w="6711" w:type="dxa"/>
            <w:tcBorders>
              <w:right w:val="nil"/>
            </w:tcBorders>
          </w:tcPr>
          <w:p w:rsidR="0008290D" w:rsidRPr="00463C54" w:rsidRDefault="0008290D" w:rsidP="002A4962">
            <w:pPr>
              <w:pStyle w:val="a3"/>
              <w:numPr>
                <w:ilvl w:val="0"/>
                <w:numId w:val="7"/>
              </w:numPr>
              <w:spacing w:line="0" w:lineRule="atLeast"/>
              <w:ind w:leftChars="0"/>
              <w:rPr>
                <w:rFonts w:ascii="標楷體" w:eastAsia="標楷體" w:hAnsi="標楷體"/>
                <w:color w:val="000000" w:themeColor="text1"/>
              </w:rPr>
            </w:pPr>
            <w:r w:rsidRPr="00463C54">
              <w:rPr>
                <w:rFonts w:ascii="標楷體" w:eastAsia="標楷體" w:hAnsi="標楷體" w:hint="eastAsia"/>
                <w:color w:val="000000" w:themeColor="text1"/>
              </w:rPr>
              <w:t>把穩就業擺在突出位置。</w:t>
            </w:r>
          </w:p>
          <w:p w:rsidR="0008290D" w:rsidRPr="00463C54" w:rsidRDefault="004F319E" w:rsidP="002A4962">
            <w:pPr>
              <w:pStyle w:val="a3"/>
              <w:numPr>
                <w:ilvl w:val="0"/>
                <w:numId w:val="7"/>
              </w:numPr>
              <w:spacing w:line="0" w:lineRule="atLeast"/>
              <w:ind w:leftChars="0"/>
              <w:rPr>
                <w:rFonts w:ascii="標楷體" w:eastAsia="標楷體" w:hAnsi="標楷體"/>
                <w:color w:val="000000" w:themeColor="text1"/>
              </w:rPr>
            </w:pPr>
            <w:r>
              <w:rPr>
                <w:rFonts w:ascii="標楷體" w:eastAsia="標楷體" w:hAnsi="標楷體" w:hint="eastAsia"/>
                <w:color w:val="000000" w:themeColor="text1"/>
              </w:rPr>
              <w:t>完善養老護理體系，深化社會保障制度改革，繼續</w:t>
            </w:r>
            <w:proofErr w:type="gramStart"/>
            <w:r w:rsidR="0008290D" w:rsidRPr="00463C54">
              <w:rPr>
                <w:rFonts w:ascii="標楷體" w:eastAsia="標楷體" w:hAnsi="標楷體" w:hint="eastAsia"/>
                <w:color w:val="000000" w:themeColor="text1"/>
              </w:rPr>
              <w:t>充實社保基金</w:t>
            </w:r>
            <w:proofErr w:type="gramEnd"/>
            <w:r w:rsidR="0008290D" w:rsidRPr="00463C54">
              <w:rPr>
                <w:rFonts w:ascii="標楷體" w:eastAsia="標楷體" w:hAnsi="標楷體" w:hint="eastAsia"/>
                <w:color w:val="000000" w:themeColor="text1"/>
              </w:rPr>
              <w:t>。</w:t>
            </w:r>
          </w:p>
          <w:p w:rsidR="0008290D" w:rsidRPr="00463C54" w:rsidRDefault="0008290D" w:rsidP="002A4962">
            <w:pPr>
              <w:pStyle w:val="a3"/>
              <w:numPr>
                <w:ilvl w:val="0"/>
                <w:numId w:val="7"/>
              </w:numPr>
              <w:spacing w:line="0" w:lineRule="atLeast"/>
              <w:ind w:leftChars="0"/>
              <w:rPr>
                <w:rFonts w:ascii="標楷體" w:eastAsia="標楷體" w:hAnsi="標楷體"/>
                <w:b/>
                <w:color w:val="000000" w:themeColor="text1"/>
              </w:rPr>
            </w:pPr>
            <w:r w:rsidRPr="00463C54">
              <w:rPr>
                <w:rFonts w:ascii="標楷體" w:eastAsia="標楷體" w:hAnsi="標楷體" w:hint="eastAsia"/>
                <w:color w:val="000000" w:themeColor="text1"/>
              </w:rPr>
              <w:t>構建房地產市場健康發展長效機制，完善住房市場體系和住房保障體系。</w:t>
            </w:r>
          </w:p>
        </w:tc>
      </w:tr>
    </w:tbl>
    <w:p w:rsidR="00644C52" w:rsidRDefault="00644C52" w:rsidP="00644C52">
      <w:pPr>
        <w:widowControl/>
        <w:jc w:val="center"/>
        <w:rPr>
          <w:rFonts w:ascii="標楷體" w:eastAsia="標楷體" w:hAnsi="標楷體" w:cs="Times New Roman"/>
          <w:b/>
          <w:bCs/>
          <w:color w:val="000000" w:themeColor="text1"/>
          <w:kern w:val="0"/>
          <w:sz w:val="32"/>
          <w:szCs w:val="32"/>
        </w:rPr>
      </w:pPr>
    </w:p>
    <w:p w:rsidR="00644C52" w:rsidRDefault="00644C52">
      <w:pPr>
        <w:widowControl/>
        <w:rPr>
          <w:rFonts w:ascii="標楷體" w:eastAsia="標楷體" w:hAnsi="標楷體" w:cs="Times New Roman"/>
          <w:b/>
          <w:bCs/>
          <w:color w:val="000000" w:themeColor="text1"/>
          <w:kern w:val="0"/>
          <w:sz w:val="32"/>
          <w:szCs w:val="32"/>
        </w:rPr>
      </w:pPr>
      <w:r>
        <w:rPr>
          <w:rFonts w:ascii="標楷體" w:eastAsia="標楷體" w:hAnsi="標楷體" w:cs="Times New Roman"/>
          <w:b/>
          <w:bCs/>
          <w:color w:val="000000" w:themeColor="text1"/>
          <w:kern w:val="0"/>
          <w:sz w:val="32"/>
          <w:szCs w:val="32"/>
        </w:rPr>
        <w:br w:type="page"/>
      </w:r>
    </w:p>
    <w:p w:rsidR="00644C52" w:rsidRPr="002F09CB" w:rsidRDefault="00644C52" w:rsidP="00644C52">
      <w:pPr>
        <w:widowControl/>
        <w:spacing w:beforeLines="100" w:before="360"/>
        <w:rPr>
          <w:rFonts w:ascii="標楷體" w:eastAsia="標楷體" w:hAnsi="標楷體"/>
          <w:bCs/>
          <w:color w:val="000000" w:themeColor="text1"/>
          <w:sz w:val="28"/>
          <w:szCs w:val="28"/>
        </w:rPr>
        <w:sectPr w:rsidR="00644C52" w:rsidRPr="002F09CB" w:rsidSect="00B47D1F">
          <w:footerReference w:type="default" r:id="rId22"/>
          <w:footerReference w:type="first" r:id="rId23"/>
          <w:pgSz w:w="11906" w:h="16838"/>
          <w:pgMar w:top="1440" w:right="1800" w:bottom="1440" w:left="1800" w:header="851" w:footer="992" w:gutter="0"/>
          <w:pgNumType w:start="1"/>
          <w:cols w:space="425"/>
          <w:docGrid w:type="lines" w:linePitch="360"/>
        </w:sectPr>
      </w:pPr>
    </w:p>
    <w:p w:rsidR="00644C52" w:rsidRPr="007F005F" w:rsidRDefault="00644C52" w:rsidP="007F005F">
      <w:pPr>
        <w:pStyle w:val="11"/>
        <w:spacing w:before="0" w:after="0"/>
        <w:jc w:val="center"/>
        <w:rPr>
          <w:rFonts w:ascii="標楷體" w:eastAsia="標楷體" w:hAnsi="標楷體"/>
          <w:bCs w:val="0"/>
          <w:color w:val="000000" w:themeColor="text1"/>
          <w:kern w:val="0"/>
          <w:sz w:val="40"/>
          <w:szCs w:val="36"/>
        </w:rPr>
      </w:pPr>
      <w:bookmarkStart w:id="20" w:name="_Toc1397865"/>
      <w:bookmarkStart w:id="21" w:name="_Toc1400591"/>
      <w:r w:rsidRPr="007F005F">
        <w:rPr>
          <w:rFonts w:ascii="標楷體" w:eastAsia="標楷體" w:hAnsi="標楷體" w:hint="eastAsia"/>
          <w:bCs w:val="0"/>
          <w:color w:val="000000" w:themeColor="text1"/>
          <w:kern w:val="0"/>
          <w:sz w:val="40"/>
          <w:szCs w:val="36"/>
        </w:rPr>
        <w:lastRenderedPageBreak/>
        <w:t>貳、</w:t>
      </w:r>
      <w:r w:rsidRPr="007F005F">
        <w:rPr>
          <w:rFonts w:ascii="標楷體" w:eastAsia="標楷體" w:hAnsi="標楷體"/>
          <w:bCs w:val="0"/>
          <w:color w:val="000000" w:themeColor="text1"/>
          <w:kern w:val="0"/>
          <w:sz w:val="40"/>
          <w:szCs w:val="36"/>
        </w:rPr>
        <w:t>兩岸經貿</w:t>
      </w:r>
      <w:r w:rsidRPr="007F005F">
        <w:rPr>
          <w:rFonts w:ascii="標楷體" w:eastAsia="標楷體" w:hAnsi="標楷體" w:hint="eastAsia"/>
          <w:bCs w:val="0"/>
          <w:color w:val="000000" w:themeColor="text1"/>
          <w:kern w:val="0"/>
          <w:sz w:val="40"/>
          <w:szCs w:val="36"/>
        </w:rPr>
        <w:t>情勢</w:t>
      </w:r>
      <w:bookmarkEnd w:id="20"/>
      <w:bookmarkEnd w:id="21"/>
    </w:p>
    <w:p w:rsidR="00644C52" w:rsidRPr="007F2D59" w:rsidRDefault="00644C52" w:rsidP="00644C52">
      <w:pPr>
        <w:keepNext/>
        <w:spacing w:beforeLines="50" w:before="120" w:line="480" w:lineRule="exact"/>
        <w:outlineLvl w:val="1"/>
        <w:rPr>
          <w:rFonts w:ascii="標楷體" w:eastAsia="標楷體" w:hAnsi="標楷體"/>
          <w:b/>
          <w:bCs/>
          <w:color w:val="000000" w:themeColor="text1"/>
          <w:sz w:val="28"/>
          <w:szCs w:val="32"/>
        </w:rPr>
      </w:pPr>
      <w:bookmarkStart w:id="22" w:name="_Toc489971718"/>
      <w:bookmarkStart w:id="23" w:name="_Toc521067605"/>
      <w:bookmarkStart w:id="24" w:name="_Toc1397866"/>
      <w:bookmarkStart w:id="25" w:name="_Toc1400592"/>
      <w:r w:rsidRPr="007F2D59">
        <w:rPr>
          <w:rFonts w:ascii="標楷體" w:eastAsia="標楷體" w:hAnsi="標楷體"/>
          <w:b/>
          <w:bCs/>
          <w:color w:val="000000" w:themeColor="text1"/>
          <w:sz w:val="28"/>
          <w:szCs w:val="32"/>
        </w:rPr>
        <w:t>一、</w:t>
      </w:r>
      <w:r w:rsidRPr="007F2D59">
        <w:rPr>
          <w:rFonts w:ascii="標楷體" w:eastAsia="標楷體" w:hAnsi="標楷體" w:hint="eastAsia"/>
          <w:b/>
          <w:bCs/>
          <w:color w:val="000000" w:themeColor="text1"/>
          <w:sz w:val="28"/>
          <w:szCs w:val="32"/>
        </w:rPr>
        <w:t>雙邊</w:t>
      </w:r>
      <w:r w:rsidRPr="007F2D59">
        <w:rPr>
          <w:rFonts w:ascii="標楷體" w:eastAsia="標楷體" w:hAnsi="標楷體"/>
          <w:b/>
          <w:bCs/>
          <w:color w:val="000000" w:themeColor="text1"/>
          <w:sz w:val="28"/>
          <w:szCs w:val="32"/>
        </w:rPr>
        <w:t>投資</w:t>
      </w:r>
      <w:bookmarkEnd w:id="22"/>
      <w:bookmarkEnd w:id="23"/>
      <w:bookmarkEnd w:id="24"/>
      <w:bookmarkEnd w:id="25"/>
    </w:p>
    <w:p w:rsidR="00644C52" w:rsidRPr="007F2D59" w:rsidRDefault="00644C52" w:rsidP="002A4962">
      <w:pPr>
        <w:widowControl/>
        <w:numPr>
          <w:ilvl w:val="0"/>
          <w:numId w:val="20"/>
        </w:numPr>
        <w:tabs>
          <w:tab w:val="left" w:pos="567"/>
        </w:tabs>
        <w:autoSpaceDE w:val="0"/>
        <w:snapToGrid w:val="0"/>
        <w:spacing w:beforeLines="25" w:before="60" w:line="480" w:lineRule="exact"/>
        <w:ind w:left="669" w:hanging="669"/>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我對中國大陸投資</w:t>
      </w:r>
    </w:p>
    <w:p w:rsidR="00644C52" w:rsidRPr="00C9125E" w:rsidRDefault="00644C52" w:rsidP="00644C52">
      <w:pPr>
        <w:tabs>
          <w:tab w:val="left" w:pos="567"/>
        </w:tabs>
        <w:spacing w:beforeLines="30" w:before="72" w:line="480" w:lineRule="exact"/>
        <w:ind w:leftChars="279" w:left="670" w:firstLineChars="202" w:firstLine="566"/>
        <w:jc w:val="both"/>
        <w:rPr>
          <w:rFonts w:ascii="Times New Roman" w:eastAsia="標楷體" w:hAnsi="Times New Roman" w:cs="Times New Roman"/>
          <w:color w:val="000000" w:themeColor="text1"/>
          <w:sz w:val="28"/>
          <w:szCs w:val="28"/>
        </w:rPr>
      </w:pPr>
      <w:r w:rsidRPr="00C9125E">
        <w:rPr>
          <w:rFonts w:ascii="Times New Roman" w:eastAsia="標楷體" w:hAnsi="Times New Roman" w:cs="Times New Roman"/>
          <w:color w:val="000000" w:themeColor="text1"/>
          <w:sz w:val="28"/>
          <w:szCs w:val="28"/>
        </w:rPr>
        <w:t>受美中貿易戰影響，以及中國大陸經濟發展模式改變，</w:t>
      </w:r>
      <w:proofErr w:type="gramStart"/>
      <w:r w:rsidRPr="00C9125E">
        <w:rPr>
          <w:rFonts w:ascii="Times New Roman" w:eastAsia="標楷體" w:hAnsi="Times New Roman" w:cs="Times New Roman"/>
          <w:color w:val="000000" w:themeColor="text1"/>
          <w:sz w:val="28"/>
          <w:szCs w:val="28"/>
        </w:rPr>
        <w:t>臺</w:t>
      </w:r>
      <w:proofErr w:type="gramEnd"/>
      <w:r w:rsidRPr="00C9125E">
        <w:rPr>
          <w:rFonts w:ascii="Times New Roman" w:eastAsia="標楷體" w:hAnsi="Times New Roman" w:cs="Times New Roman"/>
          <w:color w:val="000000" w:themeColor="text1"/>
          <w:sz w:val="28"/>
          <w:szCs w:val="28"/>
        </w:rPr>
        <w:t>商對中國大陸的投資由製造業逐步轉向服務業，</w:t>
      </w:r>
      <w:proofErr w:type="gramStart"/>
      <w:r w:rsidRPr="00C9125E">
        <w:rPr>
          <w:rFonts w:ascii="Times New Roman" w:eastAsia="標楷體" w:hAnsi="Times New Roman" w:cs="Times New Roman"/>
          <w:color w:val="000000" w:themeColor="text1"/>
          <w:sz w:val="28"/>
          <w:szCs w:val="28"/>
        </w:rPr>
        <w:t>臺</w:t>
      </w:r>
      <w:proofErr w:type="gramEnd"/>
      <w:r w:rsidRPr="00C9125E">
        <w:rPr>
          <w:rFonts w:ascii="Times New Roman" w:eastAsia="標楷體" w:hAnsi="Times New Roman" w:cs="Times New Roman"/>
          <w:color w:val="000000" w:themeColor="text1"/>
          <w:sz w:val="28"/>
          <w:szCs w:val="28"/>
        </w:rPr>
        <w:t>商對陸大額投資明顯縮減，</w:t>
      </w:r>
      <w:r w:rsidRPr="00C9125E">
        <w:rPr>
          <w:rFonts w:ascii="Times New Roman" w:eastAsia="標楷體" w:hAnsi="Times New Roman" w:cs="Times New Roman"/>
          <w:color w:val="000000" w:themeColor="text1"/>
          <w:sz w:val="28"/>
          <w:szCs w:val="28"/>
        </w:rPr>
        <w:t>2018</w:t>
      </w:r>
      <w:r w:rsidRPr="00C9125E">
        <w:rPr>
          <w:rFonts w:ascii="Times New Roman" w:eastAsia="標楷體" w:hAnsi="Times New Roman" w:cs="Times New Roman"/>
          <w:color w:val="000000" w:themeColor="text1"/>
          <w:sz w:val="28"/>
          <w:szCs w:val="28"/>
        </w:rPr>
        <w:t>年核准對中國大陸投（增）資金額為</w:t>
      </w:r>
      <w:r w:rsidRPr="00C9125E">
        <w:rPr>
          <w:rFonts w:ascii="Times New Roman" w:eastAsia="標楷體" w:hAnsi="Times New Roman" w:cs="Times New Roman"/>
          <w:color w:val="000000" w:themeColor="text1"/>
          <w:sz w:val="28"/>
          <w:szCs w:val="28"/>
        </w:rPr>
        <w:t>85.0</w:t>
      </w:r>
      <w:r w:rsidRPr="00C9125E">
        <w:rPr>
          <w:rFonts w:ascii="Times New Roman" w:eastAsia="標楷體" w:hAnsi="Times New Roman" w:cs="Times New Roman"/>
          <w:color w:val="000000" w:themeColor="text1"/>
          <w:sz w:val="28"/>
          <w:szCs w:val="28"/>
        </w:rPr>
        <w:t>億美元，較上年縮減</w:t>
      </w:r>
      <w:r w:rsidRPr="00C9125E">
        <w:rPr>
          <w:rFonts w:ascii="Times New Roman" w:eastAsia="標楷體" w:hAnsi="Times New Roman" w:cs="Times New Roman"/>
          <w:color w:val="000000" w:themeColor="text1"/>
          <w:sz w:val="28"/>
          <w:szCs w:val="28"/>
        </w:rPr>
        <w:t>8.1%</w:t>
      </w:r>
      <w:r w:rsidRPr="00C9125E">
        <w:rPr>
          <w:rFonts w:ascii="Times New Roman" w:eastAsia="標楷體" w:hAnsi="Times New Roman" w:cs="Times New Roman"/>
          <w:color w:val="000000" w:themeColor="text1"/>
          <w:sz w:val="28"/>
          <w:szCs w:val="28"/>
        </w:rPr>
        <w:t>，惟投資件數增加</w:t>
      </w:r>
      <w:r w:rsidRPr="00C9125E">
        <w:rPr>
          <w:rFonts w:ascii="Times New Roman" w:eastAsia="標楷體" w:hAnsi="Times New Roman" w:cs="Times New Roman"/>
          <w:color w:val="000000" w:themeColor="text1"/>
          <w:sz w:val="28"/>
          <w:szCs w:val="28"/>
        </w:rPr>
        <w:t>25.2%</w:t>
      </w:r>
      <w:r w:rsidRPr="00C9125E">
        <w:rPr>
          <w:rFonts w:ascii="Times New Roman" w:eastAsia="標楷體" w:hAnsi="Times New Roman" w:cs="Times New Roman"/>
          <w:color w:val="000000" w:themeColor="text1"/>
          <w:sz w:val="28"/>
          <w:szCs w:val="28"/>
        </w:rPr>
        <w:t>，達</w:t>
      </w:r>
      <w:r w:rsidRPr="00C9125E">
        <w:rPr>
          <w:rFonts w:ascii="Times New Roman" w:eastAsia="標楷體" w:hAnsi="Times New Roman" w:cs="Times New Roman"/>
          <w:color w:val="000000" w:themeColor="text1"/>
          <w:sz w:val="28"/>
          <w:szCs w:val="28"/>
        </w:rPr>
        <w:t>726</w:t>
      </w:r>
      <w:r w:rsidRPr="00C9125E">
        <w:rPr>
          <w:rFonts w:ascii="Times New Roman" w:eastAsia="標楷體" w:hAnsi="Times New Roman" w:cs="Times New Roman"/>
          <w:color w:val="000000" w:themeColor="text1"/>
          <w:sz w:val="28"/>
          <w:szCs w:val="28"/>
        </w:rPr>
        <w:t>件</w:t>
      </w:r>
      <w:r w:rsidR="00C9125E" w:rsidRPr="00C9125E">
        <w:rPr>
          <w:rFonts w:ascii="Times New Roman" w:eastAsia="標楷體" w:hAnsi="Times New Roman" w:cs="Times New Roman"/>
          <w:color w:val="000000" w:themeColor="text1"/>
          <w:sz w:val="28"/>
          <w:szCs w:val="28"/>
        </w:rPr>
        <w:t>（表</w:t>
      </w:r>
      <w:r w:rsidR="00C9125E" w:rsidRPr="00C9125E">
        <w:rPr>
          <w:rFonts w:ascii="Times New Roman" w:eastAsia="標楷體" w:hAnsi="Times New Roman" w:cs="Times New Roman"/>
          <w:color w:val="000000" w:themeColor="text1"/>
          <w:sz w:val="28"/>
          <w:szCs w:val="28"/>
        </w:rPr>
        <w:t>2-1</w:t>
      </w:r>
      <w:r w:rsidR="00C9125E" w:rsidRPr="00C9125E">
        <w:rPr>
          <w:rFonts w:ascii="Times New Roman" w:eastAsia="標楷體" w:hAnsi="Times New Roman" w:cs="Times New Roman"/>
          <w:color w:val="000000" w:themeColor="text1"/>
          <w:sz w:val="28"/>
          <w:szCs w:val="28"/>
        </w:rPr>
        <w:t>）。</w:t>
      </w:r>
    </w:p>
    <w:p w:rsidR="00644C52" w:rsidRPr="007F2D59" w:rsidRDefault="00644C52" w:rsidP="00644C52">
      <w:pPr>
        <w:widowControl/>
        <w:spacing w:beforeLines="50" w:before="120" w:afterLines="50" w:after="120" w:line="440" w:lineRule="exact"/>
        <w:jc w:val="center"/>
        <w:rPr>
          <w:rFonts w:eastAsia="標楷體"/>
          <w:b/>
          <w:color w:val="000000" w:themeColor="text1"/>
          <w:kern w:val="0"/>
          <w:sz w:val="28"/>
          <w:szCs w:val="32"/>
        </w:rPr>
      </w:pPr>
      <w:r w:rsidRPr="007F2D59">
        <w:rPr>
          <w:rFonts w:eastAsia="標楷體"/>
          <w:b/>
          <w:color w:val="000000" w:themeColor="text1"/>
          <w:kern w:val="0"/>
          <w:sz w:val="28"/>
          <w:szCs w:val="32"/>
        </w:rPr>
        <w:t>表</w:t>
      </w:r>
      <w:r w:rsidRPr="007F2D59">
        <w:rPr>
          <w:rFonts w:eastAsia="標楷體"/>
          <w:b/>
          <w:color w:val="000000" w:themeColor="text1"/>
          <w:kern w:val="0"/>
          <w:sz w:val="28"/>
          <w:szCs w:val="32"/>
        </w:rPr>
        <w:t xml:space="preserve">2-1  </w:t>
      </w:r>
      <w:proofErr w:type="gramStart"/>
      <w:r w:rsidRPr="007F2D59">
        <w:rPr>
          <w:rFonts w:eastAsia="標楷體"/>
          <w:b/>
          <w:color w:val="000000" w:themeColor="text1"/>
          <w:kern w:val="0"/>
          <w:sz w:val="28"/>
          <w:szCs w:val="32"/>
        </w:rPr>
        <w:t>臺</w:t>
      </w:r>
      <w:proofErr w:type="gramEnd"/>
      <w:r w:rsidRPr="007F2D59">
        <w:rPr>
          <w:rFonts w:eastAsia="標楷體"/>
          <w:b/>
          <w:color w:val="000000" w:themeColor="text1"/>
          <w:kern w:val="0"/>
          <w:sz w:val="28"/>
          <w:szCs w:val="32"/>
        </w:rPr>
        <w:t>商赴中國大陸投資統計</w:t>
      </w:r>
    </w:p>
    <w:tbl>
      <w:tblPr>
        <w:tblW w:w="8784" w:type="dxa"/>
        <w:jc w:val="center"/>
        <w:tblLayout w:type="fixed"/>
        <w:tblLook w:val="04A0" w:firstRow="1" w:lastRow="0" w:firstColumn="1" w:lastColumn="0" w:noHBand="0" w:noVBand="1"/>
      </w:tblPr>
      <w:tblGrid>
        <w:gridCol w:w="1799"/>
        <w:gridCol w:w="1416"/>
        <w:gridCol w:w="1265"/>
        <w:gridCol w:w="1440"/>
        <w:gridCol w:w="1440"/>
        <w:gridCol w:w="1424"/>
      </w:tblGrid>
      <w:tr w:rsidR="00644C52" w:rsidRPr="00C9125E" w:rsidTr="00644C52">
        <w:trPr>
          <w:jc w:val="center"/>
        </w:trPr>
        <w:tc>
          <w:tcPr>
            <w:tcW w:w="1799" w:type="dxa"/>
            <w:vMerge w:val="restart"/>
            <w:tcBorders>
              <w:top w:val="single" w:sz="4" w:space="0" w:color="000000"/>
              <w:left w:val="nil"/>
              <w:bottom w:val="single" w:sz="4" w:space="0" w:color="000000"/>
              <w:right w:val="nil"/>
            </w:tcBorders>
            <w:vAlign w:val="center"/>
            <w:hideMark/>
          </w:tcPr>
          <w:p w:rsidR="00644C52" w:rsidRPr="00C9125E" w:rsidRDefault="00644C52" w:rsidP="00644C52">
            <w:pPr>
              <w:widowControl/>
              <w:autoSpaceDE w:val="0"/>
              <w:snapToGrid w:val="0"/>
              <w:spacing w:before="50"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期</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間</w:t>
            </w:r>
          </w:p>
        </w:tc>
        <w:tc>
          <w:tcPr>
            <w:tcW w:w="1416" w:type="dxa"/>
            <w:tcBorders>
              <w:top w:val="single" w:sz="4" w:space="0" w:color="000000"/>
              <w:left w:val="single" w:sz="4" w:space="0" w:color="000000"/>
              <w:bottom w:val="nil"/>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金</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額</w:t>
            </w:r>
          </w:p>
        </w:tc>
        <w:tc>
          <w:tcPr>
            <w:tcW w:w="1265" w:type="dxa"/>
            <w:tcBorders>
              <w:top w:val="single" w:sz="4" w:space="0" w:color="000000"/>
              <w:left w:val="single" w:sz="4" w:space="0" w:color="000000"/>
              <w:bottom w:val="nil"/>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成</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長</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率</w:t>
            </w:r>
          </w:p>
        </w:tc>
        <w:tc>
          <w:tcPr>
            <w:tcW w:w="1440" w:type="dxa"/>
            <w:tcBorders>
              <w:top w:val="single" w:sz="4" w:space="0" w:color="000000"/>
              <w:left w:val="single" w:sz="4" w:space="0" w:color="000000"/>
              <w:bottom w:val="nil"/>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件</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數</w:t>
            </w:r>
          </w:p>
        </w:tc>
        <w:tc>
          <w:tcPr>
            <w:tcW w:w="1440" w:type="dxa"/>
            <w:tcBorders>
              <w:top w:val="single" w:sz="4" w:space="0" w:color="000000"/>
              <w:left w:val="single" w:sz="4" w:space="0" w:color="000000"/>
              <w:bottom w:val="nil"/>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成</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長</w:t>
            </w:r>
            <w:r w:rsidRPr="00C9125E">
              <w:rPr>
                <w:rFonts w:ascii="Times New Roman" w:eastAsia="標楷體" w:hAnsi="Times New Roman" w:cs="Times New Roman"/>
                <w:color w:val="000000" w:themeColor="text1"/>
                <w:kern w:val="0"/>
                <w:sz w:val="20"/>
                <w:szCs w:val="20"/>
              </w:rPr>
              <w:t xml:space="preserve"> </w:t>
            </w:r>
            <w:r w:rsidRPr="00C9125E">
              <w:rPr>
                <w:rFonts w:ascii="Times New Roman" w:eastAsia="標楷體" w:hAnsi="Times New Roman" w:cs="Times New Roman"/>
                <w:color w:val="000000" w:themeColor="text1"/>
                <w:kern w:val="0"/>
                <w:sz w:val="20"/>
                <w:szCs w:val="20"/>
              </w:rPr>
              <w:t>率</w:t>
            </w:r>
          </w:p>
        </w:tc>
        <w:tc>
          <w:tcPr>
            <w:tcW w:w="1424" w:type="dxa"/>
            <w:tcBorders>
              <w:top w:val="single" w:sz="4" w:space="0" w:color="000000"/>
              <w:left w:val="single" w:sz="4" w:space="0" w:color="000000"/>
              <w:bottom w:val="nil"/>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平均投資金額</w:t>
            </w:r>
          </w:p>
        </w:tc>
      </w:tr>
      <w:tr w:rsidR="00644C52" w:rsidRPr="00C9125E" w:rsidTr="00644C52">
        <w:trPr>
          <w:jc w:val="center"/>
        </w:trPr>
        <w:tc>
          <w:tcPr>
            <w:tcW w:w="1799" w:type="dxa"/>
            <w:vMerge/>
            <w:tcBorders>
              <w:top w:val="single" w:sz="4" w:space="0" w:color="000000"/>
              <w:left w:val="nil"/>
              <w:bottom w:val="single" w:sz="4" w:space="0" w:color="000000"/>
              <w:right w:val="nil"/>
            </w:tcBorders>
            <w:vAlign w:val="center"/>
            <w:hideMark/>
          </w:tcPr>
          <w:p w:rsidR="00644C52" w:rsidRPr="00C9125E" w:rsidRDefault="00644C52" w:rsidP="00644C52">
            <w:pPr>
              <w:widowControl/>
              <w:spacing w:line="0" w:lineRule="atLeast"/>
              <w:rPr>
                <w:rFonts w:ascii="Times New Roman" w:eastAsia="標楷體" w:hAnsi="Times New Roman" w:cs="Times New Roman"/>
                <w:color w:val="000000" w:themeColor="text1"/>
                <w:kern w:val="0"/>
                <w:sz w:val="20"/>
                <w:szCs w:val="20"/>
              </w:rPr>
            </w:pPr>
          </w:p>
        </w:tc>
        <w:tc>
          <w:tcPr>
            <w:tcW w:w="1416" w:type="dxa"/>
            <w:tcBorders>
              <w:top w:val="nil"/>
              <w:left w:val="single" w:sz="4" w:space="0" w:color="000000"/>
              <w:bottom w:val="single" w:sz="4" w:space="0" w:color="000000"/>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（百萬美元）</w:t>
            </w:r>
          </w:p>
        </w:tc>
        <w:tc>
          <w:tcPr>
            <w:tcW w:w="1265" w:type="dxa"/>
            <w:tcBorders>
              <w:top w:val="nil"/>
              <w:left w:val="single" w:sz="4" w:space="0" w:color="000000"/>
              <w:bottom w:val="single" w:sz="4" w:space="0" w:color="000000"/>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w:t>
            </w:r>
            <w:r w:rsidRPr="00C9125E">
              <w:rPr>
                <w:rFonts w:ascii="Times New Roman" w:eastAsia="標楷體" w:hAnsi="Times New Roman" w:cs="Times New Roman"/>
                <w:color w:val="000000" w:themeColor="text1"/>
                <w:kern w:val="0"/>
                <w:sz w:val="20"/>
                <w:szCs w:val="20"/>
              </w:rPr>
              <w:t>%</w:t>
            </w:r>
            <w:r w:rsidRPr="00C9125E">
              <w:rPr>
                <w:rFonts w:ascii="Times New Roman" w:eastAsia="標楷體" w:hAnsi="Times New Roman" w:cs="Times New Roman"/>
                <w:color w:val="000000" w:themeColor="text1"/>
                <w:kern w:val="0"/>
                <w:sz w:val="20"/>
                <w:szCs w:val="20"/>
              </w:rPr>
              <w:t>）</w:t>
            </w:r>
          </w:p>
        </w:tc>
        <w:tc>
          <w:tcPr>
            <w:tcW w:w="1440" w:type="dxa"/>
            <w:tcBorders>
              <w:top w:val="nil"/>
              <w:left w:val="single" w:sz="4" w:space="0" w:color="000000"/>
              <w:bottom w:val="single" w:sz="4" w:space="0" w:color="000000"/>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（件）</w:t>
            </w:r>
          </w:p>
        </w:tc>
        <w:tc>
          <w:tcPr>
            <w:tcW w:w="1440" w:type="dxa"/>
            <w:tcBorders>
              <w:top w:val="nil"/>
              <w:left w:val="single" w:sz="4" w:space="0" w:color="000000"/>
              <w:bottom w:val="single" w:sz="4" w:space="0" w:color="000000"/>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w:t>
            </w:r>
            <w:r w:rsidRPr="00C9125E">
              <w:rPr>
                <w:rFonts w:ascii="Times New Roman" w:eastAsia="標楷體" w:hAnsi="Times New Roman" w:cs="Times New Roman"/>
                <w:color w:val="000000" w:themeColor="text1"/>
                <w:kern w:val="0"/>
                <w:sz w:val="20"/>
                <w:szCs w:val="20"/>
              </w:rPr>
              <w:t>%</w:t>
            </w:r>
            <w:r w:rsidRPr="00C9125E">
              <w:rPr>
                <w:rFonts w:ascii="Times New Roman" w:eastAsia="標楷體" w:hAnsi="Times New Roman" w:cs="Times New Roman"/>
                <w:color w:val="000000" w:themeColor="text1"/>
                <w:kern w:val="0"/>
                <w:sz w:val="20"/>
                <w:szCs w:val="20"/>
              </w:rPr>
              <w:t>）</w:t>
            </w:r>
          </w:p>
        </w:tc>
        <w:tc>
          <w:tcPr>
            <w:tcW w:w="1424" w:type="dxa"/>
            <w:tcBorders>
              <w:top w:val="nil"/>
              <w:left w:val="single" w:sz="4" w:space="0" w:color="000000"/>
              <w:bottom w:val="single" w:sz="4" w:space="0" w:color="000000"/>
              <w:right w:val="nil"/>
            </w:tcBorders>
            <w:vAlign w:val="center"/>
            <w:hideMark/>
          </w:tcPr>
          <w:p w:rsidR="00644C52" w:rsidRPr="00C9125E" w:rsidRDefault="00644C52" w:rsidP="00644C52">
            <w:pPr>
              <w:widowControl/>
              <w:autoSpaceDE w:val="0"/>
              <w:snapToGrid w:val="0"/>
              <w:spacing w:line="0" w:lineRule="atLeas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（仟美元）</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1991</w:t>
            </w:r>
            <w:r w:rsidRPr="00C9125E">
              <w:rPr>
                <w:rFonts w:ascii="Times New Roman" w:eastAsia="標楷體" w:hAnsi="Times New Roman" w:cs="Times New Roman"/>
                <w:color w:val="000000" w:themeColor="text1"/>
                <w:kern w:val="0"/>
                <w:sz w:val="22"/>
              </w:rPr>
              <w:t>～</w:t>
            </w:r>
            <w:r w:rsidRPr="00C9125E">
              <w:rPr>
                <w:rFonts w:ascii="Times New Roman" w:eastAsia="標楷體" w:hAnsi="Times New Roman" w:cs="Times New Roman"/>
                <w:color w:val="000000" w:themeColor="text1"/>
                <w:kern w:val="0"/>
                <w:sz w:val="22"/>
              </w:rPr>
              <w:t>2000</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11,839.3</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58.8</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6,267</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46.7</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1,889.1</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2001~2005</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24,185.5</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20.5</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7,814</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12.8</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3,029.9</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2006~2010</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45,774.8</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24.0</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3,335</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-3.3</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13,725.6</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2011</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13,100.8</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7.12</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575</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11.0</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22,784.1</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2012</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10,924.4</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-16.6</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454</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-21.0</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24,062</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2013</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2014</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2015</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1</w:t>
            </w:r>
            <w:r w:rsidRPr="00C9125E">
              <w:rPr>
                <w:rFonts w:ascii="Times New Roman" w:eastAsia="標楷體" w:hAnsi="Times New Roman" w:cs="Times New Roman"/>
                <w:color w:val="000000" w:themeColor="text1"/>
                <w:kern w:val="0"/>
                <w:sz w:val="22"/>
              </w:rPr>
              <w:t>季</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2</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8,684.9</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9,829.8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10,398.2</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2,325.7</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2,309.4</w:t>
            </w:r>
          </w:p>
        </w:tc>
        <w:tc>
          <w:tcPr>
            <w:tcW w:w="1265"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-20.5</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13.2</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-17.6</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440</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388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321</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74</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80</w:t>
            </w:r>
          </w:p>
        </w:tc>
        <w:tc>
          <w:tcPr>
            <w:tcW w:w="1440"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-3.1</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-17.3</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-11.9</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-32.8</w:t>
            </w:r>
          </w:p>
        </w:tc>
        <w:tc>
          <w:tcPr>
            <w:tcW w:w="1424" w:type="dxa"/>
            <w:tcBorders>
              <w:top w:val="nil"/>
              <w:left w:val="single" w:sz="4" w:space="0" w:color="000000"/>
              <w:bottom w:val="nil"/>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19,738.4</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25,334.5</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32,393.2</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31,428.9</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28,868.0</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2014</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2015</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9,829.8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13.2</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388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-11.8</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25,334.5</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2015</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10,398.2</w:t>
            </w:r>
          </w:p>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5.8</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321</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-17.3</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32,393.2</w:t>
            </w:r>
          </w:p>
        </w:tc>
      </w:tr>
      <w:tr w:rsidR="00644C52" w:rsidRPr="00C9125E" w:rsidTr="00644C52">
        <w:trPr>
          <w:trHeight w:hRule="exact" w:val="340"/>
          <w:jc w:val="center"/>
        </w:trPr>
        <w:tc>
          <w:tcPr>
            <w:tcW w:w="1799" w:type="dxa"/>
            <w:hideMark/>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2016</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9,670.7</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-12.0</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323</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-22.0</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29,940.3</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2017</w:t>
            </w:r>
            <w:r w:rsidRPr="00C9125E">
              <w:rPr>
                <w:rFonts w:ascii="Times New Roman" w:eastAsia="標楷體" w:hAnsi="Times New Roman" w:cs="Times New Roman"/>
                <w:color w:val="000000" w:themeColor="text1"/>
                <w:kern w:val="0"/>
                <w:sz w:val="22"/>
              </w:rPr>
              <w:t>年</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9,248.9</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-4.4</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580</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79.6</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15,946.3</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1</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2,095.4</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-21.0</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157</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96.3</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13,346.3</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2</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1,864.8</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11.1</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149</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88.6</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12,515.7</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3</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1,546.1</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-50.3</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142</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94.5</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10,888.0</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4</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2,349.4</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5.3</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132</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45.1</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17,798.1</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2018</w:t>
            </w:r>
            <w:r w:rsidRPr="00C9125E">
              <w:rPr>
                <w:rFonts w:ascii="Times New Roman" w:eastAsia="標楷體" w:hAnsi="Times New Roman" w:cs="Times New Roman"/>
                <w:color w:val="000000" w:themeColor="text1"/>
                <w:kern w:val="0"/>
                <w:sz w:val="22"/>
              </w:rPr>
              <w:t>年</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8,497.7</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-8.1</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726</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25.2</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11,704.9</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1</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1,272.2</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-35.6</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156</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17.3</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8,154.8</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2</w:t>
            </w:r>
            <w:r w:rsidRPr="00C9125E">
              <w:rPr>
                <w:rFonts w:ascii="Times New Roman" w:eastAsia="標楷體" w:hAnsi="Times New Roman" w:cs="Times New Roman"/>
                <w:color w:val="000000" w:themeColor="text1"/>
                <w:kern w:val="0"/>
                <w:sz w:val="22"/>
              </w:rPr>
              <w:t>季</w:t>
            </w:r>
          </w:p>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2,971.5</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34.2</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160</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28.0</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18,571.9</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3</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2,302.4</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21.0</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185</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49.2</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12,445.7</w:t>
            </w:r>
          </w:p>
        </w:tc>
      </w:tr>
      <w:tr w:rsidR="00644C52" w:rsidRPr="00C9125E" w:rsidTr="00644C52">
        <w:trPr>
          <w:trHeight w:hRule="exact" w:val="340"/>
          <w:jc w:val="center"/>
        </w:trPr>
        <w:tc>
          <w:tcPr>
            <w:tcW w:w="1799" w:type="dxa"/>
          </w:tcPr>
          <w:p w:rsidR="00644C52" w:rsidRPr="00C9125E" w:rsidRDefault="00644C52" w:rsidP="00644C52">
            <w:pPr>
              <w:widowControl/>
              <w:autoSpaceDE w:val="0"/>
              <w:snapToGrid w:val="0"/>
              <w:spacing w:before="50" w:line="0" w:lineRule="atLeast"/>
              <w:ind w:left="-108" w:right="-108"/>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第</w:t>
            </w:r>
            <w:r w:rsidRPr="00C9125E">
              <w:rPr>
                <w:rFonts w:ascii="Times New Roman" w:eastAsia="標楷體" w:hAnsi="Times New Roman" w:cs="Times New Roman"/>
                <w:color w:val="000000" w:themeColor="text1"/>
                <w:kern w:val="0"/>
                <w:sz w:val="22"/>
              </w:rPr>
              <w:t>4</w:t>
            </w:r>
            <w:r w:rsidRPr="00C9125E">
              <w:rPr>
                <w:rFonts w:ascii="Times New Roman" w:eastAsia="標楷體" w:hAnsi="Times New Roman" w:cs="Times New Roman"/>
                <w:color w:val="000000" w:themeColor="text1"/>
                <w:kern w:val="0"/>
                <w:sz w:val="22"/>
              </w:rPr>
              <w:t>季</w:t>
            </w:r>
          </w:p>
        </w:tc>
        <w:tc>
          <w:tcPr>
            <w:tcW w:w="1416"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1,951.6</w:t>
            </w:r>
          </w:p>
        </w:tc>
        <w:tc>
          <w:tcPr>
            <w:tcW w:w="1265"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-26.3</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225</w:t>
            </w:r>
          </w:p>
        </w:tc>
        <w:tc>
          <w:tcPr>
            <w:tcW w:w="1440"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120.6</w:t>
            </w:r>
          </w:p>
        </w:tc>
        <w:tc>
          <w:tcPr>
            <w:tcW w:w="1424" w:type="dxa"/>
            <w:tcBorders>
              <w:top w:val="nil"/>
              <w:left w:val="single" w:sz="4" w:space="0" w:color="000000"/>
              <w:bottom w:val="nil"/>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8,673.9</w:t>
            </w:r>
          </w:p>
        </w:tc>
      </w:tr>
      <w:tr w:rsidR="00644C52" w:rsidRPr="00C9125E" w:rsidTr="00644C52">
        <w:trPr>
          <w:jc w:val="center"/>
        </w:trPr>
        <w:tc>
          <w:tcPr>
            <w:tcW w:w="1799" w:type="dxa"/>
            <w:tcBorders>
              <w:top w:val="single" w:sz="4" w:space="0" w:color="auto"/>
              <w:left w:val="nil"/>
              <w:bottom w:val="single" w:sz="4" w:space="0" w:color="auto"/>
              <w:right w:val="nil"/>
            </w:tcBorders>
            <w:hideMark/>
          </w:tcPr>
          <w:p w:rsidR="00644C52" w:rsidRPr="00C9125E" w:rsidRDefault="00644C52" w:rsidP="00644C52">
            <w:pPr>
              <w:widowControl/>
              <w:autoSpaceDE w:val="0"/>
              <w:snapToGrid w:val="0"/>
              <w:spacing w:before="50" w:line="0" w:lineRule="atLeast"/>
              <w:jc w:val="center"/>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合</w:t>
            </w:r>
            <w:r w:rsidRPr="00C9125E">
              <w:rPr>
                <w:rFonts w:ascii="Times New Roman" w:eastAsia="標楷體" w:hAnsi="Times New Roman" w:cs="Times New Roman"/>
                <w:color w:val="000000" w:themeColor="text1"/>
                <w:kern w:val="0"/>
                <w:sz w:val="22"/>
              </w:rPr>
              <w:t xml:space="preserve">    </w:t>
            </w:r>
            <w:r w:rsidRPr="00C9125E">
              <w:rPr>
                <w:rFonts w:ascii="Times New Roman" w:eastAsia="標楷體" w:hAnsi="Times New Roman" w:cs="Times New Roman"/>
                <w:color w:val="000000" w:themeColor="text1"/>
                <w:kern w:val="0"/>
                <w:sz w:val="22"/>
              </w:rPr>
              <w:t>計</w:t>
            </w:r>
          </w:p>
        </w:tc>
        <w:tc>
          <w:tcPr>
            <w:tcW w:w="1416" w:type="dxa"/>
            <w:tcBorders>
              <w:top w:val="single" w:sz="4" w:space="0" w:color="auto"/>
              <w:left w:val="single" w:sz="4" w:space="0" w:color="000000"/>
              <w:bottom w:val="single" w:sz="4" w:space="0" w:color="auto"/>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182,339.1</w:t>
            </w:r>
          </w:p>
        </w:tc>
        <w:tc>
          <w:tcPr>
            <w:tcW w:w="1265" w:type="dxa"/>
            <w:tcBorders>
              <w:top w:val="single" w:sz="4" w:space="0" w:color="auto"/>
              <w:left w:val="single" w:sz="4" w:space="0" w:color="000000"/>
              <w:bottom w:val="single" w:sz="4" w:space="0" w:color="auto"/>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440" w:type="dxa"/>
            <w:tcBorders>
              <w:top w:val="single" w:sz="4" w:space="0" w:color="auto"/>
              <w:left w:val="single" w:sz="4" w:space="0" w:color="000000"/>
              <w:bottom w:val="single" w:sz="4" w:space="0" w:color="auto"/>
              <w:right w:val="nil"/>
            </w:tcBorders>
            <w:vAlign w:val="center"/>
            <w:hideMark/>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r w:rsidRPr="00C9125E">
              <w:rPr>
                <w:rFonts w:ascii="Times New Roman" w:eastAsia="標楷體" w:hAnsi="Times New Roman" w:cs="Times New Roman"/>
                <w:color w:val="000000" w:themeColor="text1"/>
                <w:kern w:val="0"/>
                <w:sz w:val="22"/>
              </w:rPr>
              <w:t>43,315</w:t>
            </w:r>
          </w:p>
        </w:tc>
        <w:tc>
          <w:tcPr>
            <w:tcW w:w="1440" w:type="dxa"/>
            <w:tcBorders>
              <w:top w:val="single" w:sz="4" w:space="0" w:color="auto"/>
              <w:left w:val="single" w:sz="4" w:space="0" w:color="000000"/>
              <w:bottom w:val="single" w:sz="4" w:space="0" w:color="auto"/>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c>
          <w:tcPr>
            <w:tcW w:w="1424" w:type="dxa"/>
            <w:tcBorders>
              <w:top w:val="single" w:sz="4" w:space="0" w:color="auto"/>
              <w:left w:val="single" w:sz="4" w:space="0" w:color="000000"/>
              <w:bottom w:val="single" w:sz="4" w:space="0" w:color="auto"/>
              <w:right w:val="nil"/>
            </w:tcBorders>
            <w:vAlign w:val="center"/>
          </w:tcPr>
          <w:p w:rsidR="00644C52" w:rsidRPr="00C9125E" w:rsidRDefault="00644C52" w:rsidP="00644C52">
            <w:pPr>
              <w:widowControl/>
              <w:autoSpaceDE w:val="0"/>
              <w:snapToGrid w:val="0"/>
              <w:spacing w:before="50" w:line="0" w:lineRule="atLeast"/>
              <w:ind w:rightChars="10" w:right="24"/>
              <w:jc w:val="right"/>
              <w:rPr>
                <w:rFonts w:ascii="Times New Roman" w:eastAsia="標楷體" w:hAnsi="Times New Roman" w:cs="Times New Roman"/>
                <w:color w:val="000000" w:themeColor="text1"/>
                <w:kern w:val="0"/>
                <w:sz w:val="22"/>
              </w:rPr>
            </w:pPr>
          </w:p>
        </w:tc>
      </w:tr>
      <w:tr w:rsidR="00644C52" w:rsidRPr="00C9125E" w:rsidTr="00644C52">
        <w:trPr>
          <w:jc w:val="center"/>
        </w:trPr>
        <w:tc>
          <w:tcPr>
            <w:tcW w:w="8784" w:type="dxa"/>
            <w:gridSpan w:val="6"/>
            <w:tcBorders>
              <w:top w:val="single" w:sz="4" w:space="0" w:color="auto"/>
              <w:left w:val="nil"/>
              <w:bottom w:val="nil"/>
              <w:right w:val="nil"/>
            </w:tcBorders>
            <w:hideMark/>
          </w:tcPr>
          <w:p w:rsidR="00644C52" w:rsidRPr="00C9125E" w:rsidRDefault="00644C52" w:rsidP="00644C52">
            <w:pPr>
              <w:widowControl/>
              <w:autoSpaceDE w:val="0"/>
              <w:snapToGrid w:val="0"/>
              <w:spacing w:line="0" w:lineRule="atLeast"/>
              <w:ind w:left="841" w:hangingChars="467" w:hanging="841"/>
              <w:jc w:val="both"/>
              <w:rPr>
                <w:rFonts w:ascii="Times New Roman" w:eastAsia="標楷體" w:hAnsi="Times New Roman" w:cs="Times New Roman"/>
                <w:color w:val="000000" w:themeColor="text1"/>
                <w:kern w:val="0"/>
                <w:sz w:val="18"/>
                <w:szCs w:val="18"/>
              </w:rPr>
            </w:pPr>
            <w:r w:rsidRPr="00C9125E">
              <w:rPr>
                <w:rFonts w:ascii="Times New Roman" w:eastAsia="標楷體" w:hAnsi="Times New Roman" w:cs="Times New Roman"/>
                <w:color w:val="000000" w:themeColor="text1"/>
                <w:kern w:val="0"/>
                <w:sz w:val="18"/>
                <w:szCs w:val="18"/>
              </w:rPr>
              <w:t>資料來源：中華民國華僑及外國人投資、對外投資、對外技術合作、對大陸間接投資、大陸產業技術引進統計</w:t>
            </w:r>
          </w:p>
          <w:p w:rsidR="00644C52" w:rsidRPr="00C9125E" w:rsidRDefault="00644C52" w:rsidP="00644C52">
            <w:pPr>
              <w:widowControl/>
              <w:autoSpaceDE w:val="0"/>
              <w:snapToGrid w:val="0"/>
              <w:spacing w:line="0" w:lineRule="atLeast"/>
              <w:ind w:leftChars="380" w:left="912"/>
              <w:jc w:val="both"/>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18"/>
                <w:szCs w:val="18"/>
              </w:rPr>
              <w:t>速報，經濟部投資審議委員會</w:t>
            </w:r>
            <w:r w:rsidRPr="00C9125E">
              <w:rPr>
                <w:rFonts w:ascii="Times New Roman" w:eastAsia="標楷體" w:hAnsi="Times New Roman" w:cs="Times New Roman"/>
                <w:color w:val="000000" w:themeColor="text1"/>
                <w:kern w:val="0"/>
                <w:sz w:val="20"/>
                <w:szCs w:val="20"/>
              </w:rPr>
              <w:t>、本會自行計算</w:t>
            </w:r>
            <w:r w:rsidRPr="00C9125E">
              <w:rPr>
                <w:rFonts w:ascii="Times New Roman" w:eastAsia="標楷體" w:hAnsi="Times New Roman" w:cs="Times New Roman"/>
                <w:color w:val="000000" w:themeColor="text1"/>
                <w:kern w:val="0"/>
                <w:sz w:val="18"/>
                <w:szCs w:val="18"/>
              </w:rPr>
              <w:t>。</w:t>
            </w:r>
          </w:p>
        </w:tc>
      </w:tr>
    </w:tbl>
    <w:p w:rsidR="00117222" w:rsidRDefault="00117222" w:rsidP="00644C52">
      <w:pPr>
        <w:tabs>
          <w:tab w:val="left" w:pos="567"/>
        </w:tabs>
        <w:spacing w:beforeLines="30" w:before="72" w:line="480" w:lineRule="exact"/>
        <w:ind w:leftChars="279" w:left="670" w:firstLineChars="202" w:firstLine="566"/>
        <w:jc w:val="both"/>
        <w:rPr>
          <w:rFonts w:eastAsia="標楷體"/>
          <w:color w:val="000000" w:themeColor="text1"/>
          <w:sz w:val="28"/>
          <w:szCs w:val="28"/>
        </w:rPr>
      </w:pPr>
    </w:p>
    <w:p w:rsidR="00C9125E" w:rsidRDefault="00C9125E" w:rsidP="00644C52">
      <w:pPr>
        <w:tabs>
          <w:tab w:val="left" w:pos="567"/>
        </w:tabs>
        <w:spacing w:beforeLines="30" w:before="72" w:line="480" w:lineRule="exact"/>
        <w:ind w:leftChars="279" w:left="670" w:firstLineChars="202" w:firstLine="566"/>
        <w:jc w:val="both"/>
        <w:rPr>
          <w:rFonts w:eastAsia="標楷體"/>
          <w:color w:val="000000" w:themeColor="text1"/>
          <w:sz w:val="28"/>
          <w:szCs w:val="28"/>
        </w:rPr>
      </w:pPr>
    </w:p>
    <w:p w:rsidR="00644C52" w:rsidRPr="00C9125E" w:rsidRDefault="00644C52" w:rsidP="00117222">
      <w:pPr>
        <w:tabs>
          <w:tab w:val="left" w:pos="567"/>
        </w:tabs>
        <w:spacing w:beforeLines="30" w:before="72" w:line="480" w:lineRule="exact"/>
        <w:ind w:leftChars="279" w:left="670" w:firstLineChars="202" w:firstLine="566"/>
        <w:jc w:val="both"/>
        <w:rPr>
          <w:rFonts w:ascii="Times New Roman" w:eastAsia="標楷體" w:hAnsi="Times New Roman" w:cs="Times New Roman"/>
          <w:color w:val="000000" w:themeColor="text1"/>
          <w:sz w:val="28"/>
          <w:szCs w:val="28"/>
        </w:rPr>
      </w:pPr>
      <w:r w:rsidRPr="00C9125E">
        <w:rPr>
          <w:rFonts w:ascii="Times New Roman" w:eastAsia="標楷體" w:hAnsi="Times New Roman" w:cs="Times New Roman"/>
          <w:color w:val="000000" w:themeColor="text1"/>
          <w:sz w:val="28"/>
          <w:szCs w:val="28"/>
        </w:rPr>
        <w:lastRenderedPageBreak/>
        <w:t>在投資業別方面，</w:t>
      </w:r>
      <w:r w:rsidRPr="00C9125E">
        <w:rPr>
          <w:rFonts w:ascii="Times New Roman" w:eastAsia="標楷體" w:hAnsi="Times New Roman" w:cs="Times New Roman"/>
          <w:color w:val="000000" w:themeColor="text1"/>
          <w:sz w:val="28"/>
          <w:szCs w:val="28"/>
        </w:rPr>
        <w:t>2018</w:t>
      </w:r>
      <w:r w:rsidRPr="00C9125E">
        <w:rPr>
          <w:rFonts w:ascii="Times New Roman" w:eastAsia="標楷體" w:hAnsi="Times New Roman" w:cs="Times New Roman"/>
          <w:color w:val="000000" w:themeColor="text1"/>
          <w:sz w:val="28"/>
          <w:szCs w:val="28"/>
        </w:rPr>
        <w:t>年我對中國大陸投資以電子零組件製造業比重最高達</w:t>
      </w:r>
      <w:r w:rsidRPr="00C9125E">
        <w:rPr>
          <w:rFonts w:ascii="Times New Roman" w:eastAsia="標楷體" w:hAnsi="Times New Roman" w:cs="Times New Roman"/>
          <w:color w:val="000000" w:themeColor="text1"/>
          <w:sz w:val="28"/>
          <w:szCs w:val="28"/>
        </w:rPr>
        <w:t>21.7%</w:t>
      </w:r>
      <w:r w:rsidRPr="00C9125E">
        <w:rPr>
          <w:rFonts w:ascii="Times New Roman" w:eastAsia="標楷體" w:hAnsi="Times New Roman" w:cs="Times New Roman"/>
          <w:color w:val="000000" w:themeColor="text1"/>
          <w:sz w:val="28"/>
          <w:szCs w:val="28"/>
        </w:rPr>
        <w:t>，</w:t>
      </w:r>
      <w:r w:rsidR="004F319E">
        <w:rPr>
          <w:rFonts w:ascii="Times New Roman" w:eastAsia="標楷體" w:hAnsi="Times New Roman" w:cs="Times New Roman" w:hint="eastAsia"/>
          <w:color w:val="000000" w:themeColor="text1"/>
          <w:sz w:val="28"/>
          <w:szCs w:val="28"/>
        </w:rPr>
        <w:t>金額</w:t>
      </w:r>
      <w:r w:rsidRPr="00C9125E">
        <w:rPr>
          <w:rFonts w:ascii="Times New Roman" w:eastAsia="標楷體" w:hAnsi="Times New Roman" w:cs="Times New Roman"/>
          <w:color w:val="000000" w:themeColor="text1"/>
          <w:sz w:val="28"/>
          <w:szCs w:val="28"/>
        </w:rPr>
        <w:t>較上年減少</w:t>
      </w:r>
      <w:r w:rsidRPr="00C9125E">
        <w:rPr>
          <w:rFonts w:ascii="Times New Roman" w:eastAsia="標楷體" w:hAnsi="Times New Roman" w:cs="Times New Roman"/>
          <w:color w:val="000000" w:themeColor="text1"/>
          <w:sz w:val="28"/>
          <w:szCs w:val="28"/>
        </w:rPr>
        <w:t>3.4%</w:t>
      </w:r>
      <w:r w:rsidRPr="00C9125E">
        <w:rPr>
          <w:rFonts w:ascii="Times New Roman" w:eastAsia="標楷體" w:hAnsi="Times New Roman" w:cs="Times New Roman"/>
          <w:color w:val="000000" w:themeColor="text1"/>
          <w:sz w:val="28"/>
          <w:szCs w:val="28"/>
        </w:rPr>
        <w:t>，其次為批發及零售</w:t>
      </w:r>
      <w:r w:rsidRPr="00C9125E">
        <w:rPr>
          <w:rFonts w:ascii="Times New Roman" w:eastAsia="標楷體" w:hAnsi="Times New Roman" w:cs="Times New Roman"/>
          <w:sz w:val="28"/>
          <w:szCs w:val="28"/>
        </w:rPr>
        <w:t>業、化學材料製造業，比重分別為</w:t>
      </w:r>
      <w:r w:rsidRPr="00C9125E">
        <w:rPr>
          <w:rFonts w:ascii="Times New Roman" w:eastAsia="標楷體" w:hAnsi="Times New Roman" w:cs="Times New Roman"/>
          <w:sz w:val="28"/>
          <w:szCs w:val="28"/>
        </w:rPr>
        <w:t>14.0%</w:t>
      </w:r>
      <w:r w:rsidRPr="00C9125E">
        <w:rPr>
          <w:rFonts w:ascii="Times New Roman" w:eastAsia="標楷體" w:hAnsi="Times New Roman" w:cs="Times New Roman"/>
          <w:sz w:val="28"/>
          <w:szCs w:val="28"/>
        </w:rPr>
        <w:t>、</w:t>
      </w:r>
      <w:r w:rsidRPr="00C9125E">
        <w:rPr>
          <w:rFonts w:ascii="Times New Roman" w:eastAsia="標楷體" w:hAnsi="Times New Roman" w:cs="Times New Roman"/>
          <w:sz w:val="28"/>
          <w:szCs w:val="28"/>
        </w:rPr>
        <w:t>9.4%</w:t>
      </w:r>
      <w:r w:rsidRPr="00C9125E">
        <w:rPr>
          <w:rFonts w:ascii="Times New Roman" w:eastAsia="標楷體" w:hAnsi="Times New Roman" w:cs="Times New Roman"/>
          <w:sz w:val="28"/>
          <w:szCs w:val="28"/>
        </w:rPr>
        <w:t>。</w:t>
      </w:r>
      <w:r w:rsidRPr="00C9125E">
        <w:rPr>
          <w:rFonts w:ascii="Times New Roman" w:eastAsia="標楷體" w:hAnsi="Times New Roman" w:cs="Times New Roman"/>
          <w:color w:val="000000" w:themeColor="text1"/>
          <w:sz w:val="28"/>
          <w:szCs w:val="28"/>
        </w:rPr>
        <w:t>對陸投資五大業別中，電子零組件製造業及電腦、電子產品及光學製品製造業出現負成長，應與美中貿易戰影響廠商布局中國大陸意願有關</w:t>
      </w:r>
      <w:r w:rsidR="00C9125E" w:rsidRPr="00C9125E">
        <w:rPr>
          <w:rFonts w:ascii="Times New Roman" w:eastAsia="標楷體" w:hAnsi="Times New Roman" w:cs="Times New Roman"/>
          <w:color w:val="000000" w:themeColor="text1"/>
          <w:sz w:val="28"/>
          <w:szCs w:val="28"/>
        </w:rPr>
        <w:t>（表</w:t>
      </w:r>
      <w:r w:rsidR="00C9125E" w:rsidRPr="00C9125E">
        <w:rPr>
          <w:rFonts w:ascii="Times New Roman" w:eastAsia="標楷體" w:hAnsi="Times New Roman" w:cs="Times New Roman"/>
          <w:color w:val="000000" w:themeColor="text1"/>
          <w:sz w:val="28"/>
          <w:szCs w:val="28"/>
        </w:rPr>
        <w:t>2-2</w:t>
      </w:r>
      <w:r w:rsidR="00C9125E" w:rsidRPr="00C9125E">
        <w:rPr>
          <w:rFonts w:ascii="Times New Roman" w:eastAsia="標楷體" w:hAnsi="Times New Roman" w:cs="Times New Roman"/>
          <w:color w:val="000000" w:themeColor="text1"/>
          <w:sz w:val="28"/>
          <w:szCs w:val="28"/>
        </w:rPr>
        <w:t>）</w:t>
      </w:r>
      <w:r w:rsidRPr="00C9125E">
        <w:rPr>
          <w:rFonts w:ascii="Times New Roman" w:eastAsia="標楷體" w:hAnsi="Times New Roman" w:cs="Times New Roman"/>
          <w:color w:val="000000" w:themeColor="text1"/>
          <w:sz w:val="28"/>
          <w:szCs w:val="28"/>
        </w:rPr>
        <w:t>。</w:t>
      </w:r>
    </w:p>
    <w:p w:rsidR="00644C52" w:rsidRPr="00C9125E" w:rsidRDefault="00644C52" w:rsidP="00644C52">
      <w:pPr>
        <w:tabs>
          <w:tab w:val="left" w:pos="567"/>
        </w:tabs>
        <w:spacing w:beforeLines="30" w:before="72" w:line="480" w:lineRule="exact"/>
        <w:ind w:leftChars="279" w:left="670" w:firstLineChars="202" w:firstLine="566"/>
        <w:jc w:val="both"/>
        <w:rPr>
          <w:rFonts w:ascii="Times New Roman" w:eastAsia="標楷體" w:hAnsi="Times New Roman" w:cs="Times New Roman"/>
          <w:b/>
          <w:color w:val="000000" w:themeColor="text1"/>
          <w:kern w:val="0"/>
          <w:sz w:val="28"/>
          <w:szCs w:val="32"/>
        </w:rPr>
      </w:pPr>
      <w:r w:rsidRPr="00C9125E">
        <w:rPr>
          <w:rFonts w:ascii="Times New Roman" w:eastAsia="標楷體" w:hAnsi="Times New Roman" w:cs="Times New Roman"/>
          <w:b/>
          <w:sz w:val="28"/>
          <w:szCs w:val="28"/>
        </w:rPr>
        <w:t>表</w:t>
      </w:r>
      <w:r w:rsidRPr="00C9125E">
        <w:rPr>
          <w:rFonts w:ascii="Times New Roman" w:eastAsia="標楷體" w:hAnsi="Times New Roman" w:cs="Times New Roman"/>
          <w:b/>
          <w:sz w:val="28"/>
          <w:szCs w:val="28"/>
        </w:rPr>
        <w:t>2-2</w:t>
      </w:r>
      <w:r w:rsidRPr="00C9125E">
        <w:rPr>
          <w:rFonts w:ascii="Times New Roman" w:eastAsia="標楷體" w:hAnsi="Times New Roman" w:cs="Times New Roman"/>
          <w:b/>
          <w:sz w:val="28"/>
          <w:szCs w:val="28"/>
        </w:rPr>
        <w:t xml:space="preserve">　</w:t>
      </w:r>
      <w:r w:rsidRPr="00C9125E">
        <w:rPr>
          <w:rFonts w:ascii="Times New Roman" w:eastAsia="標楷體" w:hAnsi="Times New Roman" w:cs="Times New Roman"/>
          <w:b/>
          <w:sz w:val="28"/>
          <w:szCs w:val="28"/>
        </w:rPr>
        <w:t>2018</w:t>
      </w:r>
      <w:r w:rsidRPr="00C9125E">
        <w:rPr>
          <w:rFonts w:ascii="Times New Roman" w:eastAsia="標楷體" w:hAnsi="Times New Roman" w:cs="Times New Roman"/>
          <w:b/>
          <w:sz w:val="28"/>
          <w:szCs w:val="28"/>
        </w:rPr>
        <w:t>年對中國大陸</w:t>
      </w:r>
      <w:r w:rsidRPr="00C9125E">
        <w:rPr>
          <w:rFonts w:ascii="Times New Roman" w:eastAsia="標楷體" w:hAnsi="Times New Roman" w:cs="Times New Roman"/>
          <w:b/>
          <w:color w:val="000000" w:themeColor="text1"/>
          <w:kern w:val="0"/>
          <w:sz w:val="28"/>
          <w:szCs w:val="32"/>
        </w:rPr>
        <w:t>投資前五大業別</w:t>
      </w:r>
    </w:p>
    <w:p w:rsidR="00644C52" w:rsidRPr="007F2D59" w:rsidRDefault="00644C52" w:rsidP="00644C52">
      <w:pPr>
        <w:widowControl/>
        <w:spacing w:line="240" w:lineRule="exact"/>
        <w:ind w:firstLineChars="2800" w:firstLine="5600"/>
        <w:rPr>
          <w:rFonts w:ascii="標楷體" w:eastAsia="標楷體" w:hAnsi="標楷體"/>
          <w:color w:val="000000" w:themeColor="text1"/>
          <w:kern w:val="0"/>
          <w:sz w:val="20"/>
          <w:szCs w:val="20"/>
        </w:rPr>
      </w:pPr>
      <w:r w:rsidRPr="007F2D59">
        <w:rPr>
          <w:rFonts w:ascii="標楷體" w:eastAsia="標楷體" w:hAnsi="標楷體" w:hint="eastAsia"/>
          <w:color w:val="000000" w:themeColor="text1"/>
          <w:kern w:val="0"/>
          <w:sz w:val="20"/>
          <w:szCs w:val="20"/>
        </w:rPr>
        <w:t xml:space="preserve">      單位：千美元；</w:t>
      </w:r>
      <w:r w:rsidRPr="007F2D59">
        <w:rPr>
          <w:rFonts w:eastAsia="標楷體" w:hint="eastAsia"/>
          <w:color w:val="000000" w:themeColor="text1"/>
          <w:kern w:val="0"/>
          <w:sz w:val="20"/>
          <w:szCs w:val="20"/>
        </w:rPr>
        <w:t>%</w:t>
      </w:r>
    </w:p>
    <w:tbl>
      <w:tblPr>
        <w:tblW w:w="8052"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64"/>
        <w:gridCol w:w="672"/>
        <w:gridCol w:w="1439"/>
        <w:gridCol w:w="1559"/>
        <w:gridCol w:w="1247"/>
        <w:gridCol w:w="1271"/>
      </w:tblGrid>
      <w:tr w:rsidR="00644C52" w:rsidRPr="00C9125E" w:rsidTr="00644C52">
        <w:trPr>
          <w:cantSplit/>
          <w:jc w:val="center"/>
        </w:trPr>
        <w:tc>
          <w:tcPr>
            <w:tcW w:w="1864" w:type="dxa"/>
            <w:vMerge w:val="restart"/>
            <w:tcBorders>
              <w:top w:val="single" w:sz="4" w:space="0" w:color="auto"/>
              <w:left w:val="nil"/>
              <w:bottom w:val="single" w:sz="4" w:space="0" w:color="auto"/>
              <w:right w:val="single" w:sz="4" w:space="0" w:color="auto"/>
            </w:tcBorders>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kern w:val="0"/>
                <w:sz w:val="20"/>
                <w:szCs w:val="20"/>
              </w:rPr>
            </w:pP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件數</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金額</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比重</w:t>
            </w:r>
            <w:r w:rsidRPr="00C9125E">
              <w:rPr>
                <w:rFonts w:ascii="Times New Roman" w:eastAsia="標楷體" w:hAnsi="Times New Roman" w:cs="Times New Roman"/>
                <w:color w:val="000000" w:themeColor="text1"/>
                <w:kern w:val="0"/>
                <w:sz w:val="20"/>
                <w:szCs w:val="20"/>
              </w:rPr>
              <w:t>(%)</w:t>
            </w:r>
          </w:p>
        </w:tc>
        <w:tc>
          <w:tcPr>
            <w:tcW w:w="2518" w:type="dxa"/>
            <w:gridSpan w:val="2"/>
            <w:tcBorders>
              <w:top w:val="single" w:sz="4" w:space="0" w:color="auto"/>
              <w:left w:val="single" w:sz="4" w:space="0" w:color="auto"/>
              <w:bottom w:val="single" w:sz="4" w:space="0" w:color="auto"/>
              <w:right w:val="nil"/>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與上年比較</w:t>
            </w:r>
          </w:p>
        </w:tc>
      </w:tr>
      <w:tr w:rsidR="00644C52" w:rsidRPr="00C9125E" w:rsidTr="00644C52">
        <w:trPr>
          <w:cantSplit/>
          <w:trHeight w:val="361"/>
          <w:jc w:val="center"/>
        </w:trPr>
        <w:tc>
          <w:tcPr>
            <w:tcW w:w="1864" w:type="dxa"/>
            <w:vMerge/>
            <w:tcBorders>
              <w:top w:val="single" w:sz="4" w:space="0" w:color="auto"/>
              <w:left w:val="nil"/>
              <w:bottom w:val="single" w:sz="4" w:space="0" w:color="auto"/>
              <w:right w:val="single" w:sz="4" w:space="0" w:color="auto"/>
            </w:tcBorders>
            <w:vAlign w:val="center"/>
            <w:hideMark/>
          </w:tcPr>
          <w:p w:rsidR="00644C52" w:rsidRPr="00C9125E" w:rsidRDefault="00644C52" w:rsidP="00644C52">
            <w:pPr>
              <w:widowControl/>
              <w:adjustRightInd w:val="0"/>
              <w:snapToGrid w:val="0"/>
              <w:spacing w:line="260" w:lineRule="exact"/>
              <w:rPr>
                <w:rFonts w:ascii="Times New Roman" w:eastAsia="標楷體" w:hAnsi="Times New Roman" w:cs="Times New Roman"/>
                <w:color w:val="000000" w:themeColor="text1"/>
                <w:kern w:val="0"/>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widowControl/>
              <w:adjustRightInd w:val="0"/>
              <w:snapToGrid w:val="0"/>
              <w:spacing w:line="260" w:lineRule="exact"/>
              <w:rPr>
                <w:rFonts w:ascii="Times New Roman" w:eastAsia="標楷體" w:hAnsi="Times New Roman" w:cs="Times New Roman"/>
                <w:color w:val="000000" w:themeColor="text1"/>
                <w:kern w:val="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widowControl/>
              <w:adjustRightInd w:val="0"/>
              <w:snapToGrid w:val="0"/>
              <w:spacing w:line="260" w:lineRule="exact"/>
              <w:rPr>
                <w:rFonts w:ascii="Times New Roman" w:eastAsia="標楷體" w:hAnsi="Times New Roman" w:cs="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widowControl/>
              <w:adjustRightInd w:val="0"/>
              <w:snapToGrid w:val="0"/>
              <w:spacing w:line="260" w:lineRule="exact"/>
              <w:rPr>
                <w:rFonts w:ascii="Times New Roman" w:eastAsia="標楷體" w:hAnsi="Times New Roman" w:cs="Times New Roman"/>
                <w:color w:val="000000" w:themeColor="text1"/>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金額</w:t>
            </w:r>
          </w:p>
        </w:tc>
        <w:tc>
          <w:tcPr>
            <w:tcW w:w="1271" w:type="dxa"/>
            <w:tcBorders>
              <w:top w:val="single" w:sz="4" w:space="0" w:color="auto"/>
              <w:left w:val="single" w:sz="4" w:space="0" w:color="auto"/>
              <w:bottom w:val="single" w:sz="4" w:space="0" w:color="auto"/>
              <w:right w:val="nil"/>
            </w:tcBorders>
            <w:vAlign w:val="center"/>
            <w:hideMark/>
          </w:tcPr>
          <w:p w:rsidR="00644C52" w:rsidRPr="00C9125E" w:rsidRDefault="00644C52" w:rsidP="00644C52">
            <w:pPr>
              <w:adjustRightInd w:val="0"/>
              <w:snapToGrid w:val="0"/>
              <w:spacing w:line="260" w:lineRule="exact"/>
              <w:jc w:val="center"/>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年增率</w:t>
            </w:r>
          </w:p>
        </w:tc>
      </w:tr>
      <w:tr w:rsidR="00644C52" w:rsidRPr="00C9125E" w:rsidTr="00644C52">
        <w:trPr>
          <w:trHeight w:val="663"/>
          <w:jc w:val="center"/>
        </w:trPr>
        <w:tc>
          <w:tcPr>
            <w:tcW w:w="1864" w:type="dxa"/>
            <w:tcBorders>
              <w:top w:val="single" w:sz="4" w:space="0" w:color="auto"/>
              <w:left w:val="nil"/>
              <w:bottom w:val="nil"/>
              <w:right w:val="single" w:sz="4" w:space="0" w:color="auto"/>
            </w:tcBorders>
            <w:vAlign w:val="center"/>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電子零組件製造業</w:t>
            </w:r>
          </w:p>
        </w:tc>
        <w:tc>
          <w:tcPr>
            <w:tcW w:w="672" w:type="dxa"/>
            <w:tcBorders>
              <w:top w:val="single" w:sz="4" w:space="0" w:color="auto"/>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56</w:t>
            </w:r>
          </w:p>
        </w:tc>
        <w:tc>
          <w:tcPr>
            <w:tcW w:w="1439" w:type="dxa"/>
            <w:tcBorders>
              <w:top w:val="single" w:sz="4" w:space="0" w:color="auto"/>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1,846,135</w:t>
            </w:r>
          </w:p>
        </w:tc>
        <w:tc>
          <w:tcPr>
            <w:tcW w:w="1559" w:type="dxa"/>
            <w:tcBorders>
              <w:top w:val="single" w:sz="4" w:space="0" w:color="auto"/>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21.7</w:t>
            </w:r>
          </w:p>
        </w:tc>
        <w:tc>
          <w:tcPr>
            <w:tcW w:w="1247" w:type="dxa"/>
            <w:tcBorders>
              <w:top w:val="single" w:sz="4" w:space="0" w:color="auto"/>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-64,183</w:t>
            </w:r>
          </w:p>
        </w:tc>
        <w:tc>
          <w:tcPr>
            <w:tcW w:w="1271" w:type="dxa"/>
            <w:tcBorders>
              <w:top w:val="single" w:sz="4" w:space="0" w:color="auto"/>
              <w:left w:val="single" w:sz="4" w:space="0" w:color="auto"/>
              <w:bottom w:val="nil"/>
              <w:right w:val="nil"/>
            </w:tcBorders>
            <w:vAlign w:val="center"/>
          </w:tcPr>
          <w:p w:rsidR="00644C52" w:rsidRPr="00C9125E" w:rsidRDefault="00C9125E"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w:t>
            </w:r>
            <w:r w:rsidR="00644C52" w:rsidRPr="00C9125E">
              <w:rPr>
                <w:rFonts w:ascii="Times New Roman" w:eastAsia="標楷體" w:hAnsi="Times New Roman" w:cs="Times New Roman"/>
                <w:color w:val="000000" w:themeColor="text1"/>
                <w:sz w:val="22"/>
              </w:rPr>
              <w:t>3.4</w:t>
            </w:r>
          </w:p>
        </w:tc>
      </w:tr>
      <w:tr w:rsidR="00644C52" w:rsidRPr="00C9125E" w:rsidTr="00644C52">
        <w:trPr>
          <w:trHeight w:val="663"/>
          <w:jc w:val="center"/>
        </w:trPr>
        <w:tc>
          <w:tcPr>
            <w:tcW w:w="1864" w:type="dxa"/>
            <w:tcBorders>
              <w:top w:val="nil"/>
              <w:left w:val="nil"/>
              <w:bottom w:val="nil"/>
              <w:right w:val="single" w:sz="4" w:space="0" w:color="auto"/>
            </w:tcBorders>
            <w:vAlign w:val="center"/>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批發及零售業</w:t>
            </w:r>
          </w:p>
        </w:tc>
        <w:tc>
          <w:tcPr>
            <w:tcW w:w="672"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209</w:t>
            </w:r>
          </w:p>
        </w:tc>
        <w:tc>
          <w:tcPr>
            <w:tcW w:w="143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1,188,919</w:t>
            </w:r>
          </w:p>
        </w:tc>
        <w:tc>
          <w:tcPr>
            <w:tcW w:w="155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14.0</w:t>
            </w:r>
          </w:p>
        </w:tc>
        <w:tc>
          <w:tcPr>
            <w:tcW w:w="1247"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129,052</w:t>
            </w:r>
          </w:p>
        </w:tc>
        <w:tc>
          <w:tcPr>
            <w:tcW w:w="1271" w:type="dxa"/>
            <w:tcBorders>
              <w:top w:val="nil"/>
              <w:left w:val="single" w:sz="4" w:space="0" w:color="auto"/>
              <w:bottom w:val="nil"/>
              <w:right w:val="nil"/>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12.2</w:t>
            </w:r>
          </w:p>
        </w:tc>
      </w:tr>
      <w:tr w:rsidR="00644C52" w:rsidRPr="00C9125E" w:rsidTr="00644C52">
        <w:trPr>
          <w:trHeight w:val="663"/>
          <w:jc w:val="center"/>
        </w:trPr>
        <w:tc>
          <w:tcPr>
            <w:tcW w:w="1864" w:type="dxa"/>
            <w:tcBorders>
              <w:top w:val="nil"/>
              <w:left w:val="nil"/>
              <w:bottom w:val="nil"/>
              <w:right w:val="single" w:sz="4" w:space="0" w:color="auto"/>
            </w:tcBorders>
            <w:vAlign w:val="center"/>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化學材料製造業</w:t>
            </w:r>
          </w:p>
        </w:tc>
        <w:tc>
          <w:tcPr>
            <w:tcW w:w="672"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11</w:t>
            </w:r>
          </w:p>
        </w:tc>
        <w:tc>
          <w:tcPr>
            <w:tcW w:w="143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794,503</w:t>
            </w:r>
          </w:p>
        </w:tc>
        <w:tc>
          <w:tcPr>
            <w:tcW w:w="155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9.4</w:t>
            </w:r>
          </w:p>
        </w:tc>
        <w:tc>
          <w:tcPr>
            <w:tcW w:w="1247"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347,753</w:t>
            </w:r>
          </w:p>
        </w:tc>
        <w:tc>
          <w:tcPr>
            <w:tcW w:w="1271" w:type="dxa"/>
            <w:tcBorders>
              <w:top w:val="nil"/>
              <w:left w:val="single" w:sz="4" w:space="0" w:color="auto"/>
              <w:bottom w:val="nil"/>
              <w:right w:val="nil"/>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77.8</w:t>
            </w:r>
          </w:p>
        </w:tc>
      </w:tr>
      <w:tr w:rsidR="00644C52" w:rsidRPr="00C9125E" w:rsidTr="00644C52">
        <w:trPr>
          <w:trHeight w:val="663"/>
          <w:jc w:val="center"/>
        </w:trPr>
        <w:tc>
          <w:tcPr>
            <w:tcW w:w="1864" w:type="dxa"/>
            <w:tcBorders>
              <w:top w:val="nil"/>
              <w:left w:val="nil"/>
              <w:bottom w:val="nil"/>
              <w:right w:val="single" w:sz="4" w:space="0" w:color="auto"/>
            </w:tcBorders>
            <w:vAlign w:val="center"/>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電腦、電子產品及光學製品製造業</w:t>
            </w:r>
          </w:p>
        </w:tc>
        <w:tc>
          <w:tcPr>
            <w:tcW w:w="672"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23</w:t>
            </w:r>
          </w:p>
        </w:tc>
        <w:tc>
          <w:tcPr>
            <w:tcW w:w="143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763,804</w:t>
            </w:r>
          </w:p>
        </w:tc>
        <w:tc>
          <w:tcPr>
            <w:tcW w:w="1559"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9.0</w:t>
            </w:r>
          </w:p>
        </w:tc>
        <w:tc>
          <w:tcPr>
            <w:tcW w:w="1247" w:type="dxa"/>
            <w:tcBorders>
              <w:top w:val="nil"/>
              <w:left w:val="single" w:sz="4" w:space="0" w:color="auto"/>
              <w:bottom w:val="nil"/>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-306,332</w:t>
            </w:r>
          </w:p>
        </w:tc>
        <w:tc>
          <w:tcPr>
            <w:tcW w:w="1271" w:type="dxa"/>
            <w:tcBorders>
              <w:top w:val="nil"/>
              <w:left w:val="single" w:sz="4" w:space="0" w:color="auto"/>
              <w:bottom w:val="nil"/>
              <w:right w:val="nil"/>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-28.6</w:t>
            </w:r>
          </w:p>
        </w:tc>
      </w:tr>
      <w:tr w:rsidR="00644C52" w:rsidRPr="00C9125E" w:rsidTr="00644C52">
        <w:trPr>
          <w:trHeight w:val="663"/>
          <w:jc w:val="center"/>
        </w:trPr>
        <w:tc>
          <w:tcPr>
            <w:tcW w:w="1864" w:type="dxa"/>
            <w:tcBorders>
              <w:top w:val="nil"/>
              <w:left w:val="nil"/>
              <w:bottom w:val="single" w:sz="4" w:space="0" w:color="auto"/>
              <w:right w:val="single" w:sz="4" w:space="0" w:color="auto"/>
            </w:tcBorders>
            <w:vAlign w:val="center"/>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基本金屬製造業</w:t>
            </w:r>
          </w:p>
        </w:tc>
        <w:tc>
          <w:tcPr>
            <w:tcW w:w="672" w:type="dxa"/>
            <w:tcBorders>
              <w:top w:val="nil"/>
              <w:left w:val="single" w:sz="4" w:space="0" w:color="auto"/>
              <w:bottom w:val="single" w:sz="4" w:space="0" w:color="auto"/>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18</w:t>
            </w:r>
          </w:p>
        </w:tc>
        <w:tc>
          <w:tcPr>
            <w:tcW w:w="1439" w:type="dxa"/>
            <w:tcBorders>
              <w:top w:val="nil"/>
              <w:left w:val="single" w:sz="4" w:space="0" w:color="auto"/>
              <w:bottom w:val="single" w:sz="4" w:space="0" w:color="auto"/>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677,632</w:t>
            </w:r>
          </w:p>
        </w:tc>
        <w:tc>
          <w:tcPr>
            <w:tcW w:w="1559" w:type="dxa"/>
            <w:tcBorders>
              <w:top w:val="nil"/>
              <w:left w:val="single" w:sz="4" w:space="0" w:color="auto"/>
              <w:bottom w:val="single" w:sz="4" w:space="0" w:color="auto"/>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8.0</w:t>
            </w:r>
          </w:p>
        </w:tc>
        <w:tc>
          <w:tcPr>
            <w:tcW w:w="1247" w:type="dxa"/>
            <w:tcBorders>
              <w:top w:val="nil"/>
              <w:left w:val="single" w:sz="4" w:space="0" w:color="auto"/>
              <w:bottom w:val="single" w:sz="4" w:space="0" w:color="auto"/>
              <w:right w:val="single" w:sz="4" w:space="0" w:color="auto"/>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392,543</w:t>
            </w:r>
          </w:p>
        </w:tc>
        <w:tc>
          <w:tcPr>
            <w:tcW w:w="1271" w:type="dxa"/>
            <w:tcBorders>
              <w:top w:val="nil"/>
              <w:left w:val="single" w:sz="4" w:space="0" w:color="auto"/>
              <w:bottom w:val="single" w:sz="4" w:space="0" w:color="auto"/>
              <w:right w:val="nil"/>
            </w:tcBorders>
            <w:vAlign w:val="center"/>
          </w:tcPr>
          <w:p w:rsidR="00644C52" w:rsidRPr="00C9125E" w:rsidRDefault="00644C52" w:rsidP="00644C52">
            <w:pPr>
              <w:adjustRightInd w:val="0"/>
              <w:snapToGrid w:val="0"/>
              <w:spacing w:line="260" w:lineRule="exact"/>
              <w:ind w:rightChars="50" w:right="120"/>
              <w:jc w:val="center"/>
              <w:rPr>
                <w:rFonts w:ascii="Times New Roman" w:eastAsia="標楷體" w:hAnsi="Times New Roman" w:cs="Times New Roman"/>
                <w:color w:val="000000" w:themeColor="text1"/>
                <w:sz w:val="22"/>
              </w:rPr>
            </w:pPr>
            <w:r w:rsidRPr="00C9125E">
              <w:rPr>
                <w:rFonts w:ascii="Times New Roman" w:eastAsia="標楷體" w:hAnsi="Times New Roman" w:cs="Times New Roman"/>
                <w:color w:val="000000" w:themeColor="text1"/>
                <w:sz w:val="22"/>
              </w:rPr>
              <w:t>137.7</w:t>
            </w:r>
          </w:p>
        </w:tc>
      </w:tr>
      <w:tr w:rsidR="00644C52" w:rsidRPr="00C9125E" w:rsidTr="00644C52">
        <w:trPr>
          <w:jc w:val="center"/>
        </w:trPr>
        <w:tc>
          <w:tcPr>
            <w:tcW w:w="8052" w:type="dxa"/>
            <w:gridSpan w:val="6"/>
            <w:tcBorders>
              <w:top w:val="single" w:sz="4" w:space="0" w:color="auto"/>
              <w:left w:val="nil"/>
              <w:bottom w:val="nil"/>
              <w:right w:val="nil"/>
            </w:tcBorders>
            <w:vAlign w:val="center"/>
            <w:hideMark/>
          </w:tcPr>
          <w:p w:rsidR="00644C52" w:rsidRPr="00C9125E" w:rsidRDefault="00644C52" w:rsidP="00644C52">
            <w:pPr>
              <w:adjustRightInd w:val="0"/>
              <w:snapToGrid w:val="0"/>
              <w:spacing w:line="260" w:lineRule="exact"/>
              <w:rPr>
                <w:rFonts w:ascii="Times New Roman" w:eastAsia="標楷體" w:hAnsi="Times New Roman" w:cs="Times New Roman"/>
                <w:color w:val="000000" w:themeColor="text1"/>
                <w:kern w:val="0"/>
                <w:sz w:val="20"/>
                <w:szCs w:val="20"/>
              </w:rPr>
            </w:pPr>
            <w:r w:rsidRPr="00C9125E">
              <w:rPr>
                <w:rFonts w:ascii="Times New Roman" w:eastAsia="標楷體" w:hAnsi="Times New Roman" w:cs="Times New Roman"/>
                <w:color w:val="000000" w:themeColor="text1"/>
                <w:kern w:val="0"/>
                <w:sz w:val="20"/>
                <w:szCs w:val="20"/>
              </w:rPr>
              <w:t>資料來源：經濟部投資審議委員會，本會自行計算。</w:t>
            </w:r>
          </w:p>
        </w:tc>
      </w:tr>
    </w:tbl>
    <w:p w:rsidR="00644C52" w:rsidRPr="007F2D59" w:rsidRDefault="00644C52" w:rsidP="002A4962">
      <w:pPr>
        <w:widowControl/>
        <w:numPr>
          <w:ilvl w:val="0"/>
          <w:numId w:val="20"/>
        </w:numPr>
        <w:tabs>
          <w:tab w:val="left" w:pos="567"/>
        </w:tabs>
        <w:autoSpaceDE w:val="0"/>
        <w:snapToGrid w:val="0"/>
        <w:spacing w:beforeLines="25" w:before="60" w:line="480" w:lineRule="exact"/>
        <w:ind w:left="669" w:hanging="669"/>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陸資來</w:t>
      </w:r>
      <w:proofErr w:type="gramStart"/>
      <w:r w:rsidRPr="007F2D59">
        <w:rPr>
          <w:rFonts w:ascii="標楷體" w:eastAsia="標楷體" w:hAnsi="標楷體" w:hint="eastAsia"/>
          <w:b/>
          <w:color w:val="000000" w:themeColor="text1"/>
          <w:sz w:val="28"/>
          <w:szCs w:val="28"/>
        </w:rPr>
        <w:t>臺</w:t>
      </w:r>
      <w:proofErr w:type="gramEnd"/>
      <w:r w:rsidRPr="007F2D59">
        <w:rPr>
          <w:rFonts w:ascii="標楷體" w:eastAsia="標楷體" w:hAnsi="標楷體" w:hint="eastAsia"/>
          <w:b/>
          <w:color w:val="000000" w:themeColor="text1"/>
          <w:sz w:val="28"/>
          <w:szCs w:val="28"/>
        </w:rPr>
        <w:t>投資</w:t>
      </w:r>
    </w:p>
    <w:p w:rsidR="00644C52" w:rsidRPr="00724C26" w:rsidRDefault="00644C52" w:rsidP="00644C52">
      <w:pPr>
        <w:tabs>
          <w:tab w:val="left" w:pos="567"/>
        </w:tabs>
        <w:spacing w:beforeLines="30" w:before="72" w:line="480" w:lineRule="exact"/>
        <w:ind w:leftChars="279" w:left="670" w:firstLineChars="202" w:firstLine="566"/>
        <w:jc w:val="both"/>
        <w:rPr>
          <w:rFonts w:ascii="Times New Roman" w:eastAsia="標楷體" w:hAnsi="Times New Roman" w:cs="Times New Roman"/>
          <w:color w:val="000000" w:themeColor="text1"/>
          <w:sz w:val="28"/>
          <w:szCs w:val="28"/>
        </w:rPr>
      </w:pPr>
      <w:r w:rsidRPr="00724C26">
        <w:rPr>
          <w:rFonts w:ascii="Times New Roman" w:eastAsia="標楷體" w:hAnsi="Times New Roman" w:cs="Times New Roman"/>
          <w:color w:val="000000" w:themeColor="text1"/>
          <w:sz w:val="28"/>
          <w:szCs w:val="28"/>
        </w:rPr>
        <w:t>根據經濟部投審會統計，</w:t>
      </w:r>
      <w:r w:rsidRPr="00724C26">
        <w:rPr>
          <w:rFonts w:ascii="Times New Roman" w:eastAsia="標楷體" w:hAnsi="Times New Roman" w:cs="Times New Roman"/>
          <w:color w:val="000000" w:themeColor="text1"/>
          <w:sz w:val="28"/>
          <w:szCs w:val="28"/>
        </w:rPr>
        <w:t>2018</w:t>
      </w:r>
      <w:r w:rsidRPr="00724C26">
        <w:rPr>
          <w:rFonts w:ascii="Times New Roman" w:eastAsia="標楷體" w:hAnsi="Times New Roman" w:cs="Times New Roman"/>
          <w:color w:val="000000" w:themeColor="text1"/>
          <w:sz w:val="28"/>
          <w:szCs w:val="28"/>
        </w:rPr>
        <w:t>年核准陸資來</w:t>
      </w:r>
      <w:proofErr w:type="gramStart"/>
      <w:r w:rsidRPr="00724C26">
        <w:rPr>
          <w:rFonts w:ascii="Times New Roman" w:eastAsia="標楷體" w:hAnsi="Times New Roman" w:cs="Times New Roman"/>
          <w:color w:val="000000" w:themeColor="text1"/>
          <w:sz w:val="28"/>
          <w:szCs w:val="28"/>
        </w:rPr>
        <w:t>臺</w:t>
      </w:r>
      <w:proofErr w:type="gramEnd"/>
      <w:r w:rsidRPr="00724C26">
        <w:rPr>
          <w:rFonts w:ascii="Times New Roman" w:eastAsia="標楷體" w:hAnsi="Times New Roman" w:cs="Times New Roman"/>
          <w:color w:val="000000" w:themeColor="text1"/>
          <w:sz w:val="28"/>
          <w:szCs w:val="28"/>
        </w:rPr>
        <w:t>投（增）資金額為</w:t>
      </w:r>
      <w:r w:rsidRPr="00724C26">
        <w:rPr>
          <w:rFonts w:ascii="Times New Roman" w:eastAsia="標楷體" w:hAnsi="Times New Roman" w:cs="Times New Roman"/>
          <w:color w:val="000000" w:themeColor="text1"/>
          <w:sz w:val="28"/>
          <w:szCs w:val="28"/>
        </w:rPr>
        <w:t>2.</w:t>
      </w:r>
      <w:r w:rsidR="00C9125E" w:rsidRPr="00724C26">
        <w:rPr>
          <w:rFonts w:ascii="Times New Roman" w:eastAsia="標楷體" w:hAnsi="Times New Roman" w:cs="Times New Roman"/>
          <w:color w:val="000000" w:themeColor="text1"/>
          <w:sz w:val="28"/>
          <w:szCs w:val="28"/>
        </w:rPr>
        <w:t>3</w:t>
      </w:r>
      <w:r w:rsidRPr="00724C26">
        <w:rPr>
          <w:rFonts w:ascii="Times New Roman" w:eastAsia="標楷體" w:hAnsi="Times New Roman" w:cs="Times New Roman"/>
          <w:color w:val="000000" w:themeColor="text1"/>
          <w:sz w:val="28"/>
          <w:szCs w:val="28"/>
        </w:rPr>
        <w:t>億美元，</w:t>
      </w:r>
      <w:r w:rsidRPr="00724C26">
        <w:rPr>
          <w:rFonts w:ascii="Times New Roman" w:eastAsia="標楷體" w:hAnsi="Times New Roman" w:cs="Times New Roman"/>
          <w:sz w:val="28"/>
          <w:szCs w:val="32"/>
        </w:rPr>
        <w:t>較上年減少</w:t>
      </w:r>
      <w:r w:rsidRPr="00724C26">
        <w:rPr>
          <w:rFonts w:ascii="Times New Roman" w:eastAsia="標楷體" w:hAnsi="Times New Roman" w:cs="Times New Roman"/>
          <w:sz w:val="28"/>
          <w:szCs w:val="32"/>
        </w:rPr>
        <w:t>13.0%</w:t>
      </w:r>
      <w:r w:rsidRPr="00724C26">
        <w:rPr>
          <w:rFonts w:ascii="Times New Roman" w:eastAsia="標楷體" w:hAnsi="Times New Roman" w:cs="Times New Roman"/>
          <w:color w:val="000000" w:themeColor="text1"/>
          <w:sz w:val="28"/>
          <w:szCs w:val="28"/>
        </w:rPr>
        <w:t>，投資件數為</w:t>
      </w:r>
      <w:r w:rsidRPr="00724C26">
        <w:rPr>
          <w:rFonts w:ascii="Times New Roman" w:eastAsia="標楷體" w:hAnsi="Times New Roman" w:cs="Times New Roman"/>
          <w:color w:val="000000" w:themeColor="text1"/>
          <w:sz w:val="28"/>
          <w:szCs w:val="28"/>
        </w:rPr>
        <w:t>141</w:t>
      </w:r>
      <w:r w:rsidRPr="00724C26">
        <w:rPr>
          <w:rFonts w:ascii="Times New Roman" w:eastAsia="標楷體" w:hAnsi="Times New Roman" w:cs="Times New Roman"/>
          <w:color w:val="000000" w:themeColor="text1"/>
          <w:sz w:val="28"/>
          <w:szCs w:val="28"/>
        </w:rPr>
        <w:t>件，較</w:t>
      </w:r>
      <w:r w:rsidRPr="00724C26">
        <w:rPr>
          <w:rFonts w:ascii="Times New Roman" w:eastAsia="標楷體" w:hAnsi="Times New Roman" w:cs="Times New Roman"/>
          <w:sz w:val="28"/>
          <w:szCs w:val="32"/>
        </w:rPr>
        <w:t>上年增加</w:t>
      </w:r>
      <w:r w:rsidRPr="00724C26">
        <w:rPr>
          <w:rFonts w:ascii="Times New Roman" w:eastAsia="標楷體" w:hAnsi="Times New Roman" w:cs="Times New Roman"/>
          <w:sz w:val="28"/>
          <w:szCs w:val="32"/>
        </w:rPr>
        <w:t>0.7</w:t>
      </w:r>
      <w:r w:rsidRPr="00724C26">
        <w:rPr>
          <w:rFonts w:ascii="Times New Roman" w:eastAsia="標楷體" w:hAnsi="Times New Roman" w:cs="Times New Roman"/>
          <w:sz w:val="28"/>
          <w:szCs w:val="32"/>
        </w:rPr>
        <w:t>％。</w:t>
      </w:r>
      <w:r w:rsidRPr="00724C26">
        <w:rPr>
          <w:rFonts w:ascii="Times New Roman" w:eastAsia="標楷體" w:hAnsi="Times New Roman" w:cs="Times New Roman"/>
          <w:color w:val="000000" w:themeColor="text1"/>
          <w:sz w:val="28"/>
          <w:szCs w:val="28"/>
        </w:rPr>
        <w:t>自</w:t>
      </w:r>
      <w:r w:rsidRPr="00724C26">
        <w:rPr>
          <w:rFonts w:ascii="Times New Roman" w:eastAsia="標楷體" w:hAnsi="Times New Roman" w:cs="Times New Roman"/>
          <w:color w:val="000000" w:themeColor="text1"/>
          <w:sz w:val="28"/>
          <w:szCs w:val="28"/>
        </w:rPr>
        <w:t>2009</w:t>
      </w:r>
      <w:r w:rsidRPr="00724C26">
        <w:rPr>
          <w:rFonts w:ascii="Times New Roman" w:eastAsia="標楷體" w:hAnsi="Times New Roman" w:cs="Times New Roman"/>
          <w:color w:val="000000" w:themeColor="text1"/>
          <w:sz w:val="28"/>
          <w:szCs w:val="28"/>
        </w:rPr>
        <w:t>年</w:t>
      </w:r>
      <w:r w:rsidRPr="00724C26">
        <w:rPr>
          <w:rFonts w:ascii="Times New Roman" w:eastAsia="標楷體" w:hAnsi="Times New Roman" w:cs="Times New Roman"/>
          <w:color w:val="000000" w:themeColor="text1"/>
          <w:sz w:val="28"/>
          <w:szCs w:val="28"/>
        </w:rPr>
        <w:t>6</w:t>
      </w:r>
      <w:r w:rsidRPr="00724C26">
        <w:rPr>
          <w:rFonts w:ascii="Times New Roman" w:eastAsia="標楷體" w:hAnsi="Times New Roman" w:cs="Times New Roman"/>
          <w:color w:val="000000" w:themeColor="text1"/>
          <w:sz w:val="28"/>
          <w:szCs w:val="28"/>
        </w:rPr>
        <w:t>月</w:t>
      </w:r>
      <w:r w:rsidRPr="00724C26">
        <w:rPr>
          <w:rFonts w:ascii="Times New Roman" w:eastAsia="標楷體" w:hAnsi="Times New Roman" w:cs="Times New Roman"/>
          <w:color w:val="000000" w:themeColor="text1"/>
          <w:sz w:val="28"/>
          <w:szCs w:val="28"/>
        </w:rPr>
        <w:t>30</w:t>
      </w:r>
      <w:r w:rsidRPr="00724C26">
        <w:rPr>
          <w:rFonts w:ascii="Times New Roman" w:eastAsia="標楷體" w:hAnsi="Times New Roman" w:cs="Times New Roman"/>
          <w:color w:val="000000" w:themeColor="text1"/>
          <w:sz w:val="28"/>
          <w:szCs w:val="28"/>
        </w:rPr>
        <w:t>日開放陸資來</w:t>
      </w:r>
      <w:proofErr w:type="gramStart"/>
      <w:r w:rsidRPr="00724C26">
        <w:rPr>
          <w:rFonts w:ascii="Times New Roman" w:eastAsia="標楷體" w:hAnsi="Times New Roman" w:cs="Times New Roman"/>
          <w:color w:val="000000" w:themeColor="text1"/>
          <w:sz w:val="28"/>
          <w:szCs w:val="28"/>
        </w:rPr>
        <w:t>臺</w:t>
      </w:r>
      <w:proofErr w:type="gramEnd"/>
      <w:r w:rsidRPr="00724C26">
        <w:rPr>
          <w:rFonts w:ascii="Times New Roman" w:eastAsia="標楷體" w:hAnsi="Times New Roman" w:cs="Times New Roman"/>
          <w:color w:val="000000" w:themeColor="text1"/>
          <w:sz w:val="28"/>
          <w:szCs w:val="28"/>
        </w:rPr>
        <w:t>至</w:t>
      </w:r>
      <w:r w:rsidRPr="00724C26">
        <w:rPr>
          <w:rFonts w:ascii="Times New Roman" w:eastAsia="標楷體" w:hAnsi="Times New Roman" w:cs="Times New Roman"/>
          <w:color w:val="000000" w:themeColor="text1"/>
          <w:sz w:val="28"/>
          <w:szCs w:val="28"/>
        </w:rPr>
        <w:t>2018</w:t>
      </w:r>
      <w:r w:rsidRPr="00724C26">
        <w:rPr>
          <w:rFonts w:ascii="Times New Roman" w:eastAsia="標楷體" w:hAnsi="Times New Roman" w:cs="Times New Roman"/>
          <w:color w:val="000000" w:themeColor="text1"/>
          <w:sz w:val="28"/>
          <w:szCs w:val="28"/>
        </w:rPr>
        <w:t>年，累計核准來</w:t>
      </w:r>
      <w:proofErr w:type="gramStart"/>
      <w:r w:rsidRPr="00724C26">
        <w:rPr>
          <w:rFonts w:ascii="Times New Roman" w:eastAsia="標楷體" w:hAnsi="Times New Roman" w:cs="Times New Roman"/>
          <w:color w:val="000000" w:themeColor="text1"/>
          <w:sz w:val="28"/>
          <w:szCs w:val="28"/>
        </w:rPr>
        <w:t>臺</w:t>
      </w:r>
      <w:proofErr w:type="gramEnd"/>
      <w:r w:rsidRPr="00724C26">
        <w:rPr>
          <w:rFonts w:ascii="Times New Roman" w:eastAsia="標楷體" w:hAnsi="Times New Roman" w:cs="Times New Roman"/>
          <w:color w:val="000000" w:themeColor="text1"/>
          <w:sz w:val="28"/>
          <w:szCs w:val="28"/>
        </w:rPr>
        <w:t>投資件數</w:t>
      </w:r>
      <w:r w:rsidRPr="00724C26">
        <w:rPr>
          <w:rFonts w:ascii="Times New Roman" w:eastAsia="標楷體" w:hAnsi="Times New Roman" w:cs="Times New Roman"/>
          <w:color w:val="000000" w:themeColor="text1"/>
          <w:sz w:val="28"/>
          <w:szCs w:val="28"/>
        </w:rPr>
        <w:t>1,228</w:t>
      </w:r>
      <w:r w:rsidRPr="00724C26">
        <w:rPr>
          <w:rFonts w:ascii="Times New Roman" w:eastAsia="標楷體" w:hAnsi="Times New Roman" w:cs="Times New Roman"/>
          <w:color w:val="000000" w:themeColor="text1"/>
          <w:sz w:val="28"/>
          <w:szCs w:val="28"/>
        </w:rPr>
        <w:t>件，核准金額</w:t>
      </w:r>
      <w:r w:rsidRPr="00724C26">
        <w:rPr>
          <w:rFonts w:ascii="Times New Roman" w:eastAsia="標楷體" w:hAnsi="Times New Roman" w:cs="Times New Roman"/>
          <w:color w:val="000000" w:themeColor="text1"/>
          <w:sz w:val="28"/>
          <w:szCs w:val="28"/>
        </w:rPr>
        <w:t>21.</w:t>
      </w:r>
      <w:r w:rsidR="00724C26" w:rsidRPr="00724C26">
        <w:rPr>
          <w:rFonts w:ascii="Times New Roman" w:eastAsia="標楷體" w:hAnsi="Times New Roman" w:cs="Times New Roman"/>
          <w:color w:val="000000" w:themeColor="text1"/>
          <w:sz w:val="28"/>
          <w:szCs w:val="28"/>
        </w:rPr>
        <w:t>9</w:t>
      </w:r>
      <w:r w:rsidRPr="00724C26">
        <w:rPr>
          <w:rFonts w:ascii="Times New Roman" w:eastAsia="標楷體" w:hAnsi="Times New Roman" w:cs="Times New Roman"/>
          <w:color w:val="000000" w:themeColor="text1"/>
          <w:sz w:val="28"/>
          <w:szCs w:val="28"/>
        </w:rPr>
        <w:t>億美元（表</w:t>
      </w:r>
      <w:r w:rsidRPr="00724C26">
        <w:rPr>
          <w:rFonts w:ascii="Times New Roman" w:eastAsia="標楷體" w:hAnsi="Times New Roman" w:cs="Times New Roman"/>
          <w:color w:val="000000" w:themeColor="text1"/>
          <w:sz w:val="28"/>
          <w:szCs w:val="28"/>
        </w:rPr>
        <w:t>2-3</w:t>
      </w:r>
      <w:r w:rsidRPr="00724C26">
        <w:rPr>
          <w:rFonts w:ascii="Times New Roman" w:eastAsia="標楷體" w:hAnsi="Times New Roman" w:cs="Times New Roman"/>
          <w:color w:val="000000" w:themeColor="text1"/>
          <w:sz w:val="28"/>
          <w:szCs w:val="28"/>
        </w:rPr>
        <w:t>）。</w:t>
      </w:r>
    </w:p>
    <w:p w:rsidR="00644C52" w:rsidRPr="00724C26" w:rsidRDefault="00644C52" w:rsidP="00117222">
      <w:pPr>
        <w:tabs>
          <w:tab w:val="left" w:pos="567"/>
        </w:tabs>
        <w:spacing w:beforeLines="30" w:before="72" w:line="480" w:lineRule="exact"/>
        <w:ind w:leftChars="279" w:left="670" w:firstLineChars="202" w:firstLine="566"/>
        <w:jc w:val="both"/>
        <w:rPr>
          <w:rFonts w:ascii="Times New Roman" w:eastAsia="標楷體" w:hAnsi="Times New Roman" w:cs="Times New Roman"/>
          <w:color w:val="000000" w:themeColor="text1"/>
          <w:sz w:val="28"/>
          <w:szCs w:val="28"/>
        </w:rPr>
      </w:pPr>
      <w:r w:rsidRPr="00724C26">
        <w:rPr>
          <w:rFonts w:ascii="Times New Roman" w:eastAsia="標楷體" w:hAnsi="Times New Roman" w:cs="Times New Roman"/>
          <w:color w:val="000000" w:themeColor="text1"/>
          <w:sz w:val="28"/>
          <w:szCs w:val="28"/>
        </w:rPr>
        <w:t>就業別金額觀察，自</w:t>
      </w:r>
      <w:r w:rsidRPr="00724C26">
        <w:rPr>
          <w:rFonts w:ascii="Times New Roman" w:eastAsia="標楷體" w:hAnsi="Times New Roman" w:cs="Times New Roman"/>
          <w:color w:val="000000" w:themeColor="text1"/>
          <w:sz w:val="28"/>
          <w:szCs w:val="28"/>
        </w:rPr>
        <w:t>2009</w:t>
      </w:r>
      <w:r w:rsidRPr="00724C26">
        <w:rPr>
          <w:rFonts w:ascii="Times New Roman" w:eastAsia="標楷體" w:hAnsi="Times New Roman" w:cs="Times New Roman"/>
          <w:color w:val="000000" w:themeColor="text1"/>
          <w:sz w:val="28"/>
          <w:szCs w:val="28"/>
        </w:rPr>
        <w:t>年開放陸資來</w:t>
      </w:r>
      <w:proofErr w:type="gramStart"/>
      <w:r w:rsidRPr="00724C26">
        <w:rPr>
          <w:rFonts w:ascii="Times New Roman" w:eastAsia="標楷體" w:hAnsi="Times New Roman" w:cs="Times New Roman"/>
          <w:color w:val="000000" w:themeColor="text1"/>
          <w:sz w:val="28"/>
          <w:szCs w:val="28"/>
        </w:rPr>
        <w:t>臺</w:t>
      </w:r>
      <w:proofErr w:type="gramEnd"/>
      <w:r w:rsidRPr="00724C26">
        <w:rPr>
          <w:rFonts w:ascii="Times New Roman" w:eastAsia="標楷體" w:hAnsi="Times New Roman" w:cs="Times New Roman"/>
          <w:color w:val="000000" w:themeColor="text1"/>
          <w:sz w:val="28"/>
          <w:szCs w:val="28"/>
        </w:rPr>
        <w:t>投資迄今，陸資投資前</w:t>
      </w:r>
      <w:r w:rsidRPr="00724C26">
        <w:rPr>
          <w:rFonts w:ascii="Times New Roman" w:eastAsia="標楷體" w:hAnsi="Times New Roman" w:cs="Times New Roman"/>
          <w:color w:val="000000" w:themeColor="text1"/>
          <w:sz w:val="28"/>
          <w:szCs w:val="28"/>
        </w:rPr>
        <w:t>3</w:t>
      </w:r>
      <w:r w:rsidRPr="00724C26">
        <w:rPr>
          <w:rFonts w:ascii="Times New Roman" w:eastAsia="標楷體" w:hAnsi="Times New Roman" w:cs="Times New Roman"/>
          <w:color w:val="000000" w:themeColor="text1"/>
          <w:sz w:val="28"/>
          <w:szCs w:val="28"/>
        </w:rPr>
        <w:t>名分別為批發及零售業（比重</w:t>
      </w:r>
      <w:r w:rsidRPr="00724C26">
        <w:rPr>
          <w:rFonts w:ascii="Times New Roman" w:eastAsia="標楷體" w:hAnsi="Times New Roman" w:cs="Times New Roman"/>
          <w:color w:val="000000" w:themeColor="text1"/>
          <w:sz w:val="28"/>
          <w:szCs w:val="28"/>
        </w:rPr>
        <w:t>27.3%</w:t>
      </w:r>
      <w:r w:rsidRPr="00724C26">
        <w:rPr>
          <w:rFonts w:ascii="Times New Roman" w:eastAsia="標楷體" w:hAnsi="Times New Roman" w:cs="Times New Roman"/>
          <w:color w:val="000000" w:themeColor="text1"/>
          <w:sz w:val="28"/>
          <w:szCs w:val="28"/>
        </w:rPr>
        <w:t>）、電子零組件製造業（比重</w:t>
      </w:r>
      <w:r w:rsidRPr="00724C26">
        <w:rPr>
          <w:rFonts w:ascii="Times New Roman" w:eastAsia="標楷體" w:hAnsi="Times New Roman" w:cs="Times New Roman"/>
          <w:color w:val="000000" w:themeColor="text1"/>
          <w:sz w:val="28"/>
          <w:szCs w:val="28"/>
        </w:rPr>
        <w:t>13.0%</w:t>
      </w:r>
      <w:r w:rsidRPr="00724C26">
        <w:rPr>
          <w:rFonts w:ascii="Times New Roman" w:eastAsia="標楷體" w:hAnsi="Times New Roman" w:cs="Times New Roman"/>
          <w:color w:val="000000" w:themeColor="text1"/>
          <w:sz w:val="28"/>
          <w:szCs w:val="28"/>
        </w:rPr>
        <w:t>）及銀行業（比重</w:t>
      </w:r>
      <w:r w:rsidRPr="00724C26">
        <w:rPr>
          <w:rFonts w:ascii="Times New Roman" w:eastAsia="標楷體" w:hAnsi="Times New Roman" w:cs="Times New Roman"/>
          <w:color w:val="000000" w:themeColor="text1"/>
          <w:sz w:val="28"/>
          <w:szCs w:val="28"/>
        </w:rPr>
        <w:t>9.2%</w:t>
      </w:r>
      <w:r w:rsidRPr="00724C26">
        <w:rPr>
          <w:rFonts w:ascii="Times New Roman" w:eastAsia="標楷體" w:hAnsi="Times New Roman" w:cs="Times New Roman"/>
          <w:color w:val="000000" w:themeColor="text1"/>
          <w:sz w:val="28"/>
          <w:szCs w:val="28"/>
        </w:rPr>
        <w:t>）；另</w:t>
      </w:r>
      <w:proofErr w:type="gramStart"/>
      <w:r w:rsidRPr="00724C26">
        <w:rPr>
          <w:rFonts w:ascii="Times New Roman" w:eastAsia="標楷體" w:hAnsi="Times New Roman" w:cs="Times New Roman"/>
          <w:color w:val="000000" w:themeColor="text1"/>
          <w:sz w:val="28"/>
          <w:szCs w:val="28"/>
        </w:rPr>
        <w:t>從業別件數</w:t>
      </w:r>
      <w:proofErr w:type="gramEnd"/>
      <w:r w:rsidRPr="00724C26">
        <w:rPr>
          <w:rFonts w:ascii="Times New Roman" w:eastAsia="標楷體" w:hAnsi="Times New Roman" w:cs="Times New Roman"/>
          <w:color w:val="000000" w:themeColor="text1"/>
          <w:sz w:val="28"/>
          <w:szCs w:val="28"/>
        </w:rPr>
        <w:t>來看，以批發及零售業</w:t>
      </w:r>
      <w:r w:rsidRPr="00724C26">
        <w:rPr>
          <w:rFonts w:ascii="Times New Roman" w:eastAsia="標楷體" w:hAnsi="Times New Roman" w:cs="Times New Roman"/>
          <w:color w:val="000000" w:themeColor="text1"/>
          <w:sz w:val="28"/>
          <w:szCs w:val="28"/>
        </w:rPr>
        <w:t>814</w:t>
      </w:r>
      <w:r w:rsidRPr="00724C26">
        <w:rPr>
          <w:rFonts w:ascii="Times New Roman" w:eastAsia="標楷體" w:hAnsi="Times New Roman" w:cs="Times New Roman"/>
          <w:color w:val="000000" w:themeColor="text1"/>
          <w:sz w:val="28"/>
          <w:szCs w:val="28"/>
        </w:rPr>
        <w:t>件最高，占投資總件數</w:t>
      </w:r>
      <w:r w:rsidRPr="00724C26">
        <w:rPr>
          <w:rFonts w:ascii="Times New Roman" w:eastAsia="標楷體" w:hAnsi="Times New Roman" w:cs="Times New Roman"/>
          <w:color w:val="000000" w:themeColor="text1"/>
          <w:sz w:val="28"/>
          <w:szCs w:val="28"/>
        </w:rPr>
        <w:t>66.3%</w:t>
      </w:r>
      <w:r w:rsidRPr="00724C26">
        <w:rPr>
          <w:rFonts w:ascii="Times New Roman" w:eastAsia="標楷體" w:hAnsi="Times New Roman" w:cs="Times New Roman"/>
          <w:color w:val="000000" w:themeColor="text1"/>
          <w:sz w:val="28"/>
          <w:szCs w:val="28"/>
        </w:rPr>
        <w:t>，其次為資訊軟體服務業</w:t>
      </w:r>
      <w:r w:rsidRPr="00724C26">
        <w:rPr>
          <w:rFonts w:ascii="Times New Roman" w:eastAsia="標楷體" w:hAnsi="Times New Roman" w:cs="Times New Roman"/>
          <w:color w:val="000000" w:themeColor="text1"/>
          <w:sz w:val="28"/>
          <w:szCs w:val="28"/>
        </w:rPr>
        <w:t>79</w:t>
      </w:r>
      <w:r w:rsidRPr="00724C26">
        <w:rPr>
          <w:rFonts w:ascii="Times New Roman" w:eastAsia="標楷體" w:hAnsi="Times New Roman" w:cs="Times New Roman"/>
          <w:color w:val="000000" w:themeColor="text1"/>
          <w:sz w:val="28"/>
          <w:szCs w:val="28"/>
        </w:rPr>
        <w:t>件及電子零組件製造業</w:t>
      </w:r>
      <w:r w:rsidRPr="00724C26">
        <w:rPr>
          <w:rFonts w:ascii="Times New Roman" w:eastAsia="標楷體" w:hAnsi="Times New Roman" w:cs="Times New Roman"/>
          <w:color w:val="000000" w:themeColor="text1"/>
          <w:sz w:val="28"/>
          <w:szCs w:val="28"/>
        </w:rPr>
        <w:t>58</w:t>
      </w:r>
      <w:r w:rsidRPr="00724C26">
        <w:rPr>
          <w:rFonts w:ascii="Times New Roman" w:eastAsia="標楷體" w:hAnsi="Times New Roman" w:cs="Times New Roman"/>
          <w:color w:val="000000" w:themeColor="text1"/>
          <w:sz w:val="28"/>
          <w:szCs w:val="28"/>
        </w:rPr>
        <w:t>件，分別占投資總件數比重</w:t>
      </w:r>
      <w:r w:rsidRPr="00724C26">
        <w:rPr>
          <w:rFonts w:ascii="Times New Roman" w:eastAsia="標楷體" w:hAnsi="Times New Roman" w:cs="Times New Roman"/>
          <w:color w:val="000000" w:themeColor="text1"/>
          <w:sz w:val="28"/>
          <w:szCs w:val="28"/>
        </w:rPr>
        <w:t>6.4%</w:t>
      </w:r>
      <w:r w:rsidRPr="00724C26">
        <w:rPr>
          <w:rFonts w:ascii="Times New Roman" w:eastAsia="標楷體" w:hAnsi="Times New Roman" w:cs="Times New Roman"/>
          <w:color w:val="000000" w:themeColor="text1"/>
          <w:sz w:val="28"/>
          <w:szCs w:val="28"/>
        </w:rPr>
        <w:t>及</w:t>
      </w:r>
      <w:r w:rsidRPr="00724C26">
        <w:rPr>
          <w:rFonts w:ascii="Times New Roman" w:eastAsia="標楷體" w:hAnsi="Times New Roman" w:cs="Times New Roman"/>
          <w:color w:val="000000" w:themeColor="text1"/>
          <w:sz w:val="28"/>
          <w:szCs w:val="28"/>
        </w:rPr>
        <w:t>4.7%</w:t>
      </w:r>
      <w:r w:rsidRPr="00724C26">
        <w:rPr>
          <w:rFonts w:ascii="Times New Roman" w:eastAsia="標楷體" w:hAnsi="Times New Roman" w:cs="Times New Roman"/>
          <w:color w:val="000000" w:themeColor="text1"/>
          <w:sz w:val="28"/>
          <w:szCs w:val="28"/>
        </w:rPr>
        <w:t>（表</w:t>
      </w:r>
      <w:r w:rsidRPr="00724C26">
        <w:rPr>
          <w:rFonts w:ascii="Times New Roman" w:eastAsia="標楷體" w:hAnsi="Times New Roman" w:cs="Times New Roman"/>
          <w:color w:val="000000" w:themeColor="text1"/>
          <w:sz w:val="28"/>
          <w:szCs w:val="28"/>
        </w:rPr>
        <w:t>2-4</w:t>
      </w:r>
      <w:r w:rsidRPr="00724C26">
        <w:rPr>
          <w:rFonts w:ascii="Times New Roman" w:eastAsia="標楷體" w:hAnsi="Times New Roman" w:cs="Times New Roman"/>
          <w:color w:val="000000" w:themeColor="text1"/>
          <w:sz w:val="28"/>
          <w:szCs w:val="28"/>
        </w:rPr>
        <w:t>）。</w:t>
      </w:r>
    </w:p>
    <w:p w:rsidR="00644C52" w:rsidRPr="007F2D59" w:rsidRDefault="00644C52" w:rsidP="00644C52">
      <w:pPr>
        <w:widowControl/>
        <w:snapToGrid w:val="0"/>
        <w:spacing w:beforeLines="100" w:before="240" w:line="440" w:lineRule="exact"/>
        <w:jc w:val="center"/>
        <w:rPr>
          <w:rFonts w:eastAsia="標楷體"/>
          <w:b/>
          <w:bCs/>
          <w:color w:val="000000" w:themeColor="text1"/>
          <w:kern w:val="0"/>
          <w:sz w:val="28"/>
          <w:szCs w:val="32"/>
        </w:rPr>
      </w:pPr>
      <w:r w:rsidRPr="007F2D59">
        <w:rPr>
          <w:rFonts w:eastAsia="標楷體"/>
          <w:b/>
          <w:bCs/>
          <w:color w:val="000000" w:themeColor="text1"/>
          <w:kern w:val="0"/>
          <w:sz w:val="28"/>
          <w:szCs w:val="32"/>
        </w:rPr>
        <w:lastRenderedPageBreak/>
        <w:t>表</w:t>
      </w:r>
      <w:r w:rsidRPr="007F2D59">
        <w:rPr>
          <w:rFonts w:eastAsia="標楷體"/>
          <w:b/>
          <w:bCs/>
          <w:color w:val="000000" w:themeColor="text1"/>
          <w:kern w:val="0"/>
          <w:sz w:val="28"/>
          <w:szCs w:val="32"/>
        </w:rPr>
        <w:t>2-3</w:t>
      </w:r>
      <w:r w:rsidRPr="007F2D59">
        <w:rPr>
          <w:rFonts w:eastAsia="標楷體"/>
          <w:b/>
          <w:bCs/>
          <w:color w:val="000000" w:themeColor="text1"/>
          <w:kern w:val="0"/>
          <w:sz w:val="28"/>
          <w:szCs w:val="32"/>
        </w:rPr>
        <w:t xml:space="preserve">　陸資來</w:t>
      </w:r>
      <w:proofErr w:type="gramStart"/>
      <w:r w:rsidRPr="007F2D59">
        <w:rPr>
          <w:rFonts w:eastAsia="標楷體"/>
          <w:b/>
          <w:bCs/>
          <w:color w:val="000000" w:themeColor="text1"/>
          <w:kern w:val="0"/>
          <w:sz w:val="28"/>
          <w:szCs w:val="32"/>
        </w:rPr>
        <w:t>臺</w:t>
      </w:r>
      <w:proofErr w:type="gramEnd"/>
      <w:r w:rsidRPr="007F2D59">
        <w:rPr>
          <w:rFonts w:eastAsia="標楷體"/>
          <w:b/>
          <w:bCs/>
          <w:color w:val="000000" w:themeColor="text1"/>
          <w:kern w:val="0"/>
          <w:sz w:val="28"/>
          <w:szCs w:val="32"/>
        </w:rPr>
        <w:t>投資概況</w:t>
      </w:r>
    </w:p>
    <w:p w:rsidR="00644C52" w:rsidRPr="007F2D59" w:rsidRDefault="00644C52" w:rsidP="00644C52">
      <w:pPr>
        <w:widowControl/>
        <w:jc w:val="right"/>
        <w:rPr>
          <w:rFonts w:ascii="標楷體" w:eastAsia="標楷體" w:hAnsi="標楷體"/>
          <w:color w:val="000000" w:themeColor="text1"/>
          <w:kern w:val="0"/>
          <w:sz w:val="20"/>
          <w:szCs w:val="20"/>
        </w:rPr>
      </w:pPr>
      <w:r w:rsidRPr="007F2D59">
        <w:rPr>
          <w:rFonts w:ascii="標楷體" w:eastAsia="標楷體" w:hAnsi="標楷體" w:hint="eastAsia"/>
          <w:color w:val="000000" w:themeColor="text1"/>
          <w:kern w:val="0"/>
          <w:sz w:val="20"/>
          <w:szCs w:val="20"/>
        </w:rPr>
        <w:t>單位：千美元；</w:t>
      </w:r>
      <w:r w:rsidRPr="007F2D59">
        <w:rPr>
          <w:rFonts w:eastAsia="標楷體" w:hint="eastAsia"/>
          <w:color w:val="000000" w:themeColor="text1"/>
          <w:kern w:val="0"/>
          <w:sz w:val="20"/>
          <w:szCs w:val="20"/>
        </w:rPr>
        <w:t>%</w:t>
      </w:r>
    </w:p>
    <w:tbl>
      <w:tblPr>
        <w:tblW w:w="8434"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4"/>
        <w:gridCol w:w="1351"/>
        <w:gridCol w:w="1263"/>
        <w:gridCol w:w="1275"/>
        <w:gridCol w:w="1134"/>
        <w:gridCol w:w="1627"/>
      </w:tblGrid>
      <w:tr w:rsidR="00644C52" w:rsidRPr="00724C26" w:rsidTr="00644C52">
        <w:trPr>
          <w:trHeight w:val="359"/>
          <w:jc w:val="center"/>
        </w:trPr>
        <w:tc>
          <w:tcPr>
            <w:tcW w:w="1784" w:type="dxa"/>
            <w:tcBorders>
              <w:top w:val="single" w:sz="4" w:space="0" w:color="auto"/>
              <w:left w:val="nil"/>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年度</w:t>
            </w:r>
          </w:p>
        </w:tc>
        <w:tc>
          <w:tcPr>
            <w:tcW w:w="1351"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金額</w:t>
            </w:r>
          </w:p>
        </w:tc>
        <w:tc>
          <w:tcPr>
            <w:tcW w:w="1263"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年增率</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年增率</w:t>
            </w:r>
          </w:p>
        </w:tc>
        <w:tc>
          <w:tcPr>
            <w:tcW w:w="1627" w:type="dxa"/>
            <w:tcBorders>
              <w:top w:val="single" w:sz="4" w:space="0" w:color="auto"/>
              <w:left w:val="single" w:sz="4" w:space="0" w:color="auto"/>
              <w:bottom w:val="single" w:sz="4" w:space="0" w:color="auto"/>
              <w:right w:val="nil"/>
            </w:tcBorders>
            <w:hideMark/>
          </w:tcPr>
          <w:p w:rsidR="00644C52" w:rsidRPr="00724C26" w:rsidRDefault="00644C52" w:rsidP="00117222">
            <w:pPr>
              <w:widowControl/>
              <w:autoSpaceDE w:val="0"/>
              <w:snapToGrid w:val="0"/>
              <w:spacing w:line="0" w:lineRule="atLeast"/>
              <w:ind w:right="-91"/>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平均投資金額</w:t>
            </w:r>
          </w:p>
        </w:tc>
      </w:tr>
      <w:tr w:rsidR="00644C52" w:rsidRPr="00724C26" w:rsidTr="00644C52">
        <w:trPr>
          <w:trHeight w:val="340"/>
          <w:jc w:val="center"/>
        </w:trPr>
        <w:tc>
          <w:tcPr>
            <w:tcW w:w="1784" w:type="dxa"/>
            <w:tcBorders>
              <w:top w:val="single" w:sz="4" w:space="0" w:color="auto"/>
              <w:left w:val="nil"/>
              <w:bottom w:val="nil"/>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2009</w:t>
            </w:r>
            <w:r w:rsidRPr="00724C26">
              <w:rPr>
                <w:rFonts w:ascii="Times New Roman" w:eastAsia="標楷體" w:hAnsi="Times New Roman" w:cs="Times New Roman"/>
                <w:color w:val="000000" w:themeColor="text1"/>
                <w:kern w:val="0"/>
                <w:sz w:val="22"/>
              </w:rPr>
              <w:t>年</w:t>
            </w:r>
          </w:p>
        </w:tc>
        <w:tc>
          <w:tcPr>
            <w:tcW w:w="1351" w:type="dxa"/>
            <w:tcBorders>
              <w:top w:val="single" w:sz="4" w:space="0" w:color="auto"/>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37,486</w:t>
            </w:r>
          </w:p>
        </w:tc>
        <w:tc>
          <w:tcPr>
            <w:tcW w:w="1263" w:type="dxa"/>
            <w:tcBorders>
              <w:top w:val="single" w:sz="4" w:space="0" w:color="auto"/>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w:t>
            </w:r>
          </w:p>
        </w:tc>
        <w:tc>
          <w:tcPr>
            <w:tcW w:w="1275" w:type="dxa"/>
            <w:tcBorders>
              <w:top w:val="single" w:sz="4" w:space="0" w:color="auto"/>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23</w:t>
            </w:r>
          </w:p>
        </w:tc>
        <w:tc>
          <w:tcPr>
            <w:tcW w:w="1134" w:type="dxa"/>
            <w:tcBorders>
              <w:top w:val="single" w:sz="4" w:space="0" w:color="auto"/>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w:t>
            </w:r>
          </w:p>
        </w:tc>
        <w:tc>
          <w:tcPr>
            <w:tcW w:w="1627" w:type="dxa"/>
            <w:tcBorders>
              <w:top w:val="single" w:sz="4" w:space="0" w:color="auto"/>
              <w:left w:val="single" w:sz="4" w:space="0" w:color="auto"/>
              <w:bottom w:val="nil"/>
              <w:right w:val="nil"/>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1,629.8</w:t>
            </w:r>
          </w:p>
        </w:tc>
      </w:tr>
      <w:tr w:rsidR="00644C52" w:rsidRPr="00724C26" w:rsidTr="00644C52">
        <w:trPr>
          <w:trHeight w:val="340"/>
          <w:jc w:val="center"/>
        </w:trPr>
        <w:tc>
          <w:tcPr>
            <w:tcW w:w="1784" w:type="dxa"/>
            <w:tcBorders>
              <w:top w:val="nil"/>
              <w:left w:val="nil"/>
              <w:bottom w:val="nil"/>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2010</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94,345</w:t>
            </w:r>
          </w:p>
        </w:tc>
        <w:tc>
          <w:tcPr>
            <w:tcW w:w="1263"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151.7</w:t>
            </w:r>
          </w:p>
        </w:tc>
        <w:tc>
          <w:tcPr>
            <w:tcW w:w="1275"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79</w:t>
            </w:r>
          </w:p>
        </w:tc>
        <w:tc>
          <w:tcPr>
            <w:tcW w:w="1134"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243.5</w:t>
            </w:r>
          </w:p>
        </w:tc>
        <w:tc>
          <w:tcPr>
            <w:tcW w:w="1627" w:type="dxa"/>
            <w:tcBorders>
              <w:top w:val="nil"/>
              <w:left w:val="single" w:sz="4" w:space="0" w:color="auto"/>
              <w:bottom w:val="nil"/>
              <w:right w:val="nil"/>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1,194.2</w:t>
            </w:r>
          </w:p>
        </w:tc>
      </w:tr>
      <w:tr w:rsidR="00644C52" w:rsidRPr="00724C26" w:rsidTr="00644C52">
        <w:trPr>
          <w:trHeight w:val="340"/>
          <w:jc w:val="center"/>
        </w:trPr>
        <w:tc>
          <w:tcPr>
            <w:tcW w:w="1784" w:type="dxa"/>
            <w:tcBorders>
              <w:top w:val="nil"/>
              <w:left w:val="nil"/>
              <w:bottom w:val="nil"/>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2011</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43,736</w:t>
            </w:r>
          </w:p>
        </w:tc>
        <w:tc>
          <w:tcPr>
            <w:tcW w:w="1263"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-53.6</w:t>
            </w:r>
          </w:p>
        </w:tc>
        <w:tc>
          <w:tcPr>
            <w:tcW w:w="1275"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102</w:t>
            </w:r>
          </w:p>
        </w:tc>
        <w:tc>
          <w:tcPr>
            <w:tcW w:w="1134"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29.0</w:t>
            </w:r>
          </w:p>
        </w:tc>
        <w:tc>
          <w:tcPr>
            <w:tcW w:w="1627" w:type="dxa"/>
            <w:tcBorders>
              <w:top w:val="nil"/>
              <w:left w:val="single" w:sz="4" w:space="0" w:color="auto"/>
              <w:bottom w:val="nil"/>
              <w:right w:val="nil"/>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428.7</w:t>
            </w:r>
          </w:p>
        </w:tc>
      </w:tr>
      <w:tr w:rsidR="00644C52" w:rsidRPr="00724C26" w:rsidTr="00644C52">
        <w:trPr>
          <w:trHeight w:val="340"/>
          <w:jc w:val="center"/>
        </w:trPr>
        <w:tc>
          <w:tcPr>
            <w:tcW w:w="1784" w:type="dxa"/>
            <w:tcBorders>
              <w:top w:val="nil"/>
              <w:left w:val="nil"/>
              <w:bottom w:val="nil"/>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2012</w:t>
            </w:r>
            <w:r w:rsidRPr="00724C26">
              <w:rPr>
                <w:rFonts w:ascii="Times New Roman" w:eastAsia="標楷體" w:hAnsi="Times New Roman" w:cs="Times New Roman"/>
                <w:color w:val="000000" w:themeColor="text1"/>
                <w:kern w:val="0"/>
                <w:sz w:val="22"/>
              </w:rPr>
              <w:t>年</w:t>
            </w:r>
          </w:p>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2013</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328,067</w:t>
            </w:r>
          </w:p>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360,884</w:t>
            </w:r>
          </w:p>
        </w:tc>
        <w:tc>
          <w:tcPr>
            <w:tcW w:w="1263"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650.1</w:t>
            </w:r>
          </w:p>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10.0   </w:t>
            </w:r>
          </w:p>
        </w:tc>
        <w:tc>
          <w:tcPr>
            <w:tcW w:w="1275"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138</w:t>
            </w:r>
          </w:p>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141 </w:t>
            </w:r>
          </w:p>
        </w:tc>
        <w:tc>
          <w:tcPr>
            <w:tcW w:w="1134"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35.2</w:t>
            </w:r>
          </w:p>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2.2</w:t>
            </w:r>
          </w:p>
        </w:tc>
        <w:tc>
          <w:tcPr>
            <w:tcW w:w="1627" w:type="dxa"/>
            <w:tcBorders>
              <w:top w:val="nil"/>
              <w:left w:val="single" w:sz="4" w:space="0" w:color="auto"/>
              <w:bottom w:val="nil"/>
              <w:right w:val="nil"/>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2,377.2</w:t>
            </w:r>
          </w:p>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2,559.5</w:t>
            </w:r>
          </w:p>
        </w:tc>
      </w:tr>
      <w:tr w:rsidR="00644C52" w:rsidRPr="00724C26" w:rsidTr="00644C52">
        <w:trPr>
          <w:trHeight w:val="340"/>
          <w:jc w:val="center"/>
        </w:trPr>
        <w:tc>
          <w:tcPr>
            <w:tcW w:w="1784" w:type="dxa"/>
            <w:tcBorders>
              <w:top w:val="nil"/>
              <w:left w:val="nil"/>
              <w:bottom w:val="nil"/>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2014</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334,631</w:t>
            </w:r>
          </w:p>
        </w:tc>
        <w:tc>
          <w:tcPr>
            <w:tcW w:w="1263"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-4.3   </w:t>
            </w:r>
          </w:p>
        </w:tc>
        <w:tc>
          <w:tcPr>
            <w:tcW w:w="1275"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136 </w:t>
            </w:r>
          </w:p>
        </w:tc>
        <w:tc>
          <w:tcPr>
            <w:tcW w:w="1134" w:type="dxa"/>
            <w:tcBorders>
              <w:top w:val="nil"/>
              <w:left w:val="single" w:sz="4" w:space="0" w:color="auto"/>
              <w:bottom w:val="nil"/>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w:t>
            </w:r>
          </w:p>
        </w:tc>
        <w:tc>
          <w:tcPr>
            <w:tcW w:w="1627" w:type="dxa"/>
            <w:tcBorders>
              <w:top w:val="nil"/>
              <w:left w:val="single" w:sz="4" w:space="0" w:color="auto"/>
              <w:bottom w:val="nil"/>
              <w:right w:val="nil"/>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2,460.5</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2015</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244,067</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-27.1</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170</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25.0</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1,435.7</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247,628</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158</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-7.1</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1,567.3</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265,705</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7.3</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140</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-11.4</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1,897.9</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53,701</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58.4</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38</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-7.3</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1,413.2</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100,382</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-18.6</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29</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-21.6</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3,461.4</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15,723</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-71.5</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35</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-7.9</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449.2</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95,899</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171.9</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38</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-9.5</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2,523.7</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2018</w:t>
            </w:r>
            <w:r w:rsidRPr="00724C26">
              <w:rPr>
                <w:rFonts w:ascii="Times New Roman" w:eastAsia="標楷體" w:hAnsi="Times New Roman" w:cs="Times New Roman"/>
                <w:color w:val="000000" w:themeColor="text1"/>
                <w:kern w:val="0"/>
                <w:sz w:val="22"/>
              </w:rPr>
              <w:t>年</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231,242</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-13.0</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141</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0.7</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1,640.0</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88,261</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64.4</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39</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2.6</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2,263.1</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49,240</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-50.9</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29</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0</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1,697.9</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54,913</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249.3</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37</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5.7</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1,484.1</w:t>
            </w:r>
          </w:p>
        </w:tc>
      </w:tr>
      <w:tr w:rsidR="00644C52" w:rsidRPr="00724C26" w:rsidTr="00644C52">
        <w:trPr>
          <w:trHeight w:val="340"/>
          <w:jc w:val="center"/>
        </w:trPr>
        <w:tc>
          <w:tcPr>
            <w:tcW w:w="1784" w:type="dxa"/>
            <w:tcBorders>
              <w:top w:val="nil"/>
              <w:left w:val="nil"/>
              <w:bottom w:val="nil"/>
              <w:right w:val="single" w:sz="4" w:space="0" w:color="auto"/>
            </w:tcBorders>
            <w:vAlign w:val="center"/>
          </w:tcPr>
          <w:p w:rsidR="00644C52" w:rsidRPr="00724C26" w:rsidRDefault="00644C52" w:rsidP="00117222">
            <w:pPr>
              <w:widowControl/>
              <w:autoSpaceDE w:val="0"/>
              <w:snapToGrid w:val="0"/>
              <w:spacing w:line="0" w:lineRule="atLeast"/>
              <w:ind w:right="571"/>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351"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38,828</w:t>
            </w:r>
          </w:p>
        </w:tc>
        <w:tc>
          <w:tcPr>
            <w:tcW w:w="1263"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-59.5</w:t>
            </w:r>
          </w:p>
        </w:tc>
        <w:tc>
          <w:tcPr>
            <w:tcW w:w="1275"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36</w:t>
            </w:r>
          </w:p>
        </w:tc>
        <w:tc>
          <w:tcPr>
            <w:tcW w:w="1134" w:type="dxa"/>
            <w:tcBorders>
              <w:top w:val="nil"/>
              <w:left w:val="single" w:sz="4" w:space="0" w:color="auto"/>
              <w:bottom w:val="nil"/>
              <w:right w:val="single" w:sz="4" w:space="0" w:color="auto"/>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-5.3</w:t>
            </w:r>
          </w:p>
        </w:tc>
        <w:tc>
          <w:tcPr>
            <w:tcW w:w="1627" w:type="dxa"/>
            <w:tcBorders>
              <w:top w:val="nil"/>
              <w:left w:val="single" w:sz="4" w:space="0" w:color="auto"/>
              <w:bottom w:val="nil"/>
              <w:right w:val="nil"/>
            </w:tcBorders>
            <w:vAlign w:val="center"/>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1,078.6</w:t>
            </w:r>
          </w:p>
        </w:tc>
      </w:tr>
      <w:tr w:rsidR="00644C52" w:rsidRPr="00724C26" w:rsidTr="00644C52">
        <w:trPr>
          <w:trHeight w:val="195"/>
          <w:jc w:val="center"/>
        </w:trPr>
        <w:tc>
          <w:tcPr>
            <w:tcW w:w="1784" w:type="dxa"/>
            <w:tcBorders>
              <w:top w:val="single" w:sz="4" w:space="0" w:color="auto"/>
              <w:left w:val="nil"/>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89"/>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合計</w:t>
            </w:r>
          </w:p>
        </w:tc>
        <w:tc>
          <w:tcPr>
            <w:tcW w:w="1351"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2,187,791</w:t>
            </w:r>
          </w:p>
        </w:tc>
        <w:tc>
          <w:tcPr>
            <w:tcW w:w="1263" w:type="dxa"/>
            <w:tcBorders>
              <w:top w:val="single" w:sz="4" w:space="0" w:color="auto"/>
              <w:left w:val="single" w:sz="4" w:space="0" w:color="auto"/>
              <w:bottom w:val="single" w:sz="4" w:space="0" w:color="auto"/>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1,228</w:t>
            </w:r>
          </w:p>
        </w:tc>
        <w:tc>
          <w:tcPr>
            <w:tcW w:w="1134" w:type="dxa"/>
            <w:tcBorders>
              <w:top w:val="single" w:sz="4" w:space="0" w:color="auto"/>
              <w:left w:val="single" w:sz="4" w:space="0" w:color="auto"/>
              <w:bottom w:val="single" w:sz="4" w:space="0" w:color="auto"/>
              <w:right w:val="single" w:sz="4" w:space="0" w:color="auto"/>
            </w:tcBorders>
            <w:vAlign w:val="center"/>
          </w:tcPr>
          <w:p w:rsidR="00644C52" w:rsidRPr="00724C26" w:rsidRDefault="00644C52" w:rsidP="00117222">
            <w:pPr>
              <w:widowControl/>
              <w:autoSpaceDE w:val="0"/>
              <w:snapToGrid w:val="0"/>
              <w:spacing w:line="0" w:lineRule="atLeast"/>
              <w:ind w:right="57"/>
              <w:jc w:val="right"/>
              <w:rPr>
                <w:rFonts w:ascii="Times New Roman" w:eastAsia="標楷體" w:hAnsi="Times New Roman" w:cs="Times New Roman"/>
                <w:color w:val="000000" w:themeColor="text1"/>
                <w:kern w:val="0"/>
                <w:sz w:val="22"/>
              </w:rPr>
            </w:pPr>
          </w:p>
        </w:tc>
        <w:tc>
          <w:tcPr>
            <w:tcW w:w="1627" w:type="dxa"/>
            <w:tcBorders>
              <w:top w:val="single" w:sz="4" w:space="0" w:color="auto"/>
              <w:left w:val="single" w:sz="4" w:space="0" w:color="auto"/>
              <w:bottom w:val="single" w:sz="4" w:space="0" w:color="auto"/>
              <w:right w:val="nil"/>
            </w:tcBorders>
            <w:hideMark/>
          </w:tcPr>
          <w:p w:rsidR="00644C52" w:rsidRPr="00724C26" w:rsidRDefault="00644C52" w:rsidP="00117222">
            <w:pPr>
              <w:widowControl/>
              <w:autoSpaceDE w:val="0"/>
              <w:snapToGrid w:val="0"/>
              <w:spacing w:line="0" w:lineRule="atLeast"/>
              <w:ind w:rightChars="10" w:right="24"/>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1,781.6</w:t>
            </w:r>
          </w:p>
        </w:tc>
      </w:tr>
      <w:tr w:rsidR="00644C52" w:rsidRPr="00724C26" w:rsidTr="00644C52">
        <w:trPr>
          <w:trHeight w:val="527"/>
          <w:jc w:val="center"/>
        </w:trPr>
        <w:tc>
          <w:tcPr>
            <w:tcW w:w="8434" w:type="dxa"/>
            <w:gridSpan w:val="6"/>
            <w:tcBorders>
              <w:top w:val="single" w:sz="4" w:space="0" w:color="auto"/>
              <w:left w:val="nil"/>
              <w:bottom w:val="nil"/>
              <w:right w:val="nil"/>
            </w:tcBorders>
            <w:vAlign w:val="center"/>
            <w:hideMark/>
          </w:tcPr>
          <w:p w:rsidR="00644C52" w:rsidRPr="00724C26" w:rsidRDefault="00644C52" w:rsidP="00117222">
            <w:pPr>
              <w:widowControl/>
              <w:spacing w:line="0" w:lineRule="atLeast"/>
              <w:rPr>
                <w:rFonts w:ascii="Times New Roman" w:eastAsia="標楷體" w:hAnsi="Times New Roman" w:cs="Times New Roman"/>
                <w:color w:val="000000" w:themeColor="text1"/>
                <w:kern w:val="0"/>
                <w:sz w:val="20"/>
                <w:szCs w:val="20"/>
              </w:rPr>
            </w:pPr>
            <w:proofErr w:type="gramStart"/>
            <w:r w:rsidRPr="00724C26">
              <w:rPr>
                <w:rFonts w:ascii="Times New Roman" w:eastAsia="標楷體" w:hAnsi="Times New Roman" w:cs="Times New Roman"/>
                <w:color w:val="000000" w:themeColor="text1"/>
                <w:kern w:val="0"/>
                <w:sz w:val="20"/>
                <w:szCs w:val="20"/>
              </w:rPr>
              <w:t>註</w:t>
            </w:r>
            <w:proofErr w:type="gramEnd"/>
            <w:r w:rsidRPr="00724C26">
              <w:rPr>
                <w:rFonts w:ascii="Times New Roman" w:eastAsia="標楷體" w:hAnsi="Times New Roman" w:cs="Times New Roman"/>
                <w:color w:val="000000" w:themeColor="text1"/>
                <w:kern w:val="0"/>
                <w:sz w:val="20"/>
                <w:szCs w:val="20"/>
              </w:rPr>
              <w:t>：</w:t>
            </w:r>
            <w:r w:rsidRPr="00724C26">
              <w:rPr>
                <w:rFonts w:ascii="Times New Roman" w:eastAsia="標楷體" w:hAnsi="Times New Roman" w:cs="Times New Roman"/>
                <w:color w:val="000000" w:themeColor="text1"/>
                <w:kern w:val="0"/>
                <w:sz w:val="20"/>
                <w:szCs w:val="20"/>
              </w:rPr>
              <w:t>1. 2009</w:t>
            </w:r>
            <w:r w:rsidRPr="00724C26">
              <w:rPr>
                <w:rFonts w:ascii="Times New Roman" w:eastAsia="標楷體" w:hAnsi="Times New Roman" w:cs="Times New Roman"/>
                <w:color w:val="000000" w:themeColor="text1"/>
                <w:kern w:val="0"/>
                <w:sz w:val="20"/>
                <w:szCs w:val="20"/>
              </w:rPr>
              <w:t>年</w:t>
            </w:r>
            <w:r w:rsidRPr="00724C26">
              <w:rPr>
                <w:rFonts w:ascii="Times New Roman" w:eastAsia="標楷體" w:hAnsi="Times New Roman" w:cs="Times New Roman"/>
                <w:color w:val="000000" w:themeColor="text1"/>
                <w:kern w:val="0"/>
                <w:sz w:val="20"/>
                <w:szCs w:val="20"/>
              </w:rPr>
              <w:t>6</w:t>
            </w:r>
            <w:r w:rsidRPr="00724C26">
              <w:rPr>
                <w:rFonts w:ascii="Times New Roman" w:eastAsia="標楷體" w:hAnsi="Times New Roman" w:cs="Times New Roman"/>
                <w:color w:val="000000" w:themeColor="text1"/>
                <w:kern w:val="0"/>
                <w:sz w:val="20"/>
                <w:szCs w:val="20"/>
              </w:rPr>
              <w:t>月</w:t>
            </w:r>
            <w:r w:rsidRPr="00724C26">
              <w:rPr>
                <w:rFonts w:ascii="Times New Roman" w:eastAsia="標楷體" w:hAnsi="Times New Roman" w:cs="Times New Roman"/>
                <w:color w:val="000000" w:themeColor="text1"/>
                <w:kern w:val="0"/>
                <w:sz w:val="20"/>
                <w:szCs w:val="20"/>
              </w:rPr>
              <w:t>30</w:t>
            </w:r>
            <w:r w:rsidRPr="00724C26">
              <w:rPr>
                <w:rFonts w:ascii="Times New Roman" w:eastAsia="標楷體" w:hAnsi="Times New Roman" w:cs="Times New Roman"/>
                <w:color w:val="000000" w:themeColor="text1"/>
                <w:kern w:val="0"/>
                <w:sz w:val="20"/>
                <w:szCs w:val="20"/>
              </w:rPr>
              <w:t>日起開放陸資來</w:t>
            </w:r>
            <w:proofErr w:type="gramStart"/>
            <w:r w:rsidRPr="00724C26">
              <w:rPr>
                <w:rFonts w:ascii="Times New Roman" w:eastAsia="標楷體" w:hAnsi="Times New Roman" w:cs="Times New Roman"/>
                <w:color w:val="000000" w:themeColor="text1"/>
                <w:kern w:val="0"/>
                <w:sz w:val="20"/>
                <w:szCs w:val="20"/>
              </w:rPr>
              <w:t>臺</w:t>
            </w:r>
            <w:proofErr w:type="gramEnd"/>
            <w:r w:rsidRPr="00724C26">
              <w:rPr>
                <w:rFonts w:ascii="Times New Roman" w:eastAsia="標楷體" w:hAnsi="Times New Roman" w:cs="Times New Roman"/>
                <w:color w:val="000000" w:themeColor="text1"/>
                <w:kern w:val="0"/>
                <w:sz w:val="20"/>
                <w:szCs w:val="20"/>
              </w:rPr>
              <w:t>投資。</w:t>
            </w:r>
          </w:p>
          <w:p w:rsidR="00644C52" w:rsidRPr="00724C26" w:rsidRDefault="00644C52" w:rsidP="00117222">
            <w:pPr>
              <w:widowControl/>
              <w:spacing w:line="0" w:lineRule="atLeas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 xml:space="preserve">    2.</w:t>
            </w:r>
            <w:r w:rsidRPr="00724C26">
              <w:rPr>
                <w:rFonts w:ascii="Times New Roman" w:eastAsia="標楷體" w:hAnsi="Times New Roman" w:cs="Times New Roman"/>
                <w:color w:val="000000" w:themeColor="text1"/>
                <w:kern w:val="0"/>
                <w:sz w:val="20"/>
                <w:szCs w:val="20"/>
              </w:rPr>
              <w:t>年</w:t>
            </w:r>
            <w:proofErr w:type="gramStart"/>
            <w:r w:rsidRPr="00724C26">
              <w:rPr>
                <w:rFonts w:ascii="Times New Roman" w:eastAsia="標楷體" w:hAnsi="Times New Roman" w:cs="Times New Roman"/>
                <w:color w:val="000000" w:themeColor="text1"/>
                <w:kern w:val="0"/>
                <w:sz w:val="20"/>
                <w:szCs w:val="20"/>
              </w:rPr>
              <w:t>增率係指</w:t>
            </w:r>
            <w:proofErr w:type="gramEnd"/>
            <w:r w:rsidRPr="00724C26">
              <w:rPr>
                <w:rFonts w:ascii="Times New Roman" w:eastAsia="標楷體" w:hAnsi="Times New Roman" w:cs="Times New Roman"/>
                <w:color w:val="000000" w:themeColor="text1"/>
                <w:kern w:val="0"/>
                <w:sz w:val="20"/>
                <w:szCs w:val="20"/>
              </w:rPr>
              <w:t>較上年或上年同期增減比率。</w:t>
            </w:r>
          </w:p>
          <w:p w:rsidR="00644C52" w:rsidRPr="00724C26" w:rsidRDefault="00644C52" w:rsidP="00117222">
            <w:pPr>
              <w:widowControl/>
              <w:spacing w:line="0" w:lineRule="atLeas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資料來源：經濟部投資審議委員會。</w:t>
            </w:r>
          </w:p>
          <w:p w:rsidR="00644C52" w:rsidRPr="00724C26" w:rsidRDefault="00644C52" w:rsidP="00117222">
            <w:pPr>
              <w:widowControl/>
              <w:spacing w:line="0" w:lineRule="atLeast"/>
              <w:rPr>
                <w:rFonts w:ascii="Times New Roman" w:eastAsia="標楷體" w:hAnsi="Times New Roman" w:cs="Times New Roman"/>
                <w:color w:val="000000" w:themeColor="text1"/>
                <w:kern w:val="0"/>
                <w:sz w:val="20"/>
                <w:szCs w:val="20"/>
              </w:rPr>
            </w:pPr>
          </w:p>
        </w:tc>
      </w:tr>
    </w:tbl>
    <w:p w:rsidR="00644C52" w:rsidRPr="00724C26" w:rsidRDefault="00644C52" w:rsidP="00644C52">
      <w:pPr>
        <w:widowControl/>
        <w:spacing w:afterLines="100" w:after="240" w:line="0" w:lineRule="atLeast"/>
        <w:ind w:firstLineChars="142" w:firstLine="384"/>
        <w:jc w:val="center"/>
        <w:rPr>
          <w:rFonts w:ascii="Times New Roman" w:eastAsia="標楷體" w:hAnsi="Times New Roman" w:cs="Times New Roman"/>
          <w:b/>
          <w:color w:val="000000" w:themeColor="text1"/>
          <w:kern w:val="0"/>
          <w:sz w:val="27"/>
          <w:szCs w:val="27"/>
        </w:rPr>
      </w:pPr>
      <w:r w:rsidRPr="00724C26">
        <w:rPr>
          <w:rFonts w:ascii="Times New Roman" w:eastAsia="標楷體" w:hAnsi="Times New Roman" w:cs="Times New Roman"/>
          <w:b/>
          <w:color w:val="000000" w:themeColor="text1"/>
          <w:kern w:val="0"/>
          <w:sz w:val="27"/>
          <w:szCs w:val="27"/>
        </w:rPr>
        <w:t>表</w:t>
      </w:r>
      <w:r w:rsidRPr="00724C26">
        <w:rPr>
          <w:rFonts w:ascii="Times New Roman" w:eastAsia="標楷體" w:hAnsi="Times New Roman" w:cs="Times New Roman"/>
          <w:b/>
          <w:color w:val="000000" w:themeColor="text1"/>
          <w:kern w:val="0"/>
          <w:sz w:val="27"/>
          <w:szCs w:val="27"/>
        </w:rPr>
        <w:t>2-4</w:t>
      </w:r>
      <w:r w:rsidRPr="00724C26">
        <w:rPr>
          <w:rFonts w:ascii="Times New Roman" w:eastAsia="標楷體" w:hAnsi="Times New Roman" w:cs="Times New Roman"/>
          <w:b/>
          <w:color w:val="000000" w:themeColor="text1"/>
          <w:kern w:val="0"/>
          <w:sz w:val="27"/>
          <w:szCs w:val="27"/>
        </w:rPr>
        <w:t xml:space="preserve">　陸資來</w:t>
      </w:r>
      <w:proofErr w:type="gramStart"/>
      <w:r w:rsidRPr="00724C26">
        <w:rPr>
          <w:rFonts w:ascii="Times New Roman" w:eastAsia="標楷體" w:hAnsi="Times New Roman" w:cs="Times New Roman"/>
          <w:b/>
          <w:color w:val="000000" w:themeColor="text1"/>
          <w:kern w:val="0"/>
          <w:sz w:val="27"/>
          <w:szCs w:val="27"/>
        </w:rPr>
        <w:t>臺</w:t>
      </w:r>
      <w:proofErr w:type="gramEnd"/>
      <w:r w:rsidRPr="00724C26">
        <w:rPr>
          <w:rFonts w:ascii="Times New Roman" w:eastAsia="標楷體" w:hAnsi="Times New Roman" w:cs="Times New Roman"/>
          <w:b/>
          <w:color w:val="000000" w:themeColor="text1"/>
          <w:kern w:val="0"/>
          <w:sz w:val="27"/>
          <w:szCs w:val="27"/>
        </w:rPr>
        <w:t>投資主要業別（</w:t>
      </w:r>
      <w:r w:rsidRPr="00724C26">
        <w:rPr>
          <w:rFonts w:ascii="Times New Roman" w:eastAsia="標楷體" w:hAnsi="Times New Roman" w:cs="Times New Roman"/>
          <w:b/>
          <w:color w:val="000000" w:themeColor="text1"/>
          <w:kern w:val="0"/>
          <w:sz w:val="28"/>
          <w:szCs w:val="32"/>
        </w:rPr>
        <w:t>2009.6.30~2018.12.31</w:t>
      </w:r>
      <w:r w:rsidRPr="00724C26">
        <w:rPr>
          <w:rFonts w:ascii="Times New Roman" w:eastAsia="標楷體" w:hAnsi="Times New Roman" w:cs="Times New Roman"/>
          <w:b/>
          <w:color w:val="000000" w:themeColor="text1"/>
          <w:kern w:val="0"/>
          <w:sz w:val="28"/>
          <w:szCs w:val="32"/>
        </w:rPr>
        <w:t>累計</w:t>
      </w:r>
      <w:r w:rsidRPr="00724C26">
        <w:rPr>
          <w:rFonts w:ascii="Times New Roman" w:eastAsia="標楷體" w:hAnsi="Times New Roman" w:cs="Times New Roman"/>
          <w:b/>
          <w:color w:val="000000" w:themeColor="text1"/>
          <w:kern w:val="0"/>
          <w:sz w:val="27"/>
          <w:szCs w:val="27"/>
        </w:rPr>
        <w:t>）</w:t>
      </w:r>
    </w:p>
    <w:p w:rsidR="00644C52" w:rsidRPr="007F2D59" w:rsidRDefault="00644C52" w:rsidP="00644C52">
      <w:pPr>
        <w:widowControl/>
        <w:spacing w:line="0" w:lineRule="atLeast"/>
        <w:ind w:firstLineChars="142" w:firstLine="284"/>
        <w:jc w:val="right"/>
        <w:rPr>
          <w:rFonts w:ascii="標楷體" w:eastAsia="標楷體" w:hAnsi="標楷體"/>
          <w:color w:val="000000" w:themeColor="text1"/>
          <w:kern w:val="0"/>
          <w:sz w:val="20"/>
          <w:szCs w:val="20"/>
        </w:rPr>
      </w:pPr>
      <w:r w:rsidRPr="007F2D59">
        <w:rPr>
          <w:rFonts w:ascii="標楷體" w:eastAsia="標楷體" w:hAnsi="標楷體" w:hint="eastAsia"/>
          <w:color w:val="000000" w:themeColor="text1"/>
          <w:kern w:val="0"/>
          <w:sz w:val="20"/>
          <w:szCs w:val="20"/>
        </w:rPr>
        <w:t>單位：千美元；</w:t>
      </w:r>
      <w:r w:rsidRPr="007F2D59">
        <w:rPr>
          <w:rFonts w:eastAsia="標楷體" w:hint="eastAsia"/>
          <w:color w:val="000000" w:themeColor="text1"/>
          <w:kern w:val="0"/>
          <w:sz w:val="20"/>
          <w:szCs w:val="20"/>
        </w:rPr>
        <w:t>%</w:t>
      </w:r>
    </w:p>
    <w:tbl>
      <w:tblPr>
        <w:tblW w:w="7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1050"/>
        <w:gridCol w:w="1168"/>
        <w:gridCol w:w="1069"/>
        <w:gridCol w:w="276"/>
        <w:gridCol w:w="973"/>
        <w:gridCol w:w="14"/>
      </w:tblGrid>
      <w:tr w:rsidR="00644C52" w:rsidRPr="00724C26" w:rsidTr="00644C52">
        <w:trPr>
          <w:jc w:val="center"/>
        </w:trPr>
        <w:tc>
          <w:tcPr>
            <w:tcW w:w="3394" w:type="dxa"/>
            <w:vMerge w:val="restart"/>
            <w:tcBorders>
              <w:top w:val="single" w:sz="4" w:space="0" w:color="000000"/>
              <w:left w:val="nil"/>
              <w:right w:val="single" w:sz="4" w:space="0" w:color="000000"/>
            </w:tcBorders>
            <w:vAlign w:val="center"/>
            <w:hideMark/>
          </w:tcPr>
          <w:p w:rsidR="00644C52" w:rsidRPr="00724C26" w:rsidRDefault="00644C52" w:rsidP="00C84EE9">
            <w:pPr>
              <w:widowControl/>
              <w:adjustRightInd w:val="0"/>
              <w:snapToGrid w:val="0"/>
              <w:spacing w:before="100" w:beforeAutospacing="1" w:after="100" w:afterAutospacing="1"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業</w:t>
            </w:r>
            <w:r w:rsidRPr="00724C26">
              <w:rPr>
                <w:rFonts w:ascii="Times New Roman" w:eastAsia="標楷體" w:hAnsi="Times New Roman" w:cs="Times New Roman"/>
                <w:color w:val="000000" w:themeColor="text1"/>
                <w:kern w:val="0"/>
              </w:rPr>
              <w:t xml:space="preserve">      </w:t>
            </w:r>
            <w:r w:rsidRPr="00724C26">
              <w:rPr>
                <w:rFonts w:ascii="Times New Roman" w:eastAsia="標楷體" w:hAnsi="Times New Roman" w:cs="Times New Roman"/>
                <w:color w:val="000000" w:themeColor="text1"/>
                <w:kern w:val="0"/>
              </w:rPr>
              <w:t>別</w:t>
            </w:r>
          </w:p>
        </w:tc>
        <w:tc>
          <w:tcPr>
            <w:tcW w:w="2218" w:type="dxa"/>
            <w:gridSpan w:val="2"/>
            <w:tcBorders>
              <w:top w:val="single" w:sz="4" w:space="0" w:color="000000"/>
              <w:left w:val="single" w:sz="4" w:space="0" w:color="000000"/>
              <w:bottom w:val="nil"/>
              <w:right w:val="single" w:sz="4" w:space="0" w:color="000000"/>
            </w:tcBorders>
            <w:hideMark/>
          </w:tcPr>
          <w:p w:rsidR="00644C52" w:rsidRPr="00724C26" w:rsidRDefault="00644C52" w:rsidP="00C84EE9">
            <w:pPr>
              <w:widowControl/>
              <w:adjustRightInd w:val="0"/>
              <w:snapToGrid w:val="0"/>
              <w:spacing w:before="100" w:beforeAutospacing="1" w:after="100" w:afterAutospacing="1"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件數</w:t>
            </w:r>
          </w:p>
        </w:tc>
        <w:tc>
          <w:tcPr>
            <w:tcW w:w="1069" w:type="dxa"/>
            <w:vMerge w:val="restart"/>
            <w:tcBorders>
              <w:top w:val="single" w:sz="4" w:space="0" w:color="000000"/>
              <w:left w:val="single" w:sz="4" w:space="0" w:color="000000"/>
              <w:right w:val="nil"/>
            </w:tcBorders>
            <w:vAlign w:val="center"/>
            <w:hideMark/>
          </w:tcPr>
          <w:p w:rsidR="00644C52" w:rsidRPr="00724C26" w:rsidRDefault="00644C52" w:rsidP="00C84EE9">
            <w:pPr>
              <w:widowControl/>
              <w:adjustRightInd w:val="0"/>
              <w:snapToGrid w:val="0"/>
              <w:spacing w:line="0" w:lineRule="atLeast"/>
              <w:jc w:val="center"/>
              <w:rPr>
                <w:rFonts w:ascii="Times New Roman" w:eastAsia="標楷體" w:hAnsi="Times New Roman" w:cs="Times New Roman"/>
                <w:color w:val="000000" w:themeColor="text1"/>
                <w:kern w:val="0"/>
              </w:rPr>
            </w:pPr>
          </w:p>
        </w:tc>
        <w:tc>
          <w:tcPr>
            <w:tcW w:w="1263" w:type="dxa"/>
            <w:gridSpan w:val="3"/>
            <w:tcBorders>
              <w:top w:val="single" w:sz="4" w:space="0" w:color="000000"/>
              <w:left w:val="nil"/>
              <w:bottom w:val="nil"/>
              <w:right w:val="nil"/>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金額</w:t>
            </w:r>
          </w:p>
        </w:tc>
      </w:tr>
      <w:tr w:rsidR="00644C52" w:rsidRPr="00724C26" w:rsidTr="00644C52">
        <w:trPr>
          <w:gridAfter w:val="1"/>
          <w:wAfter w:w="14" w:type="dxa"/>
          <w:trHeight w:val="207"/>
          <w:jc w:val="center"/>
        </w:trPr>
        <w:tc>
          <w:tcPr>
            <w:tcW w:w="3394" w:type="dxa"/>
            <w:vMerge/>
            <w:tcBorders>
              <w:left w:val="nil"/>
              <w:bottom w:val="single" w:sz="4" w:space="0" w:color="000000"/>
              <w:right w:val="single" w:sz="4" w:space="0" w:color="000000"/>
            </w:tcBorders>
          </w:tcPr>
          <w:p w:rsidR="00644C52" w:rsidRPr="00724C26" w:rsidRDefault="00644C52" w:rsidP="00C84EE9">
            <w:pPr>
              <w:widowControl/>
              <w:adjustRightInd w:val="0"/>
              <w:snapToGrid w:val="0"/>
              <w:spacing w:before="100" w:beforeAutospacing="1" w:after="100" w:afterAutospacing="1" w:line="0" w:lineRule="atLeast"/>
              <w:jc w:val="center"/>
              <w:rPr>
                <w:rFonts w:ascii="Times New Roman" w:eastAsia="標楷體" w:hAnsi="Times New Roman" w:cs="Times New Roman"/>
                <w:color w:val="000000" w:themeColor="text1"/>
                <w:kern w:val="0"/>
              </w:rPr>
            </w:pPr>
          </w:p>
        </w:tc>
        <w:tc>
          <w:tcPr>
            <w:tcW w:w="1050" w:type="dxa"/>
            <w:tcBorders>
              <w:top w:val="nil"/>
              <w:left w:val="single" w:sz="4" w:space="0" w:color="000000"/>
              <w:bottom w:val="single" w:sz="4" w:space="0" w:color="000000"/>
              <w:right w:val="single" w:sz="4" w:space="0" w:color="auto"/>
            </w:tcBorders>
          </w:tcPr>
          <w:p w:rsidR="00644C52" w:rsidRPr="00724C26" w:rsidRDefault="00644C52" w:rsidP="00C84EE9">
            <w:pPr>
              <w:widowControl/>
              <w:adjustRightInd w:val="0"/>
              <w:snapToGrid w:val="0"/>
              <w:spacing w:before="100" w:beforeAutospacing="1" w:after="100" w:afterAutospacing="1" w:line="0" w:lineRule="atLeast"/>
              <w:rPr>
                <w:rFonts w:ascii="Times New Roman" w:eastAsia="標楷體" w:hAnsi="Times New Roman" w:cs="Times New Roman"/>
                <w:color w:val="000000" w:themeColor="text1"/>
                <w:kern w:val="0"/>
              </w:rPr>
            </w:pPr>
          </w:p>
        </w:tc>
        <w:tc>
          <w:tcPr>
            <w:tcW w:w="1168" w:type="dxa"/>
            <w:tcBorders>
              <w:top w:val="single" w:sz="4" w:space="0" w:color="000000"/>
              <w:left w:val="single" w:sz="4" w:space="0" w:color="auto"/>
              <w:bottom w:val="single" w:sz="4" w:space="0" w:color="000000"/>
              <w:right w:val="single" w:sz="4" w:space="0" w:color="000000"/>
            </w:tcBorders>
          </w:tcPr>
          <w:p w:rsidR="00644C52" w:rsidRPr="00724C26" w:rsidRDefault="00644C52" w:rsidP="00C84EE9">
            <w:pPr>
              <w:widowControl/>
              <w:adjustRightInd w:val="0"/>
              <w:snapToGrid w:val="0"/>
              <w:spacing w:before="100" w:beforeAutospacing="1" w:after="100" w:afterAutospacing="1"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比重</w:t>
            </w:r>
          </w:p>
        </w:tc>
        <w:tc>
          <w:tcPr>
            <w:tcW w:w="1069" w:type="dxa"/>
            <w:vMerge/>
            <w:tcBorders>
              <w:left w:val="single" w:sz="4" w:space="0" w:color="000000"/>
              <w:bottom w:val="single" w:sz="4" w:space="0" w:color="000000"/>
              <w:right w:val="nil"/>
            </w:tcBorders>
            <w:vAlign w:val="center"/>
          </w:tcPr>
          <w:p w:rsidR="00644C52" w:rsidRPr="00724C26" w:rsidRDefault="00644C52" w:rsidP="00C84EE9">
            <w:pPr>
              <w:widowControl/>
              <w:adjustRightInd w:val="0"/>
              <w:snapToGrid w:val="0"/>
              <w:spacing w:line="0" w:lineRule="atLeast"/>
              <w:jc w:val="center"/>
              <w:rPr>
                <w:rFonts w:ascii="Times New Roman" w:eastAsia="標楷體" w:hAnsi="Times New Roman" w:cs="Times New Roman"/>
                <w:color w:val="000000" w:themeColor="text1"/>
                <w:kern w:val="0"/>
              </w:rPr>
            </w:pPr>
          </w:p>
        </w:tc>
        <w:tc>
          <w:tcPr>
            <w:tcW w:w="276" w:type="dxa"/>
            <w:tcBorders>
              <w:top w:val="nil"/>
              <w:left w:val="nil"/>
              <w:bottom w:val="single" w:sz="4" w:space="0" w:color="000000"/>
              <w:right w:val="single" w:sz="4" w:space="0" w:color="auto"/>
            </w:tcBorders>
            <w:vAlign w:val="center"/>
          </w:tcPr>
          <w:p w:rsidR="00644C52" w:rsidRPr="00724C26" w:rsidRDefault="00644C52" w:rsidP="00C84EE9">
            <w:pPr>
              <w:widowControl/>
              <w:adjustRightInd w:val="0"/>
              <w:snapToGrid w:val="0"/>
              <w:spacing w:line="0" w:lineRule="atLeast"/>
              <w:rPr>
                <w:rFonts w:ascii="Times New Roman" w:eastAsia="標楷體" w:hAnsi="Times New Roman" w:cs="Times New Roman"/>
                <w:color w:val="000000" w:themeColor="text1"/>
                <w:kern w:val="0"/>
              </w:rPr>
            </w:pPr>
          </w:p>
        </w:tc>
        <w:tc>
          <w:tcPr>
            <w:tcW w:w="973" w:type="dxa"/>
            <w:tcBorders>
              <w:top w:val="single" w:sz="4" w:space="0" w:color="auto"/>
              <w:left w:val="single" w:sz="4" w:space="0" w:color="auto"/>
              <w:bottom w:val="single" w:sz="4" w:space="0" w:color="000000"/>
              <w:right w:val="nil"/>
            </w:tcBorders>
            <w:vAlign w:val="center"/>
          </w:tcPr>
          <w:p w:rsidR="00644C52" w:rsidRPr="00724C26" w:rsidRDefault="00644C52" w:rsidP="00C84EE9">
            <w:pPr>
              <w:adjustRightInd w:val="0"/>
              <w:snapToGrid w:val="0"/>
              <w:spacing w:line="0" w:lineRule="atLeast"/>
              <w:ind w:firstLineChars="100" w:firstLine="240"/>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比重</w:t>
            </w:r>
          </w:p>
        </w:tc>
      </w:tr>
      <w:tr w:rsidR="00644C52" w:rsidRPr="00724C26" w:rsidTr="00724C26">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644C52" w:rsidRPr="00724C26" w:rsidRDefault="00644C52" w:rsidP="00C84EE9">
            <w:pPr>
              <w:adjustRightInd w:val="0"/>
              <w:snapToGrid w:val="0"/>
              <w:spacing w:before="100" w:beforeAutospacing="1" w:after="100" w:afterAutospacing="1"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1.</w:t>
            </w:r>
            <w:r w:rsidRPr="00724C26">
              <w:rPr>
                <w:rFonts w:ascii="Times New Roman" w:eastAsia="標楷體" w:hAnsi="Times New Roman" w:cs="Times New Roman"/>
                <w:color w:val="000000" w:themeColor="text1"/>
              </w:rPr>
              <w:t>批發及零售業</w:t>
            </w:r>
          </w:p>
        </w:tc>
        <w:tc>
          <w:tcPr>
            <w:tcW w:w="1050" w:type="dxa"/>
            <w:tcBorders>
              <w:top w:val="single" w:sz="4" w:space="0" w:color="000000"/>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814</w:t>
            </w:r>
          </w:p>
        </w:tc>
        <w:tc>
          <w:tcPr>
            <w:tcW w:w="1168" w:type="dxa"/>
            <w:tcBorders>
              <w:top w:val="single" w:sz="4" w:space="0" w:color="000000"/>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66.3</w:t>
            </w:r>
          </w:p>
        </w:tc>
        <w:tc>
          <w:tcPr>
            <w:tcW w:w="1345" w:type="dxa"/>
            <w:gridSpan w:val="2"/>
            <w:tcBorders>
              <w:top w:val="single" w:sz="4" w:space="0" w:color="000000"/>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596,348</w:t>
            </w:r>
          </w:p>
        </w:tc>
        <w:tc>
          <w:tcPr>
            <w:tcW w:w="973" w:type="dxa"/>
            <w:tcBorders>
              <w:top w:val="single" w:sz="4" w:space="0" w:color="000000"/>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27.3</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2.</w:t>
            </w:r>
            <w:r w:rsidRPr="00724C26">
              <w:rPr>
                <w:rFonts w:ascii="Times New Roman" w:eastAsia="標楷體" w:hAnsi="Times New Roman" w:cs="Times New Roman"/>
                <w:color w:val="000000" w:themeColor="text1"/>
              </w:rPr>
              <w:t>電子零組件製造業</w:t>
            </w:r>
          </w:p>
        </w:tc>
        <w:tc>
          <w:tcPr>
            <w:tcW w:w="1050" w:type="dxa"/>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58</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4.7</w:t>
            </w:r>
          </w:p>
        </w:tc>
        <w:tc>
          <w:tcPr>
            <w:tcW w:w="1345" w:type="dxa"/>
            <w:gridSpan w:val="2"/>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283,046</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13.0</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3.</w:t>
            </w:r>
            <w:r w:rsidRPr="00724C26">
              <w:rPr>
                <w:rFonts w:ascii="Times New Roman" w:eastAsia="標楷體" w:hAnsi="Times New Roman" w:cs="Times New Roman"/>
                <w:color w:val="000000" w:themeColor="text1"/>
              </w:rPr>
              <w:t>銀行業</w:t>
            </w:r>
          </w:p>
        </w:tc>
        <w:tc>
          <w:tcPr>
            <w:tcW w:w="1050" w:type="dxa"/>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3</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0.2</w:t>
            </w:r>
          </w:p>
        </w:tc>
        <w:tc>
          <w:tcPr>
            <w:tcW w:w="1345" w:type="dxa"/>
            <w:gridSpan w:val="2"/>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201,441</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9.2</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4.</w:t>
            </w:r>
            <w:r w:rsidRPr="00724C26">
              <w:rPr>
                <w:rFonts w:ascii="Times New Roman" w:eastAsia="標楷體" w:hAnsi="Times New Roman" w:cs="Times New Roman"/>
                <w:color w:val="000000" w:themeColor="text1"/>
              </w:rPr>
              <w:t>港埠業</w:t>
            </w:r>
          </w:p>
        </w:tc>
        <w:tc>
          <w:tcPr>
            <w:tcW w:w="1050" w:type="dxa"/>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0.1</w:t>
            </w:r>
          </w:p>
        </w:tc>
        <w:tc>
          <w:tcPr>
            <w:tcW w:w="1345" w:type="dxa"/>
            <w:gridSpan w:val="2"/>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139,108</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6.4</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5.</w:t>
            </w:r>
            <w:r w:rsidRPr="00724C26">
              <w:rPr>
                <w:rFonts w:ascii="Times New Roman" w:eastAsia="標楷體" w:hAnsi="Times New Roman" w:cs="Times New Roman"/>
                <w:color w:val="000000" w:themeColor="text1"/>
              </w:rPr>
              <w:t>機械設備製造業</w:t>
            </w:r>
          </w:p>
        </w:tc>
        <w:tc>
          <w:tcPr>
            <w:tcW w:w="1050" w:type="dxa"/>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31</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2.5</w:t>
            </w:r>
          </w:p>
        </w:tc>
        <w:tc>
          <w:tcPr>
            <w:tcW w:w="1345" w:type="dxa"/>
            <w:gridSpan w:val="2"/>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114,040</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5.2</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6.</w:t>
            </w:r>
            <w:r w:rsidRPr="00724C26">
              <w:rPr>
                <w:rFonts w:ascii="Times New Roman" w:eastAsia="標楷體" w:hAnsi="Times New Roman" w:cs="Times New Roman"/>
                <w:color w:val="000000" w:themeColor="text1"/>
              </w:rPr>
              <w:t>研究發展服務業</w:t>
            </w:r>
          </w:p>
        </w:tc>
        <w:tc>
          <w:tcPr>
            <w:tcW w:w="1050" w:type="dxa"/>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9</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0.7</w:t>
            </w:r>
          </w:p>
        </w:tc>
        <w:tc>
          <w:tcPr>
            <w:tcW w:w="1345" w:type="dxa"/>
            <w:gridSpan w:val="2"/>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112,135</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5.1</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tcPr>
          <w:p w:rsidR="00644C52" w:rsidRPr="00724C26" w:rsidRDefault="00644C52" w:rsidP="00C84EE9">
            <w:pPr>
              <w:adjustRightInd w:val="0"/>
              <w:snapToGrid w:val="0"/>
              <w:spacing w:line="0" w:lineRule="atLeast"/>
              <w:ind w:left="240" w:hangingChars="100" w:hanging="240"/>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7.</w:t>
            </w:r>
            <w:r w:rsidRPr="00724C26">
              <w:rPr>
                <w:rFonts w:ascii="Times New Roman" w:eastAsia="標楷體" w:hAnsi="Times New Roman" w:cs="Times New Roman"/>
                <w:color w:val="000000" w:themeColor="text1"/>
              </w:rPr>
              <w:t>電腦、電子產品及光學製品製造業</w:t>
            </w:r>
          </w:p>
        </w:tc>
        <w:tc>
          <w:tcPr>
            <w:tcW w:w="1050" w:type="dxa"/>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33</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2.7</w:t>
            </w:r>
          </w:p>
        </w:tc>
        <w:tc>
          <w:tcPr>
            <w:tcW w:w="1345" w:type="dxa"/>
            <w:gridSpan w:val="2"/>
            <w:tcBorders>
              <w:top w:val="nil"/>
              <w:left w:val="single" w:sz="4" w:space="0" w:color="000000"/>
              <w:bottom w:val="nil"/>
              <w:right w:val="single" w:sz="4" w:space="0" w:color="auto"/>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110,791</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5.1</w:t>
            </w:r>
          </w:p>
        </w:tc>
      </w:tr>
      <w:tr w:rsidR="00644C52" w:rsidRPr="00724C26" w:rsidTr="00724C26">
        <w:trPr>
          <w:gridAfter w:val="1"/>
          <w:wAfter w:w="14" w:type="dxa"/>
          <w:trHeight w:val="96"/>
          <w:jc w:val="center"/>
        </w:trPr>
        <w:tc>
          <w:tcPr>
            <w:tcW w:w="3394" w:type="dxa"/>
            <w:tcBorders>
              <w:top w:val="nil"/>
              <w:left w:val="nil"/>
              <w:bottom w:val="nil"/>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8.</w:t>
            </w:r>
            <w:r w:rsidRPr="00724C26">
              <w:rPr>
                <w:rFonts w:ascii="Times New Roman" w:eastAsia="標楷體" w:hAnsi="Times New Roman" w:cs="Times New Roman"/>
                <w:color w:val="000000" w:themeColor="text1"/>
              </w:rPr>
              <w:t>電力設備製造業</w:t>
            </w:r>
          </w:p>
        </w:tc>
        <w:tc>
          <w:tcPr>
            <w:tcW w:w="1050" w:type="dxa"/>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8</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0.7</w:t>
            </w:r>
          </w:p>
        </w:tc>
        <w:tc>
          <w:tcPr>
            <w:tcW w:w="1345" w:type="dxa"/>
            <w:gridSpan w:val="2"/>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109,383</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5.0</w:t>
            </w:r>
          </w:p>
        </w:tc>
      </w:tr>
      <w:tr w:rsidR="00644C52" w:rsidRPr="00724C26" w:rsidTr="00724C26">
        <w:trPr>
          <w:gridAfter w:val="1"/>
          <w:wAfter w:w="14" w:type="dxa"/>
          <w:trHeight w:val="405"/>
          <w:jc w:val="center"/>
        </w:trPr>
        <w:tc>
          <w:tcPr>
            <w:tcW w:w="3394" w:type="dxa"/>
            <w:tcBorders>
              <w:top w:val="nil"/>
              <w:left w:val="nil"/>
              <w:bottom w:val="nil"/>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9.</w:t>
            </w:r>
            <w:r w:rsidRPr="00724C26">
              <w:rPr>
                <w:rFonts w:ascii="Times New Roman" w:eastAsia="標楷體" w:hAnsi="Times New Roman" w:cs="Times New Roman"/>
                <w:color w:val="000000" w:themeColor="text1"/>
              </w:rPr>
              <w:t>金屬製品製造業</w:t>
            </w:r>
          </w:p>
        </w:tc>
        <w:tc>
          <w:tcPr>
            <w:tcW w:w="1050" w:type="dxa"/>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10</w:t>
            </w:r>
          </w:p>
        </w:tc>
        <w:tc>
          <w:tcPr>
            <w:tcW w:w="1168" w:type="dxa"/>
            <w:tcBorders>
              <w:top w:val="nil"/>
              <w:left w:val="single" w:sz="4" w:space="0" w:color="auto"/>
              <w:bottom w:val="nil"/>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0.8</w:t>
            </w:r>
          </w:p>
        </w:tc>
        <w:tc>
          <w:tcPr>
            <w:tcW w:w="1345" w:type="dxa"/>
            <w:gridSpan w:val="2"/>
            <w:tcBorders>
              <w:top w:val="nil"/>
              <w:left w:val="single" w:sz="4" w:space="0" w:color="000000"/>
              <w:bottom w:val="nil"/>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103,089</w:t>
            </w:r>
          </w:p>
        </w:tc>
        <w:tc>
          <w:tcPr>
            <w:tcW w:w="973" w:type="dxa"/>
            <w:tcBorders>
              <w:top w:val="nil"/>
              <w:left w:val="single" w:sz="4" w:space="0" w:color="auto"/>
              <w:bottom w:val="nil"/>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4.7</w:t>
            </w:r>
          </w:p>
        </w:tc>
      </w:tr>
      <w:tr w:rsidR="00644C52" w:rsidRPr="00724C26" w:rsidTr="00724C26">
        <w:trPr>
          <w:gridAfter w:val="1"/>
          <w:wAfter w:w="14" w:type="dxa"/>
          <w:trHeight w:val="96"/>
          <w:jc w:val="center"/>
        </w:trPr>
        <w:tc>
          <w:tcPr>
            <w:tcW w:w="3394" w:type="dxa"/>
            <w:tcBorders>
              <w:top w:val="nil"/>
              <w:left w:val="nil"/>
              <w:bottom w:val="single" w:sz="4" w:space="0" w:color="000000"/>
              <w:right w:val="single" w:sz="4" w:space="0" w:color="000000"/>
            </w:tcBorders>
            <w:vAlign w:val="center"/>
            <w:hideMark/>
          </w:tcPr>
          <w:p w:rsidR="00644C52" w:rsidRPr="00724C26" w:rsidRDefault="00644C52" w:rsidP="00C84EE9">
            <w:pPr>
              <w:adjustRightInd w:val="0"/>
              <w:snapToGrid w:val="0"/>
              <w:spacing w:line="0" w:lineRule="atLeas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10.</w:t>
            </w:r>
            <w:r w:rsidRPr="00724C26">
              <w:rPr>
                <w:rFonts w:ascii="Times New Roman" w:eastAsia="標楷體" w:hAnsi="Times New Roman" w:cs="Times New Roman"/>
                <w:color w:val="000000" w:themeColor="text1"/>
              </w:rPr>
              <w:t>資訊軟體服務業</w:t>
            </w:r>
          </w:p>
        </w:tc>
        <w:tc>
          <w:tcPr>
            <w:tcW w:w="1050" w:type="dxa"/>
            <w:tcBorders>
              <w:top w:val="nil"/>
              <w:left w:val="single" w:sz="4" w:space="0" w:color="000000"/>
              <w:bottom w:val="single" w:sz="4" w:space="0" w:color="000000"/>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79</w:t>
            </w:r>
          </w:p>
        </w:tc>
        <w:tc>
          <w:tcPr>
            <w:tcW w:w="1168" w:type="dxa"/>
            <w:tcBorders>
              <w:top w:val="nil"/>
              <w:left w:val="single" w:sz="4" w:space="0" w:color="auto"/>
              <w:bottom w:val="single" w:sz="4" w:space="0" w:color="000000"/>
              <w:right w:val="single" w:sz="4" w:space="0" w:color="000000"/>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6.4</w:t>
            </w:r>
          </w:p>
        </w:tc>
        <w:tc>
          <w:tcPr>
            <w:tcW w:w="1345" w:type="dxa"/>
            <w:gridSpan w:val="2"/>
            <w:tcBorders>
              <w:top w:val="nil"/>
              <w:left w:val="single" w:sz="4" w:space="0" w:color="000000"/>
              <w:bottom w:val="single" w:sz="4" w:space="0" w:color="000000"/>
              <w:right w:val="single" w:sz="4" w:space="0" w:color="auto"/>
            </w:tcBorders>
            <w:vAlign w:val="center"/>
            <w:hideMark/>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97,911</w:t>
            </w:r>
          </w:p>
        </w:tc>
        <w:tc>
          <w:tcPr>
            <w:tcW w:w="973" w:type="dxa"/>
            <w:tcBorders>
              <w:top w:val="nil"/>
              <w:left w:val="single" w:sz="4" w:space="0" w:color="auto"/>
              <w:bottom w:val="single" w:sz="4" w:space="0" w:color="000000"/>
              <w:right w:val="nil"/>
            </w:tcBorders>
            <w:vAlign w:val="center"/>
          </w:tcPr>
          <w:p w:rsidR="00644C52" w:rsidRPr="00724C26" w:rsidRDefault="00644C52" w:rsidP="00724C26">
            <w:pPr>
              <w:widowControl/>
              <w:spacing w:line="0" w:lineRule="atLeast"/>
              <w:jc w:val="right"/>
              <w:rPr>
                <w:rFonts w:ascii="Times New Roman" w:eastAsia="標楷體" w:hAnsi="Times New Roman" w:cs="Times New Roman"/>
                <w:kern w:val="0"/>
              </w:rPr>
            </w:pPr>
            <w:r w:rsidRPr="00724C26">
              <w:rPr>
                <w:rFonts w:ascii="Times New Roman" w:eastAsia="標楷體" w:hAnsi="Times New Roman" w:cs="Times New Roman"/>
                <w:kern w:val="0"/>
              </w:rPr>
              <w:t>4.5</w:t>
            </w:r>
          </w:p>
        </w:tc>
      </w:tr>
      <w:tr w:rsidR="00644C52" w:rsidRPr="00724C26" w:rsidTr="00724C26">
        <w:trPr>
          <w:gridAfter w:val="1"/>
          <w:wAfter w:w="14" w:type="dxa"/>
          <w:trHeight w:val="337"/>
          <w:jc w:val="center"/>
        </w:trPr>
        <w:tc>
          <w:tcPr>
            <w:tcW w:w="3394" w:type="dxa"/>
            <w:tcBorders>
              <w:top w:val="single" w:sz="4" w:space="0" w:color="000000"/>
              <w:left w:val="nil"/>
              <w:bottom w:val="single" w:sz="4" w:space="0" w:color="000000"/>
              <w:right w:val="single" w:sz="4" w:space="0" w:color="000000"/>
            </w:tcBorders>
            <w:vAlign w:val="center"/>
            <w:hideMark/>
          </w:tcPr>
          <w:p w:rsidR="00644C52" w:rsidRPr="00724C26" w:rsidRDefault="00644C52" w:rsidP="005D747D">
            <w:pPr>
              <w:widowControl/>
              <w:adjustRightInd w:val="0"/>
              <w:snapToGrid w:val="0"/>
              <w:spacing w:before="100" w:beforeAutospacing="1" w:after="100" w:afterAutospacing="1" w:line="0" w:lineRule="atLeast"/>
              <w:ind w:right="960"/>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合計</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644C52" w:rsidRPr="00724C26" w:rsidRDefault="00644C52" w:rsidP="00724C26">
            <w:pPr>
              <w:adjustRightInd w:val="0"/>
              <w:snapToGrid w:val="0"/>
              <w:spacing w:line="0" w:lineRule="atLeast"/>
              <w:ind w:rightChars="50" w:right="120"/>
              <w:jc w:val="righ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1,016</w:t>
            </w:r>
          </w:p>
        </w:tc>
        <w:tc>
          <w:tcPr>
            <w:tcW w:w="1168" w:type="dxa"/>
            <w:tcBorders>
              <w:top w:val="single" w:sz="4" w:space="0" w:color="000000"/>
              <w:left w:val="single" w:sz="4" w:space="0" w:color="auto"/>
              <w:bottom w:val="single" w:sz="4" w:space="0" w:color="000000"/>
              <w:right w:val="single" w:sz="4" w:space="0" w:color="000000"/>
            </w:tcBorders>
            <w:vAlign w:val="center"/>
          </w:tcPr>
          <w:p w:rsidR="00644C52" w:rsidRPr="00724C26" w:rsidRDefault="00644C52" w:rsidP="00724C26">
            <w:pPr>
              <w:adjustRightInd w:val="0"/>
              <w:snapToGrid w:val="0"/>
              <w:spacing w:line="0" w:lineRule="atLeast"/>
              <w:ind w:rightChars="50" w:right="120"/>
              <w:jc w:val="righ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85.2</w:t>
            </w:r>
          </w:p>
        </w:tc>
        <w:tc>
          <w:tcPr>
            <w:tcW w:w="1345" w:type="dxa"/>
            <w:gridSpan w:val="2"/>
            <w:tcBorders>
              <w:top w:val="single" w:sz="4" w:space="0" w:color="000000"/>
              <w:left w:val="single" w:sz="4" w:space="0" w:color="000000"/>
              <w:bottom w:val="single" w:sz="4" w:space="0" w:color="000000"/>
              <w:right w:val="single" w:sz="4" w:space="0" w:color="auto"/>
            </w:tcBorders>
            <w:vAlign w:val="center"/>
            <w:hideMark/>
          </w:tcPr>
          <w:p w:rsidR="00644C52" w:rsidRPr="00724C26" w:rsidRDefault="00644C52" w:rsidP="00724C26">
            <w:pPr>
              <w:adjustRightInd w:val="0"/>
              <w:snapToGrid w:val="0"/>
              <w:spacing w:line="0" w:lineRule="atLeast"/>
              <w:ind w:rightChars="50" w:right="120"/>
              <w:jc w:val="righ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1,842,364</w:t>
            </w:r>
          </w:p>
        </w:tc>
        <w:tc>
          <w:tcPr>
            <w:tcW w:w="973" w:type="dxa"/>
            <w:tcBorders>
              <w:top w:val="single" w:sz="4" w:space="0" w:color="000000"/>
              <w:left w:val="single" w:sz="4" w:space="0" w:color="auto"/>
              <w:bottom w:val="single" w:sz="4" w:space="0" w:color="000000"/>
              <w:right w:val="nil"/>
            </w:tcBorders>
            <w:vAlign w:val="center"/>
          </w:tcPr>
          <w:p w:rsidR="00644C52" w:rsidRPr="00724C26" w:rsidRDefault="00644C52" w:rsidP="00724C26">
            <w:pPr>
              <w:adjustRightInd w:val="0"/>
              <w:snapToGrid w:val="0"/>
              <w:spacing w:line="0" w:lineRule="atLeast"/>
              <w:ind w:rightChars="50" w:right="120"/>
              <w:jc w:val="right"/>
              <w:rPr>
                <w:rFonts w:ascii="Times New Roman" w:eastAsia="標楷體" w:hAnsi="Times New Roman" w:cs="Times New Roman"/>
                <w:color w:val="000000" w:themeColor="text1"/>
              </w:rPr>
            </w:pPr>
            <w:r w:rsidRPr="00724C26">
              <w:rPr>
                <w:rFonts w:ascii="Times New Roman" w:eastAsia="標楷體" w:hAnsi="Times New Roman" w:cs="Times New Roman"/>
                <w:color w:val="000000" w:themeColor="text1"/>
              </w:rPr>
              <w:t>85.4</w:t>
            </w:r>
          </w:p>
        </w:tc>
      </w:tr>
    </w:tbl>
    <w:p w:rsidR="00644C52" w:rsidRPr="007F2D59" w:rsidRDefault="00644C52" w:rsidP="00644C52">
      <w:pPr>
        <w:widowControl/>
        <w:spacing w:afterLines="150" w:after="360"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資料來源：經濟部投資審議委員會</w:t>
      </w:r>
    </w:p>
    <w:p w:rsidR="00644C52" w:rsidRPr="00724C26" w:rsidRDefault="00644C52" w:rsidP="00644C52">
      <w:pPr>
        <w:keepNext/>
        <w:spacing w:line="480" w:lineRule="exact"/>
        <w:outlineLvl w:val="1"/>
        <w:rPr>
          <w:rFonts w:ascii="Times New Roman" w:eastAsia="標楷體" w:hAnsi="Times New Roman" w:cs="Times New Roman"/>
          <w:b/>
          <w:bCs/>
          <w:color w:val="000000" w:themeColor="text1"/>
          <w:kern w:val="0"/>
          <w:sz w:val="28"/>
          <w:szCs w:val="32"/>
        </w:rPr>
      </w:pPr>
      <w:bookmarkStart w:id="26" w:name="_Toc489971719"/>
      <w:bookmarkStart w:id="27" w:name="_Toc521067606"/>
      <w:bookmarkStart w:id="28" w:name="_Toc1397867"/>
      <w:bookmarkStart w:id="29" w:name="_Toc1400593"/>
      <w:r w:rsidRPr="00724C26">
        <w:rPr>
          <w:rFonts w:ascii="Times New Roman" w:eastAsia="標楷體" w:hAnsi="Times New Roman" w:cs="Times New Roman"/>
          <w:b/>
          <w:bCs/>
          <w:color w:val="000000" w:themeColor="text1"/>
          <w:sz w:val="28"/>
          <w:szCs w:val="32"/>
        </w:rPr>
        <w:lastRenderedPageBreak/>
        <w:t>二、雙邊貿易</w:t>
      </w:r>
      <w:bookmarkEnd w:id="26"/>
      <w:bookmarkEnd w:id="27"/>
      <w:bookmarkEnd w:id="28"/>
      <w:bookmarkEnd w:id="29"/>
    </w:p>
    <w:p w:rsidR="00644C52" w:rsidRPr="00724C26" w:rsidRDefault="00644C52" w:rsidP="00C84EE9">
      <w:pPr>
        <w:spacing w:line="460" w:lineRule="exact"/>
        <w:ind w:firstLineChars="236" w:firstLine="661"/>
        <w:jc w:val="both"/>
        <w:rPr>
          <w:rFonts w:ascii="Times New Roman" w:eastAsia="標楷體" w:hAnsi="Times New Roman" w:cs="Times New Roman"/>
          <w:color w:val="000000" w:themeColor="text1"/>
          <w:kern w:val="0"/>
          <w:sz w:val="28"/>
          <w:szCs w:val="32"/>
        </w:rPr>
      </w:pP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年上半年受惠於廠商搶出口及人民幣貶值帶動中國大陸出口成長，我對陸出口亦呈兩位數成長，惟下半年起，受美中貿易戰的效應逐步顯現及基期偏高影響，第</w:t>
      </w:r>
      <w:r w:rsidRPr="00724C26">
        <w:rPr>
          <w:rFonts w:ascii="Times New Roman" w:eastAsia="標楷體" w:hAnsi="Times New Roman" w:cs="Times New Roman"/>
          <w:color w:val="000000" w:themeColor="text1"/>
          <w:kern w:val="0"/>
          <w:sz w:val="28"/>
          <w:szCs w:val="32"/>
        </w:rPr>
        <w:t>3</w:t>
      </w:r>
      <w:r w:rsidRPr="00724C26">
        <w:rPr>
          <w:rFonts w:ascii="Times New Roman" w:eastAsia="標楷體" w:hAnsi="Times New Roman" w:cs="Times New Roman"/>
          <w:color w:val="000000" w:themeColor="text1"/>
          <w:kern w:val="0"/>
          <w:sz w:val="28"/>
          <w:szCs w:val="32"/>
        </w:rPr>
        <w:t>季對陸出口僅成長</w:t>
      </w:r>
      <w:r w:rsidRPr="00724C26">
        <w:rPr>
          <w:rFonts w:ascii="Times New Roman" w:eastAsia="標楷體" w:hAnsi="Times New Roman" w:cs="Times New Roman"/>
          <w:color w:val="000000" w:themeColor="text1"/>
          <w:kern w:val="0"/>
          <w:sz w:val="28"/>
          <w:szCs w:val="32"/>
        </w:rPr>
        <w:t>6.2%</w:t>
      </w:r>
      <w:r w:rsidRPr="00724C26">
        <w:rPr>
          <w:rFonts w:ascii="Times New Roman" w:eastAsia="標楷體" w:hAnsi="Times New Roman" w:cs="Times New Roman"/>
          <w:color w:val="000000" w:themeColor="text1"/>
          <w:kern w:val="0"/>
          <w:sz w:val="28"/>
          <w:szCs w:val="32"/>
        </w:rPr>
        <w:t>，第</w:t>
      </w:r>
      <w:r w:rsidRPr="00724C26">
        <w:rPr>
          <w:rFonts w:ascii="Times New Roman" w:eastAsia="標楷體" w:hAnsi="Times New Roman" w:cs="Times New Roman"/>
          <w:color w:val="000000" w:themeColor="text1"/>
          <w:kern w:val="0"/>
          <w:sz w:val="28"/>
          <w:szCs w:val="32"/>
        </w:rPr>
        <w:t>4</w:t>
      </w:r>
      <w:r w:rsidRPr="00724C26">
        <w:rPr>
          <w:rFonts w:ascii="Times New Roman" w:eastAsia="標楷體" w:hAnsi="Times New Roman" w:cs="Times New Roman"/>
          <w:color w:val="000000" w:themeColor="text1"/>
          <w:kern w:val="0"/>
          <w:sz w:val="28"/>
          <w:szCs w:val="32"/>
        </w:rPr>
        <w:t>季更出現負成長。據財政部海關資料顯示，</w:t>
      </w: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年對中國大陸出口金額為</w:t>
      </w:r>
      <w:r w:rsidRPr="00724C26">
        <w:rPr>
          <w:rFonts w:ascii="Times New Roman" w:eastAsia="標楷體" w:hAnsi="Times New Roman" w:cs="Times New Roman"/>
          <w:color w:val="000000" w:themeColor="text1"/>
          <w:kern w:val="0"/>
          <w:sz w:val="28"/>
          <w:szCs w:val="32"/>
        </w:rPr>
        <w:t>968</w:t>
      </w:r>
      <w:r w:rsidRPr="00724C26">
        <w:rPr>
          <w:rFonts w:ascii="Times New Roman" w:eastAsia="標楷體" w:hAnsi="Times New Roman" w:cs="Times New Roman"/>
          <w:color w:val="000000" w:themeColor="text1"/>
          <w:kern w:val="0"/>
          <w:sz w:val="28"/>
          <w:szCs w:val="32"/>
        </w:rPr>
        <w:t>億美元（占我出口總額</w:t>
      </w:r>
      <w:r w:rsidRPr="00724C26">
        <w:rPr>
          <w:rFonts w:ascii="Times New Roman" w:eastAsia="標楷體" w:hAnsi="Times New Roman" w:cs="Times New Roman"/>
          <w:color w:val="000000" w:themeColor="text1"/>
          <w:kern w:val="0"/>
          <w:sz w:val="28"/>
          <w:szCs w:val="32"/>
        </w:rPr>
        <w:t>28.8%</w:t>
      </w:r>
      <w:r w:rsidRPr="00724C26">
        <w:rPr>
          <w:rFonts w:ascii="Times New Roman" w:eastAsia="標楷體" w:hAnsi="Times New Roman" w:cs="Times New Roman"/>
          <w:color w:val="000000" w:themeColor="text1"/>
          <w:kern w:val="0"/>
          <w:sz w:val="28"/>
          <w:szCs w:val="32"/>
        </w:rPr>
        <w:t>），較上年增加</w:t>
      </w:r>
      <w:r w:rsidRPr="00724C26">
        <w:rPr>
          <w:rFonts w:ascii="Times New Roman" w:eastAsia="標楷體" w:hAnsi="Times New Roman" w:cs="Times New Roman"/>
          <w:color w:val="000000" w:themeColor="text1"/>
          <w:kern w:val="0"/>
          <w:sz w:val="28"/>
          <w:szCs w:val="32"/>
        </w:rPr>
        <w:t>8.8%</w:t>
      </w:r>
      <w:r w:rsidRPr="00724C26">
        <w:rPr>
          <w:rFonts w:ascii="Times New Roman" w:eastAsia="標楷體" w:hAnsi="Times New Roman" w:cs="Times New Roman"/>
          <w:color w:val="000000" w:themeColor="text1"/>
          <w:kern w:val="0"/>
          <w:sz w:val="28"/>
          <w:szCs w:val="32"/>
        </w:rPr>
        <w:t>。在進口方面，自中國大陸進口金額為</w:t>
      </w:r>
      <w:r w:rsidRPr="00724C26">
        <w:rPr>
          <w:rFonts w:ascii="Times New Roman" w:eastAsia="標楷體" w:hAnsi="Times New Roman" w:cs="Times New Roman"/>
          <w:color w:val="000000" w:themeColor="text1"/>
          <w:kern w:val="0"/>
          <w:sz w:val="28"/>
          <w:szCs w:val="32"/>
        </w:rPr>
        <w:t>538</w:t>
      </w:r>
      <w:r w:rsidRPr="00724C26">
        <w:rPr>
          <w:rFonts w:ascii="Times New Roman" w:eastAsia="標楷體" w:hAnsi="Times New Roman" w:cs="Times New Roman"/>
          <w:color w:val="000000" w:themeColor="text1"/>
          <w:kern w:val="0"/>
          <w:sz w:val="28"/>
          <w:szCs w:val="32"/>
        </w:rPr>
        <w:t>億美元（占我進口總額</w:t>
      </w:r>
      <w:r w:rsidRPr="00724C26">
        <w:rPr>
          <w:rFonts w:ascii="Times New Roman" w:eastAsia="標楷體" w:hAnsi="Times New Roman" w:cs="Times New Roman"/>
          <w:color w:val="000000" w:themeColor="text1"/>
          <w:kern w:val="0"/>
          <w:sz w:val="28"/>
          <w:szCs w:val="32"/>
        </w:rPr>
        <w:t>18.8%</w:t>
      </w:r>
      <w:r w:rsidRPr="00724C26">
        <w:rPr>
          <w:rFonts w:ascii="Times New Roman" w:eastAsia="標楷體" w:hAnsi="Times New Roman" w:cs="Times New Roman"/>
          <w:color w:val="000000" w:themeColor="text1"/>
          <w:kern w:val="0"/>
          <w:sz w:val="28"/>
          <w:szCs w:val="32"/>
        </w:rPr>
        <w:t>），增加</w:t>
      </w:r>
      <w:r w:rsidRPr="00724C26">
        <w:rPr>
          <w:rFonts w:ascii="Times New Roman" w:eastAsia="標楷體" w:hAnsi="Times New Roman" w:cs="Times New Roman"/>
          <w:color w:val="000000" w:themeColor="text1"/>
          <w:kern w:val="0"/>
          <w:sz w:val="28"/>
          <w:szCs w:val="32"/>
        </w:rPr>
        <w:t>7.5%</w:t>
      </w:r>
      <w:r w:rsidRPr="00724C26">
        <w:rPr>
          <w:rFonts w:ascii="Times New Roman" w:eastAsia="標楷體" w:hAnsi="Times New Roman" w:cs="Times New Roman"/>
          <w:color w:val="000000" w:themeColor="text1"/>
          <w:kern w:val="0"/>
          <w:sz w:val="28"/>
          <w:szCs w:val="32"/>
        </w:rPr>
        <w:t>。另</w:t>
      </w: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kern w:val="0"/>
          <w:sz w:val="28"/>
          <w:szCs w:val="32"/>
        </w:rPr>
        <w:t>年</w:t>
      </w:r>
      <w:r w:rsidRPr="00724C26">
        <w:rPr>
          <w:rFonts w:ascii="Times New Roman" w:eastAsia="標楷體" w:hAnsi="Times New Roman" w:cs="Times New Roman"/>
          <w:color w:val="000000" w:themeColor="text1"/>
          <w:kern w:val="0"/>
          <w:sz w:val="28"/>
          <w:szCs w:val="32"/>
        </w:rPr>
        <w:t>對中國大陸及香港出口金額</w:t>
      </w:r>
      <w:r w:rsidRPr="00724C26">
        <w:rPr>
          <w:rFonts w:ascii="Times New Roman" w:eastAsia="標楷體" w:hAnsi="Times New Roman" w:cs="Times New Roman"/>
          <w:color w:val="000000" w:themeColor="text1"/>
          <w:kern w:val="0"/>
          <w:sz w:val="28"/>
          <w:szCs w:val="32"/>
        </w:rPr>
        <w:t>1,384</w:t>
      </w:r>
      <w:r w:rsidRPr="00724C26">
        <w:rPr>
          <w:rFonts w:ascii="Times New Roman" w:eastAsia="標楷體" w:hAnsi="Times New Roman" w:cs="Times New Roman"/>
          <w:color w:val="000000" w:themeColor="text1"/>
          <w:kern w:val="0"/>
          <w:sz w:val="28"/>
          <w:szCs w:val="32"/>
        </w:rPr>
        <w:t>億美元（占我出口總額</w:t>
      </w:r>
      <w:r w:rsidRPr="00724C26">
        <w:rPr>
          <w:rFonts w:ascii="Times New Roman" w:eastAsia="標楷體" w:hAnsi="Times New Roman" w:cs="Times New Roman"/>
          <w:color w:val="000000" w:themeColor="text1"/>
          <w:kern w:val="0"/>
          <w:sz w:val="28"/>
          <w:szCs w:val="32"/>
        </w:rPr>
        <w:t>41.2%</w:t>
      </w:r>
      <w:r w:rsidRPr="00724C26">
        <w:rPr>
          <w:rFonts w:ascii="Times New Roman" w:eastAsia="標楷體" w:hAnsi="Times New Roman" w:cs="Times New Roman"/>
          <w:color w:val="000000" w:themeColor="text1"/>
          <w:kern w:val="0"/>
          <w:sz w:val="28"/>
          <w:szCs w:val="32"/>
        </w:rPr>
        <w:t>），增加</w:t>
      </w:r>
      <w:r w:rsidRPr="00724C26">
        <w:rPr>
          <w:rFonts w:ascii="Times New Roman" w:eastAsia="標楷體" w:hAnsi="Times New Roman" w:cs="Times New Roman"/>
          <w:color w:val="000000" w:themeColor="text1"/>
          <w:kern w:val="0"/>
          <w:sz w:val="28"/>
          <w:szCs w:val="32"/>
        </w:rPr>
        <w:t>6.3%</w:t>
      </w:r>
      <w:r w:rsidRPr="00724C26">
        <w:rPr>
          <w:rFonts w:ascii="Times New Roman" w:eastAsia="標楷體" w:hAnsi="Times New Roman" w:cs="Times New Roman"/>
          <w:color w:val="000000" w:themeColor="text1"/>
          <w:kern w:val="0"/>
          <w:sz w:val="28"/>
          <w:szCs w:val="32"/>
        </w:rPr>
        <w:t>；進口金額為</w:t>
      </w:r>
      <w:r w:rsidRPr="00724C26">
        <w:rPr>
          <w:rFonts w:ascii="Times New Roman" w:eastAsia="標楷體" w:hAnsi="Times New Roman" w:cs="Times New Roman"/>
          <w:color w:val="000000" w:themeColor="text1"/>
          <w:kern w:val="0"/>
          <w:sz w:val="28"/>
          <w:szCs w:val="32"/>
        </w:rPr>
        <w:t>552.1</w:t>
      </w:r>
      <w:r w:rsidRPr="00724C26">
        <w:rPr>
          <w:rFonts w:ascii="Times New Roman" w:eastAsia="標楷體" w:hAnsi="Times New Roman" w:cs="Times New Roman"/>
          <w:color w:val="000000" w:themeColor="text1"/>
          <w:kern w:val="0"/>
          <w:sz w:val="28"/>
          <w:szCs w:val="32"/>
        </w:rPr>
        <w:t>億美元（占我進口總額</w:t>
      </w:r>
      <w:r w:rsidRPr="00724C26">
        <w:rPr>
          <w:rFonts w:ascii="Times New Roman" w:eastAsia="標楷體" w:hAnsi="Times New Roman" w:cs="Times New Roman"/>
          <w:color w:val="000000" w:themeColor="text1"/>
          <w:kern w:val="0"/>
          <w:sz w:val="28"/>
          <w:szCs w:val="32"/>
        </w:rPr>
        <w:t>19.3%</w:t>
      </w:r>
      <w:r w:rsidRPr="00724C26">
        <w:rPr>
          <w:rFonts w:ascii="Times New Roman" w:eastAsia="標楷體" w:hAnsi="Times New Roman" w:cs="Times New Roman"/>
          <w:color w:val="000000" w:themeColor="text1"/>
          <w:kern w:val="0"/>
          <w:sz w:val="28"/>
          <w:szCs w:val="32"/>
        </w:rPr>
        <w:t>），增加</w:t>
      </w:r>
      <w:r w:rsidRPr="00724C26">
        <w:rPr>
          <w:rFonts w:ascii="Times New Roman" w:eastAsia="標楷體" w:hAnsi="Times New Roman" w:cs="Times New Roman"/>
          <w:color w:val="000000" w:themeColor="text1"/>
          <w:kern w:val="0"/>
          <w:sz w:val="28"/>
          <w:szCs w:val="32"/>
        </w:rPr>
        <w:t>7.1%</w:t>
      </w:r>
      <w:r w:rsidRPr="00724C26">
        <w:rPr>
          <w:rFonts w:ascii="Times New Roman" w:eastAsia="標楷體" w:hAnsi="Times New Roman" w:cs="Times New Roman"/>
          <w:color w:val="000000" w:themeColor="text1"/>
          <w:kern w:val="0"/>
          <w:sz w:val="28"/>
          <w:szCs w:val="32"/>
        </w:rPr>
        <w:t>（表</w:t>
      </w:r>
      <w:r w:rsidRPr="00724C26">
        <w:rPr>
          <w:rFonts w:ascii="Times New Roman" w:eastAsia="標楷體" w:hAnsi="Times New Roman" w:cs="Times New Roman"/>
          <w:color w:val="000000" w:themeColor="text1"/>
          <w:kern w:val="0"/>
          <w:sz w:val="28"/>
          <w:szCs w:val="32"/>
        </w:rPr>
        <w:t>2-5</w:t>
      </w:r>
      <w:r w:rsidRPr="00724C26">
        <w:rPr>
          <w:rFonts w:ascii="Times New Roman" w:eastAsia="標楷體" w:hAnsi="Times New Roman" w:cs="Times New Roman"/>
          <w:color w:val="000000" w:themeColor="text1"/>
          <w:kern w:val="0"/>
          <w:sz w:val="28"/>
          <w:szCs w:val="32"/>
        </w:rPr>
        <w:t>）。</w:t>
      </w:r>
    </w:p>
    <w:p w:rsidR="00644C52" w:rsidRDefault="00644C52" w:rsidP="00644C52">
      <w:pPr>
        <w:widowControl/>
        <w:autoSpaceDE w:val="0"/>
        <w:snapToGrid w:val="0"/>
        <w:spacing w:line="0" w:lineRule="atLeast"/>
        <w:ind w:leftChars="236" w:left="566" w:firstLineChars="200" w:firstLine="561"/>
        <w:jc w:val="center"/>
        <w:rPr>
          <w:rFonts w:eastAsia="標楷體"/>
          <w:b/>
          <w:color w:val="000000" w:themeColor="text1"/>
          <w:kern w:val="0"/>
          <w:sz w:val="28"/>
          <w:szCs w:val="32"/>
        </w:rPr>
      </w:pPr>
    </w:p>
    <w:p w:rsidR="00644C52" w:rsidRPr="00724C26" w:rsidRDefault="00644C52" w:rsidP="00644C52">
      <w:pPr>
        <w:widowControl/>
        <w:autoSpaceDE w:val="0"/>
        <w:snapToGrid w:val="0"/>
        <w:spacing w:line="0" w:lineRule="atLeast"/>
        <w:ind w:leftChars="236" w:left="566" w:firstLineChars="200" w:firstLine="561"/>
        <w:jc w:val="center"/>
        <w:rPr>
          <w:rFonts w:ascii="Times New Roman" w:eastAsia="標楷體" w:hAnsi="Times New Roman" w:cs="Times New Roman"/>
          <w:b/>
          <w:color w:val="000000" w:themeColor="text1"/>
          <w:kern w:val="0"/>
          <w:sz w:val="27"/>
          <w:szCs w:val="27"/>
        </w:rPr>
      </w:pPr>
      <w:r w:rsidRPr="007F2D59">
        <w:rPr>
          <w:rFonts w:eastAsia="標楷體" w:hint="eastAsia"/>
          <w:b/>
          <w:color w:val="000000" w:themeColor="text1"/>
          <w:kern w:val="0"/>
          <w:sz w:val="28"/>
          <w:szCs w:val="32"/>
        </w:rPr>
        <w:t xml:space="preserve"> </w:t>
      </w:r>
      <w:r w:rsidRPr="00724C26">
        <w:rPr>
          <w:rFonts w:ascii="Times New Roman" w:eastAsia="標楷體" w:hAnsi="Times New Roman" w:cs="Times New Roman"/>
          <w:b/>
          <w:color w:val="000000" w:themeColor="text1"/>
          <w:kern w:val="0"/>
          <w:sz w:val="27"/>
          <w:szCs w:val="27"/>
        </w:rPr>
        <w:t>表</w:t>
      </w:r>
      <w:r w:rsidRPr="00724C26">
        <w:rPr>
          <w:rFonts w:ascii="Times New Roman" w:eastAsia="標楷體" w:hAnsi="Times New Roman" w:cs="Times New Roman"/>
          <w:b/>
          <w:color w:val="000000" w:themeColor="text1"/>
          <w:kern w:val="0"/>
          <w:sz w:val="27"/>
          <w:szCs w:val="27"/>
        </w:rPr>
        <w:t xml:space="preserve">2-5 </w:t>
      </w:r>
      <w:r w:rsidRPr="00724C26">
        <w:rPr>
          <w:rFonts w:ascii="Times New Roman" w:eastAsia="標楷體" w:hAnsi="Times New Roman" w:cs="Times New Roman"/>
          <w:b/>
          <w:color w:val="000000" w:themeColor="text1"/>
          <w:kern w:val="0"/>
          <w:sz w:val="27"/>
          <w:szCs w:val="27"/>
        </w:rPr>
        <w:t>我國對中國大陸及香港貿易統計</w:t>
      </w:r>
    </w:p>
    <w:p w:rsidR="00644C52" w:rsidRPr="007F2D59" w:rsidRDefault="00644C52" w:rsidP="00644C52">
      <w:pPr>
        <w:widowControl/>
        <w:snapToGrid w:val="0"/>
        <w:ind w:right="-426"/>
        <w:jc w:val="right"/>
        <w:rPr>
          <w:rFonts w:ascii="標楷體" w:eastAsia="標楷體" w:hAnsi="標楷體"/>
          <w:color w:val="000000" w:themeColor="text1"/>
          <w:kern w:val="0"/>
          <w:sz w:val="20"/>
          <w:szCs w:val="20"/>
        </w:rPr>
      </w:pPr>
      <w:r w:rsidRPr="007F2D59">
        <w:rPr>
          <w:rFonts w:ascii="標楷體" w:eastAsia="標楷體" w:hAnsi="標楷體" w:hint="eastAsia"/>
          <w:color w:val="000000" w:themeColor="text1"/>
          <w:kern w:val="0"/>
          <w:sz w:val="20"/>
          <w:szCs w:val="20"/>
        </w:rPr>
        <w:t>單位：百萬美元；</w:t>
      </w:r>
      <w:r w:rsidRPr="007F2D59">
        <w:rPr>
          <w:rFonts w:eastAsia="標楷體" w:hint="eastAsia"/>
          <w:color w:val="000000" w:themeColor="text1"/>
          <w:kern w:val="0"/>
          <w:sz w:val="20"/>
          <w:szCs w:val="20"/>
        </w:rPr>
        <w:t>%</w:t>
      </w:r>
    </w:p>
    <w:tbl>
      <w:tblPr>
        <w:tblW w:w="9668" w:type="dxa"/>
        <w:jc w:val="center"/>
        <w:tblCellMar>
          <w:left w:w="28" w:type="dxa"/>
          <w:right w:w="28" w:type="dxa"/>
        </w:tblCellMar>
        <w:tblLook w:val="04A0" w:firstRow="1" w:lastRow="0" w:firstColumn="1" w:lastColumn="0" w:noHBand="0" w:noVBand="1"/>
      </w:tblPr>
      <w:tblGrid>
        <w:gridCol w:w="1448"/>
        <w:gridCol w:w="883"/>
        <w:gridCol w:w="693"/>
        <w:gridCol w:w="788"/>
        <w:gridCol w:w="706"/>
        <w:gridCol w:w="883"/>
        <w:gridCol w:w="939"/>
        <w:gridCol w:w="758"/>
        <w:gridCol w:w="884"/>
        <w:gridCol w:w="886"/>
        <w:gridCol w:w="800"/>
      </w:tblGrid>
      <w:tr w:rsidR="00644C52" w:rsidRPr="00724C26" w:rsidTr="00644C52">
        <w:trPr>
          <w:trHeight w:val="228"/>
          <w:jc w:val="center"/>
        </w:trPr>
        <w:tc>
          <w:tcPr>
            <w:tcW w:w="1448" w:type="dxa"/>
            <w:vMerge w:val="restart"/>
            <w:tcBorders>
              <w:top w:val="single" w:sz="4" w:space="0" w:color="auto"/>
              <w:left w:val="nil"/>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年</w:t>
            </w:r>
            <w:r w:rsidRPr="00724C26">
              <w:rPr>
                <w:rFonts w:ascii="Times New Roman" w:eastAsia="標楷體" w:hAnsi="Times New Roman" w:cs="Times New Roman"/>
                <w:color w:val="000000" w:themeColor="text1"/>
                <w:kern w:val="0"/>
              </w:rPr>
              <w:t xml:space="preserve">  </w:t>
            </w:r>
            <w:r w:rsidRPr="00724C26">
              <w:rPr>
                <w:rFonts w:ascii="Times New Roman" w:eastAsia="標楷體" w:hAnsi="Times New Roman" w:cs="Times New Roman"/>
                <w:color w:val="000000" w:themeColor="text1"/>
                <w:kern w:val="0"/>
              </w:rPr>
              <w:t>季</w:t>
            </w:r>
          </w:p>
        </w:tc>
        <w:tc>
          <w:tcPr>
            <w:tcW w:w="3953" w:type="dxa"/>
            <w:gridSpan w:val="5"/>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中國大陸</w:t>
            </w:r>
          </w:p>
        </w:tc>
        <w:tc>
          <w:tcPr>
            <w:tcW w:w="4267" w:type="dxa"/>
            <w:gridSpan w:val="5"/>
            <w:tcBorders>
              <w:top w:val="single" w:sz="4" w:space="0" w:color="auto"/>
              <w:left w:val="single" w:sz="4" w:space="0" w:color="auto"/>
              <w:bottom w:val="single" w:sz="4" w:space="0" w:color="auto"/>
              <w:right w:val="nil"/>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香港</w:t>
            </w:r>
          </w:p>
        </w:tc>
      </w:tr>
      <w:tr w:rsidR="00644C52" w:rsidRPr="00724C26" w:rsidTr="00644C52">
        <w:trPr>
          <w:trHeight w:val="148"/>
          <w:jc w:val="center"/>
        </w:trPr>
        <w:tc>
          <w:tcPr>
            <w:tcW w:w="1448" w:type="dxa"/>
            <w:vMerge/>
            <w:tcBorders>
              <w:top w:val="single" w:sz="4" w:space="0" w:color="auto"/>
              <w:left w:val="nil"/>
              <w:bottom w:val="single" w:sz="4" w:space="0" w:color="auto"/>
              <w:right w:val="single" w:sz="4" w:space="0" w:color="auto"/>
            </w:tcBorders>
            <w:vAlign w:val="center"/>
            <w:hideMark/>
          </w:tcPr>
          <w:p w:rsidR="00644C52" w:rsidRPr="00724C26" w:rsidRDefault="00644C52" w:rsidP="00644C52">
            <w:pPr>
              <w:widowControl/>
              <w:adjustRightInd w:val="0"/>
              <w:snapToGrid w:val="0"/>
              <w:spacing w:line="0" w:lineRule="atLeast"/>
              <w:rPr>
                <w:rFonts w:ascii="Times New Roman" w:eastAsia="標楷體" w:hAnsi="Times New Roman" w:cs="Times New Roman"/>
                <w:color w:val="000000" w:themeColor="text1"/>
                <w:kern w:val="0"/>
              </w:rPr>
            </w:pPr>
          </w:p>
        </w:tc>
        <w:tc>
          <w:tcPr>
            <w:tcW w:w="1576" w:type="dxa"/>
            <w:gridSpan w:val="2"/>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出口</w:t>
            </w:r>
          </w:p>
        </w:tc>
        <w:tc>
          <w:tcPr>
            <w:tcW w:w="1494" w:type="dxa"/>
            <w:gridSpan w:val="2"/>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進口</w:t>
            </w:r>
          </w:p>
        </w:tc>
        <w:tc>
          <w:tcPr>
            <w:tcW w:w="883" w:type="dxa"/>
            <w:vMerge w:val="restart"/>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出（入）超</w:t>
            </w:r>
          </w:p>
        </w:tc>
        <w:tc>
          <w:tcPr>
            <w:tcW w:w="1697" w:type="dxa"/>
            <w:gridSpan w:val="2"/>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出口</w:t>
            </w:r>
          </w:p>
        </w:tc>
        <w:tc>
          <w:tcPr>
            <w:tcW w:w="1770" w:type="dxa"/>
            <w:gridSpan w:val="2"/>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進口</w:t>
            </w:r>
          </w:p>
        </w:tc>
        <w:tc>
          <w:tcPr>
            <w:tcW w:w="800" w:type="dxa"/>
            <w:vMerge w:val="restart"/>
            <w:tcBorders>
              <w:top w:val="single" w:sz="4" w:space="0" w:color="auto"/>
              <w:left w:val="single" w:sz="4" w:space="0" w:color="auto"/>
              <w:bottom w:val="single" w:sz="4" w:space="0" w:color="auto"/>
              <w:right w:val="nil"/>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出（入）超</w:t>
            </w:r>
          </w:p>
        </w:tc>
      </w:tr>
      <w:tr w:rsidR="00644C52" w:rsidRPr="00724C26" w:rsidTr="00644C52">
        <w:trPr>
          <w:trHeight w:val="104"/>
          <w:jc w:val="center"/>
        </w:trPr>
        <w:tc>
          <w:tcPr>
            <w:tcW w:w="1448" w:type="dxa"/>
            <w:vMerge/>
            <w:tcBorders>
              <w:top w:val="single" w:sz="4" w:space="0" w:color="auto"/>
              <w:left w:val="nil"/>
              <w:bottom w:val="single" w:sz="4" w:space="0" w:color="auto"/>
              <w:right w:val="single" w:sz="4" w:space="0" w:color="auto"/>
            </w:tcBorders>
            <w:vAlign w:val="center"/>
            <w:hideMark/>
          </w:tcPr>
          <w:p w:rsidR="00644C52" w:rsidRPr="00724C26" w:rsidRDefault="00644C52" w:rsidP="00644C52">
            <w:pPr>
              <w:widowControl/>
              <w:adjustRightInd w:val="0"/>
              <w:snapToGrid w:val="0"/>
              <w:spacing w:line="0" w:lineRule="atLeast"/>
              <w:rPr>
                <w:rFonts w:ascii="Times New Roman" w:eastAsia="標楷體" w:hAnsi="Times New Roman" w:cs="Times New Roman"/>
                <w:color w:val="000000" w:themeColor="text1"/>
                <w:kern w:val="0"/>
              </w:rPr>
            </w:pP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金額</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年增率</w:t>
            </w:r>
          </w:p>
        </w:tc>
        <w:tc>
          <w:tcPr>
            <w:tcW w:w="788"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金額</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年增率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C52" w:rsidRPr="00724C26" w:rsidRDefault="00644C52" w:rsidP="00644C52">
            <w:pPr>
              <w:widowControl/>
              <w:adjustRightInd w:val="0"/>
              <w:snapToGrid w:val="0"/>
              <w:spacing w:line="0" w:lineRule="atLeast"/>
              <w:rPr>
                <w:rFonts w:ascii="Times New Roman" w:eastAsia="標楷體" w:hAnsi="Times New Roman" w:cs="Times New Roman"/>
                <w:color w:val="000000" w:themeColor="text1"/>
                <w:kern w:val="0"/>
              </w:rPr>
            </w:pP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金額</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年增率</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金額</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年增率</w:t>
            </w:r>
          </w:p>
        </w:tc>
        <w:tc>
          <w:tcPr>
            <w:tcW w:w="0" w:type="auto"/>
            <w:vMerge/>
            <w:tcBorders>
              <w:top w:val="single" w:sz="4" w:space="0" w:color="auto"/>
              <w:left w:val="single" w:sz="4" w:space="0" w:color="auto"/>
              <w:bottom w:val="single" w:sz="4" w:space="0" w:color="auto"/>
              <w:right w:val="nil"/>
            </w:tcBorders>
            <w:vAlign w:val="center"/>
            <w:hideMark/>
          </w:tcPr>
          <w:p w:rsidR="00644C52" w:rsidRPr="00724C26" w:rsidRDefault="00644C52" w:rsidP="00644C52">
            <w:pPr>
              <w:widowControl/>
              <w:adjustRightInd w:val="0"/>
              <w:snapToGrid w:val="0"/>
              <w:spacing w:line="0" w:lineRule="atLeast"/>
              <w:rPr>
                <w:rFonts w:ascii="Times New Roman" w:eastAsia="標楷體" w:hAnsi="Times New Roman" w:cs="Times New Roman"/>
                <w:color w:val="000000" w:themeColor="text1"/>
                <w:kern w:val="0"/>
              </w:rPr>
            </w:pPr>
          </w:p>
        </w:tc>
      </w:tr>
      <w:tr w:rsidR="00644C52" w:rsidRPr="00724C26" w:rsidTr="00644C52">
        <w:trPr>
          <w:trHeight w:val="232"/>
          <w:jc w:val="center"/>
        </w:trPr>
        <w:tc>
          <w:tcPr>
            <w:tcW w:w="1448" w:type="dxa"/>
            <w:tcBorders>
              <w:top w:val="single" w:sz="4" w:space="0" w:color="auto"/>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2010</w:t>
            </w:r>
          </w:p>
        </w:tc>
        <w:tc>
          <w:tcPr>
            <w:tcW w:w="883"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76,935 </w:t>
            </w:r>
          </w:p>
        </w:tc>
        <w:tc>
          <w:tcPr>
            <w:tcW w:w="693"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41.8</w:t>
            </w:r>
          </w:p>
        </w:tc>
        <w:tc>
          <w:tcPr>
            <w:tcW w:w="788"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35,946 </w:t>
            </w:r>
          </w:p>
        </w:tc>
        <w:tc>
          <w:tcPr>
            <w:tcW w:w="706"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47.2</w:t>
            </w:r>
          </w:p>
        </w:tc>
        <w:tc>
          <w:tcPr>
            <w:tcW w:w="883"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40,989 </w:t>
            </w:r>
          </w:p>
        </w:tc>
        <w:tc>
          <w:tcPr>
            <w:tcW w:w="939"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37,807 </w:t>
            </w:r>
          </w:p>
        </w:tc>
        <w:tc>
          <w:tcPr>
            <w:tcW w:w="758"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28.4</w:t>
            </w:r>
          </w:p>
        </w:tc>
        <w:tc>
          <w:tcPr>
            <w:tcW w:w="884"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1,628 </w:t>
            </w:r>
          </w:p>
        </w:tc>
        <w:tc>
          <w:tcPr>
            <w:tcW w:w="886" w:type="dxa"/>
            <w:tcBorders>
              <w:top w:val="single" w:sz="4" w:space="0" w:color="auto"/>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45.0</w:t>
            </w:r>
          </w:p>
        </w:tc>
        <w:tc>
          <w:tcPr>
            <w:tcW w:w="800" w:type="dxa"/>
            <w:tcBorders>
              <w:top w:val="single" w:sz="4" w:space="0" w:color="auto"/>
              <w:left w:val="single" w:sz="4" w:space="0" w:color="auto"/>
              <w:right w:val="nil"/>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 xml:space="preserve">36,179 </w:t>
            </w:r>
          </w:p>
        </w:tc>
      </w:tr>
      <w:tr w:rsidR="00644C52" w:rsidRPr="00724C26" w:rsidTr="00644C52">
        <w:trPr>
          <w:trHeight w:val="232"/>
          <w:jc w:val="center"/>
        </w:trPr>
        <w:tc>
          <w:tcPr>
            <w:tcW w:w="1448" w:type="dxa"/>
            <w:tcBorders>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2011</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83,965</w:t>
            </w:r>
          </w:p>
        </w:tc>
        <w:tc>
          <w:tcPr>
            <w:tcW w:w="69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9.1</w:t>
            </w:r>
          </w:p>
        </w:tc>
        <w:tc>
          <w:tcPr>
            <w:tcW w:w="78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43,607</w:t>
            </w:r>
          </w:p>
        </w:tc>
        <w:tc>
          <w:tcPr>
            <w:tcW w:w="70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21.3</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40,358</w:t>
            </w:r>
          </w:p>
        </w:tc>
        <w:tc>
          <w:tcPr>
            <w:tcW w:w="939"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40,088</w:t>
            </w:r>
          </w:p>
        </w:tc>
        <w:tc>
          <w:tcPr>
            <w:tcW w:w="75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6.0</w:t>
            </w:r>
          </w:p>
        </w:tc>
        <w:tc>
          <w:tcPr>
            <w:tcW w:w="884"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1,676</w:t>
            </w:r>
          </w:p>
        </w:tc>
        <w:tc>
          <w:tcPr>
            <w:tcW w:w="88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3.0</w:t>
            </w:r>
          </w:p>
        </w:tc>
        <w:tc>
          <w:tcPr>
            <w:tcW w:w="800" w:type="dxa"/>
            <w:tcBorders>
              <w:left w:val="single" w:sz="4" w:space="0" w:color="auto"/>
              <w:right w:val="nil"/>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38,413</w:t>
            </w:r>
          </w:p>
        </w:tc>
      </w:tr>
      <w:tr w:rsidR="00644C52" w:rsidRPr="00724C26" w:rsidTr="00644C52">
        <w:trPr>
          <w:trHeight w:val="247"/>
          <w:jc w:val="center"/>
        </w:trPr>
        <w:tc>
          <w:tcPr>
            <w:tcW w:w="1448" w:type="dxa"/>
            <w:tcBorders>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2012</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80,729</w:t>
            </w:r>
          </w:p>
        </w:tc>
        <w:tc>
          <w:tcPr>
            <w:tcW w:w="69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-3.8</w:t>
            </w:r>
          </w:p>
        </w:tc>
        <w:tc>
          <w:tcPr>
            <w:tcW w:w="78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40,910</w:t>
            </w:r>
          </w:p>
        </w:tc>
        <w:tc>
          <w:tcPr>
            <w:tcW w:w="70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-6.2</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39,819</w:t>
            </w:r>
          </w:p>
        </w:tc>
        <w:tc>
          <w:tcPr>
            <w:tcW w:w="939"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37,937</w:t>
            </w:r>
          </w:p>
        </w:tc>
        <w:tc>
          <w:tcPr>
            <w:tcW w:w="75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-5.3</w:t>
            </w:r>
          </w:p>
        </w:tc>
        <w:tc>
          <w:tcPr>
            <w:tcW w:w="884"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2,659</w:t>
            </w:r>
          </w:p>
        </w:tc>
        <w:tc>
          <w:tcPr>
            <w:tcW w:w="88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58.7</w:t>
            </w:r>
          </w:p>
        </w:tc>
        <w:tc>
          <w:tcPr>
            <w:tcW w:w="800" w:type="dxa"/>
            <w:tcBorders>
              <w:left w:val="single" w:sz="4" w:space="0" w:color="auto"/>
              <w:right w:val="nil"/>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35,278</w:t>
            </w:r>
          </w:p>
        </w:tc>
      </w:tr>
      <w:tr w:rsidR="00644C52" w:rsidRPr="00724C26" w:rsidTr="00644C52">
        <w:trPr>
          <w:trHeight w:val="474"/>
          <w:jc w:val="center"/>
        </w:trPr>
        <w:tc>
          <w:tcPr>
            <w:tcW w:w="1448" w:type="dxa"/>
            <w:tcBorders>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2013</w:t>
            </w:r>
          </w:p>
          <w:p w:rsidR="00644C52" w:rsidRPr="00724C26" w:rsidRDefault="00644C52" w:rsidP="00644C52">
            <w:pPr>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2014</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81,790</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82,146</w:t>
            </w:r>
          </w:p>
        </w:tc>
        <w:tc>
          <w:tcPr>
            <w:tcW w:w="69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0.4</w:t>
            </w:r>
          </w:p>
        </w:tc>
        <w:tc>
          <w:tcPr>
            <w:tcW w:w="78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42,591</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48,043</w:t>
            </w:r>
          </w:p>
        </w:tc>
        <w:tc>
          <w:tcPr>
            <w:tcW w:w="70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4.1</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12.8</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39,198</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34,102</w:t>
            </w:r>
          </w:p>
        </w:tc>
        <w:tc>
          <w:tcPr>
            <w:tcW w:w="939"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39,436</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42,542</w:t>
            </w:r>
          </w:p>
        </w:tc>
        <w:tc>
          <w:tcPr>
            <w:tcW w:w="75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7.9</w:t>
            </w:r>
          </w:p>
        </w:tc>
        <w:tc>
          <w:tcPr>
            <w:tcW w:w="884"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1,658</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1,685</w:t>
            </w:r>
          </w:p>
        </w:tc>
        <w:tc>
          <w:tcPr>
            <w:tcW w:w="88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-37.6</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1.6</w:t>
            </w:r>
          </w:p>
        </w:tc>
        <w:tc>
          <w:tcPr>
            <w:tcW w:w="800" w:type="dxa"/>
            <w:tcBorders>
              <w:left w:val="single" w:sz="4" w:space="0" w:color="auto"/>
              <w:right w:val="nil"/>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37,777</w:t>
            </w:r>
          </w:p>
          <w:p w:rsidR="00644C52" w:rsidRPr="00724C26" w:rsidRDefault="00644C52" w:rsidP="00644C52">
            <w:pPr>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40,857</w:t>
            </w:r>
          </w:p>
        </w:tc>
      </w:tr>
      <w:tr w:rsidR="00644C52" w:rsidRPr="00724C26" w:rsidTr="00644C52">
        <w:trPr>
          <w:trHeight w:val="247"/>
          <w:jc w:val="center"/>
        </w:trPr>
        <w:tc>
          <w:tcPr>
            <w:tcW w:w="1448" w:type="dxa"/>
            <w:tcBorders>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2015</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73,410</w:t>
            </w:r>
          </w:p>
        </w:tc>
        <w:tc>
          <w:tcPr>
            <w:tcW w:w="69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-13.3</w:t>
            </w:r>
          </w:p>
        </w:tc>
        <w:tc>
          <w:tcPr>
            <w:tcW w:w="78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44,193</w:t>
            </w:r>
          </w:p>
        </w:tc>
        <w:tc>
          <w:tcPr>
            <w:tcW w:w="70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-8.0</w:t>
            </w:r>
          </w:p>
        </w:tc>
        <w:tc>
          <w:tcPr>
            <w:tcW w:w="883"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27,029</w:t>
            </w:r>
          </w:p>
        </w:tc>
        <w:tc>
          <w:tcPr>
            <w:tcW w:w="939"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39,130</w:t>
            </w:r>
          </w:p>
        </w:tc>
        <w:tc>
          <w:tcPr>
            <w:tcW w:w="758"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-10.5</w:t>
            </w:r>
          </w:p>
        </w:tc>
        <w:tc>
          <w:tcPr>
            <w:tcW w:w="884"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1,436</w:t>
            </w:r>
          </w:p>
        </w:tc>
        <w:tc>
          <w:tcPr>
            <w:tcW w:w="886" w:type="dxa"/>
            <w:tcBorders>
              <w:left w:val="single" w:sz="4" w:space="0" w:color="auto"/>
              <w:right w:val="single" w:sz="4" w:space="0" w:color="auto"/>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-14.8</w:t>
            </w:r>
          </w:p>
        </w:tc>
        <w:tc>
          <w:tcPr>
            <w:tcW w:w="800" w:type="dxa"/>
            <w:tcBorders>
              <w:left w:val="single" w:sz="4" w:space="0" w:color="auto"/>
              <w:right w:val="nil"/>
            </w:tcBorders>
            <w:noWrap/>
            <w:vAlign w:val="center"/>
            <w:hideMark/>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36,637</w:t>
            </w:r>
          </w:p>
        </w:tc>
      </w:tr>
      <w:tr w:rsidR="00644C52" w:rsidRPr="00724C26" w:rsidTr="00644C52">
        <w:trPr>
          <w:trHeight w:val="232"/>
          <w:jc w:val="center"/>
        </w:trPr>
        <w:tc>
          <w:tcPr>
            <w:tcW w:w="1448" w:type="dxa"/>
            <w:tcBorders>
              <w:left w:val="nil"/>
              <w:right w:val="single" w:sz="4" w:space="0" w:color="auto"/>
            </w:tcBorders>
            <w:noWrap/>
            <w:vAlign w:val="center"/>
            <w:hideMark/>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2016</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73,898</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0.7</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43,997</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-2.8</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29,901</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38,399</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-1.9</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1,331</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-9.3</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37,068</w:t>
            </w:r>
          </w:p>
        </w:tc>
      </w:tr>
      <w:tr w:rsidR="00644C52" w:rsidRPr="00724C26" w:rsidTr="00644C52">
        <w:trPr>
          <w:trHeight w:val="232"/>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2017</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88,996</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20.5</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50,045</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13.8</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38,951</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41,284</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7.5</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1,516</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13.9</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39,768</w:t>
            </w:r>
          </w:p>
        </w:tc>
      </w:tr>
      <w:tr w:rsidR="00644C52" w:rsidRPr="00724C26" w:rsidTr="00644C52">
        <w:trPr>
          <w:trHeight w:val="278"/>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1</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19,544</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27.0</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11,036</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10.8</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8,508</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9,270</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12.6</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372</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24.7</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8,898</w:t>
            </w:r>
          </w:p>
        </w:tc>
      </w:tr>
      <w:tr w:rsidR="00644C52" w:rsidRPr="00724C26" w:rsidTr="00644C52">
        <w:trPr>
          <w:trHeight w:val="263"/>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2</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20,445</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17.4</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12,090</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10.0</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8,355</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9,546</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2.8</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403</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34.0</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9,143</w:t>
            </w:r>
          </w:p>
        </w:tc>
      </w:tr>
      <w:tr w:rsidR="00644C52" w:rsidRPr="00724C26" w:rsidTr="00644C52">
        <w:trPr>
          <w:trHeight w:val="263"/>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3</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23,324</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24.3</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13,079</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17.0</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10,245</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10,944</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7.7</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371</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21.7</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10,573</w:t>
            </w:r>
          </w:p>
        </w:tc>
      </w:tr>
      <w:tr w:rsidR="00644C52" w:rsidRPr="00724C26" w:rsidTr="00644C52">
        <w:trPr>
          <w:trHeight w:val="278"/>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4</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25,705</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15.2</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13,837</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16.7</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11,868</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11,523</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7.5</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370</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-13.3</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11,153</w:t>
            </w:r>
          </w:p>
        </w:tc>
      </w:tr>
      <w:tr w:rsidR="00644C52" w:rsidRPr="00724C26" w:rsidTr="00644C52">
        <w:trPr>
          <w:trHeight w:val="232"/>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center"/>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2018</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96,802</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8.8</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53,799</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7.5</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43,003</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41,594</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0.9</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1,410</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-7.0</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40,184</w:t>
            </w:r>
          </w:p>
        </w:tc>
      </w:tr>
      <w:tr w:rsidR="00644C52" w:rsidRPr="00724C26" w:rsidTr="00644C52">
        <w:trPr>
          <w:trHeight w:val="263"/>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1</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23,222</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18.9</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12,656</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14.7</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10,567</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9,691</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4.5</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345</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-7.3</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9,346</w:t>
            </w:r>
          </w:p>
        </w:tc>
      </w:tr>
      <w:tr w:rsidR="00644C52" w:rsidRPr="00724C26" w:rsidTr="00644C52">
        <w:trPr>
          <w:trHeight w:val="278"/>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2</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23,223</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13.6</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13,496</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11.6</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9,728</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10,996</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15.2</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332</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-17.6</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10,664</w:t>
            </w:r>
          </w:p>
        </w:tc>
      </w:tr>
      <w:tr w:rsidR="00644C52" w:rsidRPr="00724C26" w:rsidTr="00644C52">
        <w:trPr>
          <w:trHeight w:val="278"/>
          <w:jc w:val="center"/>
        </w:trPr>
        <w:tc>
          <w:tcPr>
            <w:tcW w:w="1448" w:type="dxa"/>
            <w:tcBorders>
              <w:left w:val="nil"/>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3</w:t>
            </w:r>
            <w:r w:rsidRPr="00724C26">
              <w:rPr>
                <w:rFonts w:ascii="Times New Roman" w:eastAsia="標楷體" w:hAnsi="Times New Roman" w:cs="Times New Roman"/>
                <w:color w:val="000000" w:themeColor="text1"/>
                <w:kern w:val="0"/>
              </w:rPr>
              <w:t>季</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24,738</w:t>
            </w:r>
          </w:p>
        </w:tc>
        <w:tc>
          <w:tcPr>
            <w:tcW w:w="69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6.2</w:t>
            </w:r>
          </w:p>
        </w:tc>
        <w:tc>
          <w:tcPr>
            <w:tcW w:w="78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13,545</w:t>
            </w:r>
          </w:p>
        </w:tc>
        <w:tc>
          <w:tcPr>
            <w:tcW w:w="70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3.6</w:t>
            </w:r>
          </w:p>
        </w:tc>
        <w:tc>
          <w:tcPr>
            <w:tcW w:w="883"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11,192</w:t>
            </w:r>
          </w:p>
        </w:tc>
        <w:tc>
          <w:tcPr>
            <w:tcW w:w="939"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10,964</w:t>
            </w:r>
          </w:p>
        </w:tc>
        <w:tc>
          <w:tcPr>
            <w:tcW w:w="758"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0.2</w:t>
            </w:r>
          </w:p>
        </w:tc>
        <w:tc>
          <w:tcPr>
            <w:tcW w:w="884"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384</w:t>
            </w:r>
          </w:p>
        </w:tc>
        <w:tc>
          <w:tcPr>
            <w:tcW w:w="886" w:type="dxa"/>
            <w:tcBorders>
              <w:left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3.5</w:t>
            </w:r>
          </w:p>
        </w:tc>
        <w:tc>
          <w:tcPr>
            <w:tcW w:w="800" w:type="dxa"/>
            <w:tcBorders>
              <w:left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10,579</w:t>
            </w:r>
          </w:p>
        </w:tc>
      </w:tr>
      <w:tr w:rsidR="00644C52" w:rsidRPr="00724C26" w:rsidTr="00644C52">
        <w:trPr>
          <w:trHeight w:val="278"/>
          <w:jc w:val="center"/>
        </w:trPr>
        <w:tc>
          <w:tcPr>
            <w:tcW w:w="1448" w:type="dxa"/>
            <w:tcBorders>
              <w:left w:val="nil"/>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第</w:t>
            </w:r>
            <w:r w:rsidRPr="00724C26">
              <w:rPr>
                <w:rFonts w:ascii="Times New Roman" w:eastAsia="標楷體" w:hAnsi="Times New Roman" w:cs="Times New Roman"/>
                <w:color w:val="000000" w:themeColor="text1"/>
                <w:kern w:val="0"/>
              </w:rPr>
              <w:t>4</w:t>
            </w:r>
            <w:r w:rsidRPr="00724C26">
              <w:rPr>
                <w:rFonts w:ascii="Times New Roman" w:eastAsia="標楷體" w:hAnsi="Times New Roman" w:cs="Times New Roman"/>
                <w:color w:val="000000" w:themeColor="text1"/>
                <w:kern w:val="0"/>
              </w:rPr>
              <w:t>季</w:t>
            </w:r>
          </w:p>
        </w:tc>
        <w:tc>
          <w:tcPr>
            <w:tcW w:w="883"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25,631</w:t>
            </w:r>
          </w:p>
        </w:tc>
        <w:tc>
          <w:tcPr>
            <w:tcW w:w="693"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-0.3</w:t>
            </w:r>
          </w:p>
        </w:tc>
        <w:tc>
          <w:tcPr>
            <w:tcW w:w="788"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14.107</w:t>
            </w:r>
          </w:p>
        </w:tc>
        <w:tc>
          <w:tcPr>
            <w:tcW w:w="706"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2.0</w:t>
            </w:r>
          </w:p>
        </w:tc>
        <w:tc>
          <w:tcPr>
            <w:tcW w:w="883"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11,524</w:t>
            </w:r>
          </w:p>
        </w:tc>
        <w:tc>
          <w:tcPr>
            <w:tcW w:w="939"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9,945</w:t>
            </w:r>
          </w:p>
        </w:tc>
        <w:tc>
          <w:tcPr>
            <w:tcW w:w="758"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-13.3</w:t>
            </w:r>
          </w:p>
        </w:tc>
        <w:tc>
          <w:tcPr>
            <w:tcW w:w="884"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349</w:t>
            </w:r>
          </w:p>
        </w:tc>
        <w:tc>
          <w:tcPr>
            <w:tcW w:w="886" w:type="dxa"/>
            <w:tcBorders>
              <w:left w:val="single" w:sz="4" w:space="0" w:color="auto"/>
              <w:bottom w:val="single" w:sz="4" w:space="0" w:color="auto"/>
              <w:right w:val="single" w:sz="4" w:space="0" w:color="auto"/>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-5.7</w:t>
            </w:r>
          </w:p>
        </w:tc>
        <w:tc>
          <w:tcPr>
            <w:tcW w:w="800" w:type="dxa"/>
            <w:tcBorders>
              <w:left w:val="single" w:sz="4" w:space="0" w:color="auto"/>
              <w:bottom w:val="single" w:sz="4" w:space="0" w:color="auto"/>
              <w:right w:val="nil"/>
            </w:tcBorders>
            <w:noWrap/>
            <w:vAlign w:val="center"/>
          </w:tcPr>
          <w:p w:rsidR="00644C52" w:rsidRPr="00724C26" w:rsidRDefault="00644C52" w:rsidP="00644C52">
            <w:pPr>
              <w:widowControl/>
              <w:adjustRightInd w:val="0"/>
              <w:snapToGrid w:val="0"/>
              <w:spacing w:line="0" w:lineRule="atLeast"/>
              <w:jc w:val="right"/>
              <w:rPr>
                <w:rFonts w:ascii="Times New Roman" w:eastAsia="標楷體" w:hAnsi="Times New Roman" w:cs="Times New Roman"/>
                <w:color w:val="000000" w:themeColor="text1"/>
                <w:kern w:val="0"/>
              </w:rPr>
            </w:pPr>
            <w:r w:rsidRPr="00724C26">
              <w:rPr>
                <w:rFonts w:ascii="Times New Roman" w:eastAsia="標楷體" w:hAnsi="Times New Roman" w:cs="Times New Roman"/>
                <w:color w:val="000000" w:themeColor="text1"/>
                <w:kern w:val="0"/>
              </w:rPr>
              <w:t>9,596</w:t>
            </w:r>
          </w:p>
        </w:tc>
      </w:tr>
    </w:tbl>
    <w:p w:rsidR="00724C26" w:rsidRDefault="00644C52" w:rsidP="00644C52">
      <w:pPr>
        <w:widowControl/>
        <w:spacing w:line="0" w:lineRule="atLeast"/>
        <w:ind w:leftChars="-236" w:left="-566" w:firstLineChars="70" w:firstLine="140"/>
        <w:rPr>
          <w:rFonts w:ascii="標楷體" w:eastAsia="標楷體" w:hAnsi="標楷體"/>
          <w:color w:val="000000" w:themeColor="text1"/>
          <w:kern w:val="0"/>
          <w:sz w:val="20"/>
          <w:szCs w:val="20"/>
        </w:rPr>
      </w:pPr>
      <w:proofErr w:type="gramStart"/>
      <w:r w:rsidRPr="007F2D59">
        <w:rPr>
          <w:rFonts w:ascii="標楷體" w:eastAsia="標楷體" w:hAnsi="標楷體" w:hint="eastAsia"/>
          <w:color w:val="000000" w:themeColor="text1"/>
          <w:kern w:val="0"/>
          <w:sz w:val="20"/>
          <w:szCs w:val="20"/>
        </w:rPr>
        <w:t>註</w:t>
      </w:r>
      <w:proofErr w:type="gramEnd"/>
      <w:r w:rsidRPr="007F2D59">
        <w:rPr>
          <w:rFonts w:ascii="標楷體" w:eastAsia="標楷體" w:hAnsi="標楷體" w:hint="eastAsia"/>
          <w:color w:val="000000" w:themeColor="text1"/>
          <w:kern w:val="0"/>
          <w:sz w:val="20"/>
          <w:szCs w:val="20"/>
        </w:rPr>
        <w:t>：年</w:t>
      </w:r>
      <w:proofErr w:type="gramStart"/>
      <w:r w:rsidRPr="007F2D59">
        <w:rPr>
          <w:rFonts w:ascii="標楷體" w:eastAsia="標楷體" w:hAnsi="標楷體" w:hint="eastAsia"/>
          <w:color w:val="000000" w:themeColor="text1"/>
          <w:kern w:val="0"/>
          <w:sz w:val="20"/>
          <w:szCs w:val="20"/>
        </w:rPr>
        <w:t>增率係指</w:t>
      </w:r>
      <w:proofErr w:type="gramEnd"/>
      <w:r w:rsidRPr="007F2D59">
        <w:rPr>
          <w:rFonts w:ascii="標楷體" w:eastAsia="標楷體" w:hAnsi="標楷體" w:hint="eastAsia"/>
          <w:color w:val="000000" w:themeColor="text1"/>
          <w:kern w:val="0"/>
          <w:sz w:val="20"/>
          <w:szCs w:val="20"/>
        </w:rPr>
        <w:t>較上年或上年同期增減比率。</w:t>
      </w:r>
      <w:r>
        <w:rPr>
          <w:rFonts w:ascii="標楷體" w:eastAsia="標楷體" w:hAnsi="標楷體" w:hint="eastAsia"/>
          <w:color w:val="000000" w:themeColor="text1"/>
          <w:kern w:val="0"/>
          <w:sz w:val="20"/>
          <w:szCs w:val="20"/>
        </w:rPr>
        <w:t xml:space="preserve">  </w:t>
      </w:r>
    </w:p>
    <w:p w:rsidR="00644C52" w:rsidRPr="007F2D59" w:rsidRDefault="00644C52" w:rsidP="00644C52">
      <w:pPr>
        <w:widowControl/>
        <w:spacing w:line="0" w:lineRule="atLeast"/>
        <w:ind w:leftChars="-236" w:left="-566" w:firstLineChars="70" w:firstLine="140"/>
        <w:rPr>
          <w:rFonts w:ascii="標楷體" w:eastAsia="標楷體" w:hAnsi="標楷體"/>
          <w:color w:val="000000" w:themeColor="text1"/>
          <w:kern w:val="0"/>
          <w:sz w:val="20"/>
          <w:szCs w:val="20"/>
        </w:rPr>
      </w:pPr>
      <w:r w:rsidRPr="007F2D59">
        <w:rPr>
          <w:rFonts w:ascii="標楷體" w:eastAsia="標楷體" w:hAnsi="標楷體" w:hint="eastAsia"/>
          <w:color w:val="000000" w:themeColor="text1"/>
          <w:kern w:val="0"/>
          <w:sz w:val="20"/>
          <w:szCs w:val="20"/>
        </w:rPr>
        <w:t>資料來源：財政部海關。</w:t>
      </w:r>
    </w:p>
    <w:p w:rsidR="00644C52" w:rsidRPr="007F2D59" w:rsidRDefault="00644C52" w:rsidP="002A4962">
      <w:pPr>
        <w:widowControl/>
        <w:numPr>
          <w:ilvl w:val="0"/>
          <w:numId w:val="21"/>
        </w:numPr>
        <w:tabs>
          <w:tab w:val="left" w:pos="567"/>
        </w:tabs>
        <w:autoSpaceDE w:val="0"/>
        <w:snapToGrid w:val="0"/>
        <w:spacing w:beforeLines="25" w:before="60" w:line="480" w:lineRule="exact"/>
        <w:ind w:left="669" w:hanging="669"/>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主要出口產品</w:t>
      </w:r>
    </w:p>
    <w:p w:rsidR="00644C52" w:rsidRPr="00724C26" w:rsidRDefault="00644C52" w:rsidP="00644C52">
      <w:pPr>
        <w:widowControl/>
        <w:autoSpaceDE w:val="0"/>
        <w:snapToGrid w:val="0"/>
        <w:spacing w:beforeLines="25" w:before="60" w:line="430" w:lineRule="exact"/>
        <w:ind w:left="567" w:firstLineChars="202" w:firstLine="566"/>
        <w:jc w:val="both"/>
        <w:rPr>
          <w:rFonts w:ascii="Times New Roman" w:eastAsia="標楷體" w:hAnsi="Times New Roman" w:cs="Times New Roman"/>
          <w:color w:val="000000" w:themeColor="text1"/>
          <w:kern w:val="0"/>
          <w:sz w:val="28"/>
          <w:szCs w:val="32"/>
        </w:rPr>
      </w:pPr>
      <w:r w:rsidRPr="00724C26">
        <w:rPr>
          <w:rFonts w:ascii="Times New Roman" w:eastAsia="標楷體" w:hAnsi="Times New Roman" w:cs="Times New Roman"/>
          <w:color w:val="000000" w:themeColor="text1"/>
          <w:kern w:val="0"/>
          <w:sz w:val="28"/>
          <w:szCs w:val="32"/>
        </w:rPr>
        <w:t>檢視</w:t>
      </w: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年我對中國大陸出口前</w:t>
      </w:r>
      <w:r w:rsidRPr="00724C26">
        <w:rPr>
          <w:rFonts w:ascii="Times New Roman" w:eastAsia="標楷體" w:hAnsi="Times New Roman" w:cs="Times New Roman"/>
          <w:color w:val="000000" w:themeColor="text1"/>
          <w:kern w:val="0"/>
          <w:sz w:val="28"/>
          <w:szCs w:val="32"/>
        </w:rPr>
        <w:t>10</w:t>
      </w:r>
      <w:r w:rsidRPr="00724C26">
        <w:rPr>
          <w:rFonts w:ascii="Times New Roman" w:eastAsia="標楷體" w:hAnsi="Times New Roman" w:cs="Times New Roman"/>
          <w:color w:val="000000" w:themeColor="text1"/>
          <w:kern w:val="0"/>
          <w:sz w:val="28"/>
          <w:szCs w:val="32"/>
        </w:rPr>
        <w:t>項產品（約占出口比重</w:t>
      </w:r>
      <w:proofErr w:type="gramStart"/>
      <w:r w:rsidRPr="00724C26">
        <w:rPr>
          <w:rFonts w:ascii="Times New Roman" w:eastAsia="標楷體" w:hAnsi="Times New Roman" w:cs="Times New Roman"/>
          <w:color w:val="000000" w:themeColor="text1"/>
          <w:kern w:val="0"/>
          <w:sz w:val="28"/>
          <w:szCs w:val="32"/>
        </w:rPr>
        <w:t>9</w:t>
      </w:r>
      <w:r w:rsidRPr="00724C26">
        <w:rPr>
          <w:rFonts w:ascii="Times New Roman" w:eastAsia="標楷體" w:hAnsi="Times New Roman" w:cs="Times New Roman"/>
          <w:color w:val="000000" w:themeColor="text1"/>
          <w:kern w:val="0"/>
          <w:sz w:val="28"/>
          <w:szCs w:val="32"/>
        </w:rPr>
        <w:t>成</w:t>
      </w:r>
      <w:proofErr w:type="gramEnd"/>
      <w:r w:rsidRPr="00724C26">
        <w:rPr>
          <w:rFonts w:ascii="Times New Roman" w:eastAsia="標楷體" w:hAnsi="Times New Roman" w:cs="Times New Roman"/>
          <w:color w:val="000000" w:themeColor="text1"/>
          <w:kern w:val="0"/>
          <w:sz w:val="28"/>
          <w:szCs w:val="32"/>
        </w:rPr>
        <w:t>4</w:t>
      </w:r>
      <w:r w:rsidRPr="00724C26">
        <w:rPr>
          <w:rFonts w:ascii="Times New Roman" w:eastAsia="標楷體" w:hAnsi="Times New Roman" w:cs="Times New Roman"/>
          <w:color w:val="000000" w:themeColor="text1"/>
          <w:kern w:val="0"/>
          <w:sz w:val="28"/>
          <w:szCs w:val="32"/>
        </w:rPr>
        <w:t>）之變動趨勢，說明如下：</w:t>
      </w:r>
    </w:p>
    <w:p w:rsidR="00644C52" w:rsidRPr="007F2D59" w:rsidRDefault="00644C52" w:rsidP="00644C52">
      <w:pPr>
        <w:widowControl/>
        <w:tabs>
          <w:tab w:val="left" w:pos="567"/>
        </w:tabs>
        <w:autoSpaceDE w:val="0"/>
        <w:snapToGrid w:val="0"/>
        <w:spacing w:beforeLines="25" w:before="60" w:line="480" w:lineRule="exact"/>
        <w:ind w:left="330"/>
        <w:jc w:val="both"/>
        <w:rPr>
          <w:rFonts w:eastAsia="標楷體"/>
          <w:b/>
          <w:color w:val="000000" w:themeColor="text1"/>
          <w:sz w:val="28"/>
          <w:szCs w:val="28"/>
        </w:rPr>
      </w:pPr>
      <w:r w:rsidRPr="007F2D59">
        <w:rPr>
          <w:rFonts w:eastAsia="標楷體"/>
          <w:b/>
          <w:color w:val="000000" w:themeColor="text1"/>
          <w:sz w:val="28"/>
          <w:szCs w:val="28"/>
        </w:rPr>
        <w:lastRenderedPageBreak/>
        <w:t>1.</w:t>
      </w:r>
      <w:r w:rsidRPr="007F2D59">
        <w:rPr>
          <w:rFonts w:eastAsia="標楷體"/>
          <w:b/>
          <w:color w:val="000000" w:themeColor="text1"/>
          <w:sz w:val="28"/>
          <w:szCs w:val="28"/>
        </w:rPr>
        <w:t>出口比重方面</w:t>
      </w:r>
    </w:p>
    <w:p w:rsidR="00644C52" w:rsidRPr="00724C26" w:rsidRDefault="00644C52" w:rsidP="00644C52">
      <w:pPr>
        <w:widowControl/>
        <w:autoSpaceDE w:val="0"/>
        <w:snapToGrid w:val="0"/>
        <w:spacing w:beforeLines="25" w:before="60" w:line="480" w:lineRule="exact"/>
        <w:ind w:leftChars="236" w:left="566"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w:t>
      </w:r>
      <w:r w:rsidRPr="00724C26">
        <w:rPr>
          <w:rFonts w:ascii="Times New Roman" w:eastAsia="標楷體" w:hAnsi="Times New Roman" w:cs="Times New Roman"/>
          <w:color w:val="000000" w:themeColor="text1"/>
          <w:sz w:val="28"/>
          <w:szCs w:val="32"/>
        </w:rPr>
        <w:t>我對中國大陸出口前</w:t>
      </w:r>
      <w:r w:rsidRPr="00724C26">
        <w:rPr>
          <w:rFonts w:ascii="Times New Roman" w:eastAsia="標楷體" w:hAnsi="Times New Roman" w:cs="Times New Roman"/>
          <w:color w:val="000000" w:themeColor="text1"/>
          <w:sz w:val="28"/>
          <w:szCs w:val="32"/>
        </w:rPr>
        <w:t>5</w:t>
      </w:r>
      <w:r w:rsidRPr="00724C26">
        <w:rPr>
          <w:rFonts w:ascii="Times New Roman" w:eastAsia="標楷體" w:hAnsi="Times New Roman" w:cs="Times New Roman"/>
          <w:color w:val="000000" w:themeColor="text1"/>
          <w:sz w:val="28"/>
          <w:szCs w:val="32"/>
        </w:rPr>
        <w:t>大出口產品分別為電子產品、化學品、塑橡膠製品、資通產品、光學器材，所占比重分別為</w:t>
      </w:r>
      <w:r w:rsidRPr="00724C26">
        <w:rPr>
          <w:rFonts w:ascii="Times New Roman" w:eastAsia="標楷體" w:hAnsi="Times New Roman" w:cs="Times New Roman"/>
          <w:color w:val="000000" w:themeColor="text1"/>
          <w:sz w:val="28"/>
          <w:szCs w:val="32"/>
        </w:rPr>
        <w:t>38.2%</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10.3%</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8.8%</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8.5%</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8.3%</w:t>
      </w:r>
      <w:r w:rsidRPr="00724C26">
        <w:rPr>
          <w:rFonts w:ascii="Times New Roman" w:eastAsia="標楷體" w:hAnsi="Times New Roman" w:cs="Times New Roman"/>
          <w:color w:val="000000" w:themeColor="text1"/>
          <w:sz w:val="28"/>
          <w:szCs w:val="32"/>
        </w:rPr>
        <w:t>，上述產品占我對陸出口比重達</w:t>
      </w:r>
      <w:r w:rsidRPr="00724C26">
        <w:rPr>
          <w:rFonts w:ascii="Times New Roman" w:eastAsia="標楷體" w:hAnsi="Times New Roman" w:cs="Times New Roman"/>
          <w:color w:val="000000" w:themeColor="text1"/>
          <w:sz w:val="28"/>
          <w:szCs w:val="32"/>
        </w:rPr>
        <w:t>74.1%</w:t>
      </w:r>
      <w:r w:rsidRPr="00724C26">
        <w:rPr>
          <w:rFonts w:ascii="Times New Roman" w:eastAsia="標楷體" w:hAnsi="Times New Roman" w:cs="Times New Roman"/>
          <w:color w:val="000000" w:themeColor="text1"/>
          <w:sz w:val="28"/>
          <w:szCs w:val="32"/>
        </w:rPr>
        <w:t>，較</w:t>
      </w:r>
      <w:r w:rsidRPr="00724C26">
        <w:rPr>
          <w:rFonts w:ascii="Times New Roman" w:eastAsia="標楷體" w:hAnsi="Times New Roman" w:cs="Times New Roman"/>
          <w:color w:val="000000" w:themeColor="text1"/>
          <w:sz w:val="28"/>
          <w:szCs w:val="32"/>
        </w:rPr>
        <w:t>2017</w:t>
      </w:r>
      <w:r w:rsidRPr="00724C26">
        <w:rPr>
          <w:rFonts w:ascii="Times New Roman" w:eastAsia="標楷體" w:hAnsi="Times New Roman" w:cs="Times New Roman"/>
          <w:color w:val="000000" w:themeColor="text1"/>
          <w:sz w:val="28"/>
          <w:szCs w:val="32"/>
        </w:rPr>
        <w:t>年增加</w:t>
      </w:r>
      <w:r w:rsidRPr="00724C26">
        <w:rPr>
          <w:rFonts w:ascii="Times New Roman" w:eastAsia="標楷體" w:hAnsi="Times New Roman" w:cs="Times New Roman"/>
          <w:color w:val="000000" w:themeColor="text1"/>
          <w:sz w:val="28"/>
          <w:szCs w:val="32"/>
        </w:rPr>
        <w:t>1.2</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0.6</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0.1</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0.4</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-0.4</w:t>
      </w:r>
      <w:r w:rsidRPr="00724C26">
        <w:rPr>
          <w:rFonts w:ascii="Times New Roman" w:eastAsia="標楷體" w:hAnsi="Times New Roman" w:cs="Times New Roman"/>
          <w:color w:val="000000" w:themeColor="text1"/>
          <w:sz w:val="28"/>
          <w:szCs w:val="32"/>
        </w:rPr>
        <w:t>個百分點。</w:t>
      </w:r>
    </w:p>
    <w:p w:rsidR="00644C52" w:rsidRDefault="00644C52" w:rsidP="00644C52">
      <w:pPr>
        <w:widowControl/>
        <w:tabs>
          <w:tab w:val="left" w:pos="567"/>
        </w:tabs>
        <w:autoSpaceDE w:val="0"/>
        <w:snapToGrid w:val="0"/>
        <w:spacing w:beforeLines="25" w:before="60" w:line="240" w:lineRule="atLeast"/>
        <w:ind w:left="329"/>
        <w:jc w:val="both"/>
        <w:rPr>
          <w:rFonts w:ascii="標楷體" w:eastAsia="標楷體" w:hAnsi="標楷體"/>
          <w:b/>
          <w:color w:val="000000" w:themeColor="text1"/>
          <w:sz w:val="28"/>
          <w:szCs w:val="28"/>
        </w:rPr>
      </w:pPr>
      <w:r>
        <w:rPr>
          <w:noProof/>
        </w:rPr>
        <w:drawing>
          <wp:inline distT="0" distB="0" distL="0" distR="0" wp14:anchorId="61FC74DC" wp14:editId="2D1C0041">
            <wp:extent cx="5120640" cy="2758440"/>
            <wp:effectExtent l="0" t="0" r="0"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4C52" w:rsidRPr="00117222" w:rsidRDefault="00644C52" w:rsidP="00117222">
      <w:pPr>
        <w:widowControl/>
        <w:tabs>
          <w:tab w:val="left" w:pos="567"/>
        </w:tabs>
        <w:autoSpaceDE w:val="0"/>
        <w:snapToGrid w:val="0"/>
        <w:spacing w:line="480" w:lineRule="exact"/>
        <w:ind w:left="330"/>
        <w:jc w:val="both"/>
        <w:rPr>
          <w:rFonts w:ascii="標楷體" w:eastAsia="標楷體" w:hAnsi="標楷體"/>
          <w:color w:val="000000" w:themeColor="text1"/>
          <w:sz w:val="20"/>
        </w:rPr>
      </w:pPr>
      <w:r w:rsidRPr="00117222">
        <w:rPr>
          <w:rFonts w:ascii="標楷體" w:eastAsia="標楷體" w:hAnsi="標楷體" w:hint="eastAsia"/>
          <w:color w:val="000000" w:themeColor="text1"/>
          <w:sz w:val="20"/>
        </w:rPr>
        <w:t>資料來源：自行整理。</w:t>
      </w:r>
    </w:p>
    <w:p w:rsidR="00117222" w:rsidRPr="00724C26" w:rsidRDefault="00117222" w:rsidP="00117222">
      <w:pPr>
        <w:widowControl/>
        <w:tabs>
          <w:tab w:val="left" w:pos="567"/>
        </w:tabs>
        <w:autoSpaceDE w:val="0"/>
        <w:snapToGrid w:val="0"/>
        <w:spacing w:afterLines="50" w:after="120" w:line="480" w:lineRule="exact"/>
        <w:ind w:left="330"/>
        <w:jc w:val="center"/>
        <w:rPr>
          <w:rFonts w:ascii="Times New Roman" w:eastAsia="標楷體" w:hAnsi="Times New Roman" w:cs="Times New Roman"/>
          <w:b/>
          <w:color w:val="000000" w:themeColor="text1"/>
          <w:kern w:val="0"/>
          <w:sz w:val="27"/>
          <w:szCs w:val="27"/>
        </w:rPr>
      </w:pPr>
      <w:r w:rsidRPr="00724C26">
        <w:rPr>
          <w:rFonts w:ascii="Times New Roman" w:eastAsia="標楷體" w:hAnsi="Times New Roman" w:cs="Times New Roman"/>
          <w:b/>
          <w:color w:val="000000" w:themeColor="text1"/>
          <w:kern w:val="0"/>
          <w:sz w:val="27"/>
          <w:szCs w:val="27"/>
        </w:rPr>
        <w:t>圖</w:t>
      </w:r>
      <w:r w:rsidRPr="00724C26">
        <w:rPr>
          <w:rFonts w:ascii="Times New Roman" w:eastAsia="標楷體" w:hAnsi="Times New Roman" w:cs="Times New Roman"/>
          <w:b/>
          <w:color w:val="000000" w:themeColor="text1"/>
          <w:kern w:val="0"/>
          <w:sz w:val="27"/>
          <w:szCs w:val="27"/>
        </w:rPr>
        <w:t>2-1 2018</w:t>
      </w:r>
      <w:r w:rsidRPr="00724C26">
        <w:rPr>
          <w:rFonts w:ascii="Times New Roman" w:eastAsia="標楷體" w:hAnsi="Times New Roman" w:cs="Times New Roman"/>
          <w:b/>
          <w:color w:val="000000" w:themeColor="text1"/>
          <w:kern w:val="0"/>
          <w:sz w:val="27"/>
          <w:szCs w:val="27"/>
        </w:rPr>
        <w:t>年我對中國大陸主要出口產品占比</w:t>
      </w:r>
    </w:p>
    <w:p w:rsidR="00644C52" w:rsidRPr="007F2D59" w:rsidRDefault="00644C52" w:rsidP="00644C52">
      <w:pPr>
        <w:widowControl/>
        <w:tabs>
          <w:tab w:val="left" w:pos="567"/>
        </w:tabs>
        <w:autoSpaceDE w:val="0"/>
        <w:snapToGrid w:val="0"/>
        <w:spacing w:beforeLines="25" w:before="60" w:line="480" w:lineRule="exact"/>
        <w:ind w:left="330"/>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2.成長率方面</w:t>
      </w:r>
    </w:p>
    <w:p w:rsidR="00644C52" w:rsidRPr="00724C26" w:rsidRDefault="00644C52" w:rsidP="00644C52">
      <w:pPr>
        <w:widowControl/>
        <w:autoSpaceDE w:val="0"/>
        <w:snapToGrid w:val="0"/>
        <w:spacing w:beforeLines="25" w:before="60" w:line="480" w:lineRule="exact"/>
        <w:ind w:leftChars="235" w:left="564"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w:t>
      </w:r>
      <w:r w:rsidRPr="00724C26">
        <w:rPr>
          <w:rFonts w:ascii="Times New Roman" w:eastAsia="標楷體" w:hAnsi="Times New Roman" w:cs="Times New Roman"/>
          <w:color w:val="000000" w:themeColor="text1"/>
          <w:sz w:val="28"/>
          <w:szCs w:val="32"/>
        </w:rPr>
        <w:t>前</w:t>
      </w:r>
      <w:r w:rsidRPr="00724C26">
        <w:rPr>
          <w:rFonts w:ascii="Times New Roman" w:eastAsia="標楷體" w:hAnsi="Times New Roman" w:cs="Times New Roman"/>
          <w:color w:val="000000" w:themeColor="text1"/>
          <w:sz w:val="28"/>
          <w:szCs w:val="32"/>
        </w:rPr>
        <w:t>10</w:t>
      </w:r>
      <w:r w:rsidRPr="00724C26">
        <w:rPr>
          <w:rFonts w:ascii="Times New Roman" w:eastAsia="標楷體" w:hAnsi="Times New Roman" w:cs="Times New Roman"/>
          <w:color w:val="000000" w:themeColor="text1"/>
          <w:sz w:val="28"/>
          <w:szCs w:val="32"/>
        </w:rPr>
        <w:t>項出口產品中，</w:t>
      </w:r>
      <w:proofErr w:type="gramStart"/>
      <w:r w:rsidR="00724C26">
        <w:rPr>
          <w:rFonts w:ascii="Times New Roman" w:eastAsia="標楷體" w:hAnsi="Times New Roman" w:cs="Times New Roman"/>
          <w:color w:val="000000" w:themeColor="text1"/>
          <w:sz w:val="28"/>
          <w:szCs w:val="32"/>
        </w:rPr>
        <w:t>除礦產品</w:t>
      </w:r>
      <w:proofErr w:type="gramEnd"/>
      <w:r w:rsidR="00724C26">
        <w:rPr>
          <w:rFonts w:ascii="Times New Roman" w:eastAsia="標楷體" w:hAnsi="Times New Roman" w:cs="Times New Roman"/>
          <w:color w:val="000000" w:themeColor="text1"/>
          <w:sz w:val="28"/>
          <w:szCs w:val="32"/>
        </w:rPr>
        <w:t>、紡織及光學器材較上年</w:t>
      </w:r>
      <w:r w:rsidRPr="00724C26">
        <w:rPr>
          <w:rFonts w:ascii="Times New Roman" w:eastAsia="標楷體" w:hAnsi="Times New Roman" w:cs="Times New Roman"/>
          <w:color w:val="000000" w:themeColor="text1"/>
          <w:sz w:val="28"/>
          <w:szCs w:val="32"/>
        </w:rPr>
        <w:t>衰退外，其餘均出現成長。其中以化學品成長幅度最大，增加</w:t>
      </w:r>
      <w:r w:rsidRPr="00724C26">
        <w:rPr>
          <w:rFonts w:ascii="Times New Roman" w:eastAsia="標楷體" w:hAnsi="Times New Roman" w:cs="Times New Roman"/>
          <w:color w:val="000000" w:themeColor="text1"/>
          <w:sz w:val="28"/>
          <w:szCs w:val="32"/>
        </w:rPr>
        <w:t>15.4%</w:t>
      </w:r>
      <w:r w:rsidRPr="00724C26">
        <w:rPr>
          <w:rFonts w:ascii="Times New Roman" w:eastAsia="標楷體" w:hAnsi="Times New Roman" w:cs="Times New Roman"/>
          <w:color w:val="000000" w:themeColor="text1"/>
          <w:sz w:val="28"/>
          <w:szCs w:val="32"/>
        </w:rPr>
        <w:t>，資通產品居次，增加</w:t>
      </w:r>
      <w:r w:rsidRPr="00724C26">
        <w:rPr>
          <w:rFonts w:ascii="Times New Roman" w:eastAsia="標楷體" w:hAnsi="Times New Roman" w:cs="Times New Roman"/>
          <w:color w:val="000000" w:themeColor="text1"/>
          <w:sz w:val="28"/>
          <w:szCs w:val="32"/>
        </w:rPr>
        <w:t>13.5%</w:t>
      </w:r>
      <w:r w:rsidRPr="00724C26">
        <w:rPr>
          <w:rFonts w:ascii="Times New Roman" w:eastAsia="標楷體" w:hAnsi="Times New Roman" w:cs="Times New Roman"/>
          <w:color w:val="000000" w:themeColor="text1"/>
          <w:sz w:val="28"/>
          <w:szCs w:val="32"/>
        </w:rPr>
        <w:t>，其次為電子產品、塑橡膠產品分別增加</w:t>
      </w:r>
      <w:r w:rsidRPr="00724C26">
        <w:rPr>
          <w:rFonts w:ascii="Times New Roman" w:eastAsia="標楷體" w:hAnsi="Times New Roman" w:cs="Times New Roman"/>
          <w:color w:val="000000" w:themeColor="text1"/>
          <w:sz w:val="28"/>
          <w:szCs w:val="32"/>
        </w:rPr>
        <w:t>12.4%</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9.6%</w:t>
      </w:r>
      <w:r w:rsidRPr="00724C26">
        <w:rPr>
          <w:rFonts w:ascii="Times New Roman" w:eastAsia="標楷體" w:hAnsi="Times New Roman" w:cs="Times New Roman"/>
          <w:color w:val="000000" w:themeColor="text1"/>
          <w:sz w:val="28"/>
          <w:szCs w:val="32"/>
        </w:rPr>
        <w:t>，主要是受惠於中國大陸對化學品、手機及其零件、積體電路需求殷切帶動我出口表現。</w:t>
      </w:r>
    </w:p>
    <w:p w:rsidR="00644C52" w:rsidRPr="00724C26" w:rsidRDefault="00644C52" w:rsidP="00C84EE9">
      <w:pPr>
        <w:widowControl/>
        <w:autoSpaceDE w:val="0"/>
        <w:snapToGrid w:val="0"/>
        <w:spacing w:afterLines="150" w:after="360" w:line="480" w:lineRule="exact"/>
        <w:ind w:leftChars="235" w:left="564"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sz w:val="28"/>
          <w:szCs w:val="32"/>
        </w:rPr>
        <w:t>然而美中貿易戰影響逐步發酵致</w:t>
      </w:r>
      <w:r w:rsidRPr="00724C26">
        <w:rPr>
          <w:rFonts w:ascii="Times New Roman" w:eastAsia="標楷體" w:hAnsi="Times New Roman" w:cs="Times New Roman"/>
          <w:color w:val="000000" w:themeColor="text1"/>
          <w:sz w:val="28"/>
          <w:szCs w:val="32"/>
        </w:rPr>
        <w:t>2018</w:t>
      </w:r>
      <w:r w:rsidRPr="00724C26">
        <w:rPr>
          <w:rFonts w:ascii="Times New Roman" w:eastAsia="標楷體" w:hAnsi="Times New Roman" w:cs="Times New Roman"/>
          <w:color w:val="000000" w:themeColor="text1"/>
          <w:sz w:val="28"/>
          <w:szCs w:val="32"/>
        </w:rPr>
        <w:t>年對陸出口成長表現遜於</w:t>
      </w:r>
      <w:r w:rsidRPr="00724C26">
        <w:rPr>
          <w:rFonts w:ascii="Times New Roman" w:eastAsia="標楷體" w:hAnsi="Times New Roman" w:cs="Times New Roman"/>
          <w:color w:val="000000" w:themeColor="text1"/>
          <w:sz w:val="28"/>
          <w:szCs w:val="32"/>
        </w:rPr>
        <w:t>2017</w:t>
      </w:r>
      <w:r w:rsidRPr="00724C26">
        <w:rPr>
          <w:rFonts w:ascii="Times New Roman" w:eastAsia="標楷體" w:hAnsi="Times New Roman" w:cs="Times New Roman"/>
          <w:color w:val="000000" w:themeColor="text1"/>
          <w:sz w:val="28"/>
          <w:szCs w:val="32"/>
        </w:rPr>
        <w:t>年。其中，機械成長</w:t>
      </w:r>
      <w:r w:rsidR="004975A5">
        <w:rPr>
          <w:rFonts w:ascii="Times New Roman" w:eastAsia="標楷體" w:hAnsi="Times New Roman" w:cs="Times New Roman" w:hint="eastAsia"/>
          <w:color w:val="000000" w:themeColor="text1"/>
          <w:sz w:val="28"/>
          <w:szCs w:val="32"/>
        </w:rPr>
        <w:t>率</w:t>
      </w:r>
      <w:r w:rsidR="004975A5">
        <w:rPr>
          <w:rFonts w:ascii="Times New Roman" w:eastAsia="標楷體" w:hAnsi="Times New Roman" w:cs="Times New Roman" w:hint="eastAsia"/>
          <w:color w:val="000000" w:themeColor="text1"/>
          <w:sz w:val="28"/>
          <w:szCs w:val="32"/>
        </w:rPr>
        <w:t>3.2</w:t>
      </w:r>
      <w:r w:rsidR="004975A5" w:rsidRPr="004975A5">
        <w:rPr>
          <w:rFonts w:ascii="Times New Roman" w:eastAsia="標楷體" w:hAnsi="Times New Roman" w:cs="Times New Roman"/>
          <w:color w:val="000000" w:themeColor="text1"/>
          <w:sz w:val="28"/>
          <w:szCs w:val="32"/>
        </w:rPr>
        <w:t>%</w:t>
      </w:r>
      <w:r w:rsidR="004975A5">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較上年縮減</w:t>
      </w:r>
      <w:r w:rsidRPr="00724C26">
        <w:rPr>
          <w:rFonts w:ascii="Times New Roman" w:eastAsia="標楷體" w:hAnsi="Times New Roman" w:cs="Times New Roman"/>
          <w:color w:val="000000" w:themeColor="text1"/>
          <w:sz w:val="28"/>
          <w:szCs w:val="32"/>
        </w:rPr>
        <w:t>44.7</w:t>
      </w:r>
      <w:r w:rsidRPr="00724C26">
        <w:rPr>
          <w:rFonts w:ascii="Times New Roman" w:eastAsia="標楷體" w:hAnsi="Times New Roman" w:cs="Times New Roman"/>
          <w:color w:val="000000" w:themeColor="text1"/>
          <w:sz w:val="28"/>
          <w:szCs w:val="32"/>
        </w:rPr>
        <w:t>個百分點</w:t>
      </w:r>
      <w:r w:rsidR="005D747D">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減幅最大，主要是受到美中貿易摩擦擴大，中國大陸廠商投資氛圍轉趨保守有關。</w:t>
      </w:r>
      <w:r w:rsidRPr="00724C26">
        <w:rPr>
          <w:rFonts w:ascii="Times New Roman" w:eastAsia="標楷體" w:hAnsi="Times New Roman" w:cs="Times New Roman"/>
          <w:sz w:val="28"/>
          <w:szCs w:val="32"/>
        </w:rPr>
        <w:t>其次為基本金屬</w:t>
      </w:r>
      <w:r w:rsidR="004975A5" w:rsidRPr="004975A5">
        <w:rPr>
          <w:rFonts w:ascii="Times New Roman" w:eastAsia="標楷體" w:hAnsi="Times New Roman" w:cs="Times New Roman" w:hint="eastAsia"/>
          <w:sz w:val="28"/>
          <w:szCs w:val="32"/>
        </w:rPr>
        <w:t>成長率</w:t>
      </w:r>
      <w:r w:rsidR="004975A5">
        <w:rPr>
          <w:rFonts w:ascii="Times New Roman" w:eastAsia="標楷體" w:hAnsi="Times New Roman" w:cs="Times New Roman" w:hint="eastAsia"/>
          <w:sz w:val="28"/>
          <w:szCs w:val="32"/>
        </w:rPr>
        <w:t>3.8</w:t>
      </w:r>
      <w:r w:rsidR="004975A5" w:rsidRPr="004975A5">
        <w:rPr>
          <w:rFonts w:ascii="Times New Roman" w:eastAsia="標楷體" w:hAnsi="Times New Roman" w:cs="Times New Roman" w:hint="eastAsia"/>
          <w:sz w:val="28"/>
          <w:szCs w:val="32"/>
        </w:rPr>
        <w:t>%</w:t>
      </w:r>
      <w:r w:rsidR="004975A5" w:rsidRPr="004975A5">
        <w:rPr>
          <w:rFonts w:ascii="Times New Roman" w:eastAsia="標楷體" w:hAnsi="Times New Roman" w:cs="Times New Roman" w:hint="eastAsia"/>
          <w:sz w:val="28"/>
          <w:szCs w:val="32"/>
        </w:rPr>
        <w:t>，較上年</w:t>
      </w:r>
      <w:r w:rsidRPr="00724C26">
        <w:rPr>
          <w:rFonts w:ascii="Times New Roman" w:eastAsia="標楷體" w:hAnsi="Times New Roman" w:cs="Times New Roman"/>
          <w:sz w:val="28"/>
          <w:szCs w:val="32"/>
        </w:rPr>
        <w:t>減少</w:t>
      </w:r>
      <w:r w:rsidRPr="00724C26">
        <w:rPr>
          <w:rFonts w:ascii="Times New Roman" w:eastAsia="標楷體" w:hAnsi="Times New Roman" w:cs="Times New Roman"/>
          <w:sz w:val="28"/>
          <w:szCs w:val="32"/>
        </w:rPr>
        <w:t>25.4</w:t>
      </w:r>
      <w:r w:rsidRPr="00724C26">
        <w:rPr>
          <w:rFonts w:ascii="Times New Roman" w:eastAsia="標楷體" w:hAnsi="Times New Roman" w:cs="Times New Roman"/>
          <w:sz w:val="28"/>
          <w:szCs w:val="32"/>
        </w:rPr>
        <w:t>個百分點，主因是國際金屬行情震盪，市場觀望，加上</w:t>
      </w:r>
      <w:r w:rsidRPr="00724C26">
        <w:rPr>
          <w:rFonts w:ascii="Times New Roman" w:eastAsia="標楷體" w:hAnsi="Times New Roman" w:cs="Times New Roman"/>
          <w:sz w:val="28"/>
          <w:szCs w:val="32"/>
        </w:rPr>
        <w:lastRenderedPageBreak/>
        <w:t>中國大陸於</w:t>
      </w:r>
      <w:r w:rsidRPr="00724C26">
        <w:rPr>
          <w:rFonts w:ascii="Times New Roman" w:eastAsia="標楷體" w:hAnsi="Times New Roman" w:cs="Times New Roman"/>
          <w:sz w:val="28"/>
          <w:szCs w:val="32"/>
        </w:rPr>
        <w:t>2018</w:t>
      </w:r>
      <w:r w:rsidRPr="00724C26">
        <w:rPr>
          <w:rFonts w:ascii="Times New Roman" w:eastAsia="標楷體" w:hAnsi="Times New Roman" w:cs="Times New Roman"/>
          <w:sz w:val="28"/>
          <w:szCs w:val="32"/>
        </w:rPr>
        <w:t>年</w:t>
      </w:r>
      <w:r w:rsidRPr="00724C26">
        <w:rPr>
          <w:rFonts w:ascii="Times New Roman" w:eastAsia="標楷體" w:hAnsi="Times New Roman" w:cs="Times New Roman"/>
          <w:sz w:val="28"/>
          <w:szCs w:val="32"/>
        </w:rPr>
        <w:t>3</w:t>
      </w:r>
      <w:r w:rsidRPr="00724C26">
        <w:rPr>
          <w:rFonts w:ascii="Times New Roman" w:eastAsia="標楷體" w:hAnsi="Times New Roman" w:cs="Times New Roman"/>
          <w:sz w:val="28"/>
          <w:szCs w:val="32"/>
        </w:rPr>
        <w:t>月</w:t>
      </w:r>
      <w:proofErr w:type="gramStart"/>
      <w:r w:rsidRPr="00724C26">
        <w:rPr>
          <w:rFonts w:ascii="Times New Roman" w:eastAsia="標楷體" w:hAnsi="Times New Roman" w:cs="Times New Roman"/>
          <w:sz w:val="28"/>
          <w:szCs w:val="32"/>
        </w:rPr>
        <w:t>縮緊廢金屬</w:t>
      </w:r>
      <w:proofErr w:type="gramEnd"/>
      <w:r w:rsidRPr="00724C26">
        <w:rPr>
          <w:rFonts w:ascii="Times New Roman" w:eastAsia="標楷體" w:hAnsi="Times New Roman" w:cs="Times New Roman"/>
          <w:sz w:val="28"/>
          <w:szCs w:val="32"/>
        </w:rPr>
        <w:t>進口措施</w:t>
      </w:r>
      <w:r w:rsidRPr="00724C26">
        <w:rPr>
          <w:rStyle w:val="ae"/>
          <w:rFonts w:ascii="Times New Roman" w:eastAsia="標楷體" w:hAnsi="Times New Roman" w:cs="Times New Roman"/>
          <w:sz w:val="28"/>
          <w:szCs w:val="32"/>
        </w:rPr>
        <w:footnoteReference w:id="10"/>
      </w:r>
      <w:r w:rsidRPr="00724C26">
        <w:rPr>
          <w:rFonts w:ascii="Times New Roman" w:eastAsia="標楷體" w:hAnsi="Times New Roman" w:cs="Times New Roman"/>
          <w:sz w:val="28"/>
          <w:szCs w:val="32"/>
        </w:rPr>
        <w:t>致增幅縮減</w:t>
      </w:r>
      <w:r w:rsidRPr="00724C26">
        <w:rPr>
          <w:rFonts w:ascii="Times New Roman" w:eastAsia="標楷體" w:hAnsi="Times New Roman" w:cs="Times New Roman"/>
          <w:color w:val="000000" w:themeColor="text1"/>
          <w:sz w:val="28"/>
          <w:szCs w:val="32"/>
        </w:rPr>
        <w:t>；電子產品</w:t>
      </w:r>
      <w:r w:rsidR="00726E4E">
        <w:rPr>
          <w:rFonts w:ascii="Times New Roman" w:eastAsia="標楷體" w:hAnsi="Times New Roman" w:cs="Times New Roman" w:hint="eastAsia"/>
          <w:color w:val="000000" w:themeColor="text1"/>
          <w:sz w:val="28"/>
          <w:szCs w:val="32"/>
        </w:rPr>
        <w:t>成長</w:t>
      </w:r>
      <w:r w:rsidR="00726E4E">
        <w:rPr>
          <w:rFonts w:ascii="Times New Roman" w:eastAsia="標楷體" w:hAnsi="Times New Roman" w:cs="Times New Roman" w:hint="eastAsia"/>
          <w:color w:val="000000" w:themeColor="text1"/>
          <w:sz w:val="28"/>
          <w:szCs w:val="32"/>
        </w:rPr>
        <w:t>12.4</w:t>
      </w:r>
      <w:r w:rsidR="00726E4E" w:rsidRPr="00726E4E">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亦</w:t>
      </w:r>
      <w:r w:rsidR="00726E4E">
        <w:rPr>
          <w:rFonts w:ascii="Times New Roman" w:eastAsia="標楷體" w:hAnsi="Times New Roman" w:cs="Times New Roman" w:hint="eastAsia"/>
          <w:color w:val="000000" w:themeColor="text1"/>
          <w:sz w:val="28"/>
          <w:szCs w:val="32"/>
        </w:rPr>
        <w:t>較上年</w:t>
      </w:r>
      <w:r w:rsidRPr="00724C26">
        <w:rPr>
          <w:rFonts w:ascii="Times New Roman" w:eastAsia="標楷體" w:hAnsi="Times New Roman" w:cs="Times New Roman"/>
          <w:color w:val="000000" w:themeColor="text1"/>
          <w:sz w:val="28"/>
          <w:szCs w:val="32"/>
        </w:rPr>
        <w:t>減少</w:t>
      </w:r>
      <w:r w:rsidRPr="00724C26">
        <w:rPr>
          <w:rFonts w:ascii="Times New Roman" w:eastAsia="標楷體" w:hAnsi="Times New Roman" w:cs="Times New Roman"/>
          <w:color w:val="000000" w:themeColor="text1"/>
          <w:sz w:val="28"/>
          <w:szCs w:val="32"/>
        </w:rPr>
        <w:t>14.1</w:t>
      </w:r>
      <w:r w:rsidRPr="00724C26">
        <w:rPr>
          <w:rFonts w:ascii="Times New Roman" w:eastAsia="標楷體" w:hAnsi="Times New Roman" w:cs="Times New Roman"/>
          <w:color w:val="000000" w:themeColor="text1"/>
          <w:sz w:val="28"/>
          <w:szCs w:val="32"/>
        </w:rPr>
        <w:t>個百分點，主要是蘋果新機銷售情況不佳；另受到石油價格</w:t>
      </w:r>
      <w:r w:rsidR="00724C26">
        <w:rPr>
          <w:rFonts w:ascii="Times New Roman" w:eastAsia="標楷體" w:hAnsi="Times New Roman" w:cs="Times New Roman" w:hint="eastAsia"/>
          <w:color w:val="000000" w:themeColor="text1"/>
          <w:sz w:val="28"/>
          <w:szCs w:val="32"/>
        </w:rPr>
        <w:t>下跌</w:t>
      </w:r>
      <w:r w:rsidRPr="00724C26">
        <w:rPr>
          <w:rFonts w:ascii="Times New Roman" w:eastAsia="標楷體" w:hAnsi="Times New Roman" w:cs="Times New Roman"/>
          <w:color w:val="000000" w:themeColor="text1"/>
          <w:sz w:val="28"/>
          <w:szCs w:val="32"/>
        </w:rPr>
        <w:t>及面板價格</w:t>
      </w:r>
      <w:r w:rsidR="00BE54E8">
        <w:rPr>
          <w:rFonts w:ascii="Times New Roman" w:eastAsia="標楷體" w:hAnsi="Times New Roman" w:cs="Times New Roman" w:hint="eastAsia"/>
          <w:color w:val="000000" w:themeColor="text1"/>
          <w:sz w:val="28"/>
          <w:szCs w:val="32"/>
        </w:rPr>
        <w:t>下跌</w:t>
      </w:r>
      <w:r w:rsidRPr="00724C26">
        <w:rPr>
          <w:rFonts w:ascii="Times New Roman" w:eastAsia="標楷體" w:hAnsi="Times New Roman" w:cs="Times New Roman"/>
          <w:color w:val="000000" w:themeColor="text1"/>
          <w:sz w:val="28"/>
          <w:szCs w:val="32"/>
        </w:rPr>
        <w:t>的影響，塑橡膠製品</w:t>
      </w:r>
      <w:r w:rsidR="00726E4E">
        <w:rPr>
          <w:rFonts w:ascii="Times New Roman" w:eastAsia="標楷體" w:hAnsi="Times New Roman" w:cs="Times New Roman" w:hint="eastAsia"/>
          <w:color w:val="000000" w:themeColor="text1"/>
          <w:sz w:val="28"/>
          <w:szCs w:val="32"/>
        </w:rPr>
        <w:t>成長</w:t>
      </w:r>
      <w:r w:rsidR="00726E4E">
        <w:rPr>
          <w:rFonts w:ascii="Times New Roman" w:eastAsia="標楷體" w:hAnsi="Times New Roman" w:cs="Times New Roman" w:hint="eastAsia"/>
          <w:color w:val="000000" w:themeColor="text1"/>
          <w:sz w:val="28"/>
          <w:szCs w:val="32"/>
        </w:rPr>
        <w:t>9.6</w:t>
      </w:r>
      <w:r w:rsidR="00726E4E" w:rsidRPr="00726E4E">
        <w:rPr>
          <w:rFonts w:ascii="Times New Roman" w:eastAsia="標楷體" w:hAnsi="Times New Roman" w:cs="Times New Roman"/>
          <w:color w:val="000000" w:themeColor="text1"/>
          <w:sz w:val="28"/>
          <w:szCs w:val="32"/>
        </w:rPr>
        <w:t>%</w:t>
      </w:r>
      <w:r w:rsidR="00BE54E8">
        <w:rPr>
          <w:rFonts w:ascii="Times New Roman" w:eastAsia="標楷體" w:hAnsi="Times New Roman" w:cs="Times New Roman" w:hint="eastAsia"/>
          <w:color w:val="000000" w:themeColor="text1"/>
          <w:sz w:val="28"/>
          <w:szCs w:val="32"/>
        </w:rPr>
        <w:t>，增幅</w:t>
      </w:r>
      <w:r w:rsidR="00BE54E8" w:rsidRPr="00BE54E8">
        <w:rPr>
          <w:rFonts w:ascii="Times New Roman" w:eastAsia="標楷體" w:hAnsi="Times New Roman" w:cs="Times New Roman" w:hint="eastAsia"/>
          <w:color w:val="000000" w:themeColor="text1"/>
          <w:sz w:val="28"/>
          <w:szCs w:val="32"/>
        </w:rPr>
        <w:t>較上年減少</w:t>
      </w:r>
      <w:r w:rsidR="00BE54E8" w:rsidRPr="00BE54E8">
        <w:rPr>
          <w:rFonts w:ascii="Times New Roman" w:eastAsia="標楷體" w:hAnsi="Times New Roman" w:cs="Times New Roman" w:hint="eastAsia"/>
          <w:color w:val="000000" w:themeColor="text1"/>
          <w:sz w:val="28"/>
          <w:szCs w:val="32"/>
        </w:rPr>
        <w:t>14.1</w:t>
      </w:r>
      <w:r w:rsidR="00BE54E8" w:rsidRPr="00BE54E8">
        <w:rPr>
          <w:rFonts w:ascii="Times New Roman" w:eastAsia="標楷體" w:hAnsi="Times New Roman" w:cs="Times New Roman" w:hint="eastAsia"/>
          <w:color w:val="000000" w:themeColor="text1"/>
          <w:sz w:val="28"/>
          <w:szCs w:val="32"/>
        </w:rPr>
        <w:t>個百分點</w:t>
      </w:r>
      <w:r w:rsidR="00BE54E8">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光學器材</w:t>
      </w:r>
      <w:r w:rsidR="00BE54E8">
        <w:rPr>
          <w:rFonts w:ascii="Times New Roman" w:eastAsia="標楷體" w:hAnsi="Times New Roman" w:cs="Times New Roman" w:hint="eastAsia"/>
          <w:color w:val="000000" w:themeColor="text1"/>
          <w:sz w:val="28"/>
          <w:szCs w:val="32"/>
        </w:rPr>
        <w:t>則由上年</w:t>
      </w:r>
      <w:r w:rsidRPr="00724C26">
        <w:rPr>
          <w:rFonts w:ascii="Times New Roman" w:eastAsia="標楷體" w:hAnsi="Times New Roman" w:cs="Times New Roman"/>
          <w:color w:val="000000" w:themeColor="text1"/>
          <w:sz w:val="28"/>
          <w:szCs w:val="32"/>
        </w:rPr>
        <w:t>成長</w:t>
      </w:r>
      <w:r w:rsidR="00BE54E8">
        <w:rPr>
          <w:rFonts w:ascii="Times New Roman" w:eastAsia="標楷體" w:hAnsi="Times New Roman" w:cs="Times New Roman" w:hint="eastAsia"/>
          <w:color w:val="000000" w:themeColor="text1"/>
          <w:sz w:val="28"/>
          <w:szCs w:val="32"/>
        </w:rPr>
        <w:t>7</w:t>
      </w:r>
      <w:r w:rsidRPr="00724C26">
        <w:rPr>
          <w:rFonts w:ascii="Times New Roman" w:eastAsia="標楷體" w:hAnsi="Times New Roman" w:cs="Times New Roman"/>
          <w:color w:val="000000" w:themeColor="text1"/>
          <w:sz w:val="28"/>
          <w:szCs w:val="32"/>
        </w:rPr>
        <w:t>.</w:t>
      </w:r>
      <w:r w:rsidR="00BE54E8">
        <w:rPr>
          <w:rFonts w:ascii="Times New Roman" w:eastAsia="標楷體" w:hAnsi="Times New Roman" w:cs="Times New Roman" w:hint="eastAsia"/>
          <w:color w:val="000000" w:themeColor="text1"/>
          <w:sz w:val="28"/>
          <w:szCs w:val="32"/>
        </w:rPr>
        <w:t>3</w:t>
      </w:r>
      <w:r w:rsidR="00BE54E8" w:rsidRPr="00BE54E8">
        <w:rPr>
          <w:rFonts w:ascii="Times New Roman" w:eastAsia="標楷體" w:hAnsi="Times New Roman" w:cs="Times New Roman"/>
          <w:color w:val="000000" w:themeColor="text1"/>
          <w:sz w:val="28"/>
          <w:szCs w:val="32"/>
        </w:rPr>
        <w:t>%</w:t>
      </w:r>
      <w:r w:rsidR="00BE54E8">
        <w:rPr>
          <w:rFonts w:ascii="Times New Roman" w:eastAsia="標楷體" w:hAnsi="Times New Roman" w:cs="Times New Roman" w:hint="eastAsia"/>
          <w:color w:val="000000" w:themeColor="text1"/>
          <w:sz w:val="28"/>
          <w:szCs w:val="32"/>
        </w:rPr>
        <w:t>轉為衰退</w:t>
      </w:r>
      <w:r w:rsidR="00BE54E8">
        <w:rPr>
          <w:rFonts w:ascii="Times New Roman" w:eastAsia="標楷體" w:hAnsi="Times New Roman" w:cs="Times New Roman" w:hint="eastAsia"/>
          <w:color w:val="000000" w:themeColor="text1"/>
          <w:sz w:val="28"/>
          <w:szCs w:val="32"/>
        </w:rPr>
        <w:t>17.5</w:t>
      </w:r>
      <w:r w:rsidR="00BE54E8" w:rsidRPr="00BE54E8">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w:t>
      </w:r>
    </w:p>
    <w:p w:rsidR="00644C52" w:rsidRDefault="00644C52" w:rsidP="00644C52">
      <w:pPr>
        <w:widowControl/>
        <w:autoSpaceDE w:val="0"/>
        <w:snapToGrid w:val="0"/>
        <w:spacing w:beforeLines="25" w:before="60" w:line="240" w:lineRule="atLeast"/>
        <w:ind w:leftChars="-177" w:left="564" w:hangingChars="412" w:hanging="989"/>
        <w:jc w:val="both"/>
        <w:rPr>
          <w:rFonts w:ascii="標楷體" w:eastAsia="標楷體" w:hAnsi="標楷體" w:cs="MS Gothic"/>
          <w:color w:val="000000" w:themeColor="text1"/>
          <w:sz w:val="28"/>
          <w:szCs w:val="32"/>
        </w:rPr>
      </w:pPr>
      <w:r>
        <w:rPr>
          <w:noProof/>
        </w:rPr>
        <mc:AlternateContent>
          <mc:Choice Requires="wps">
            <w:drawing>
              <wp:anchor distT="0" distB="0" distL="114300" distR="114300" simplePos="0" relativeHeight="251667456" behindDoc="0" locked="0" layoutInCell="1" allowOverlap="1" wp14:anchorId="732F7886" wp14:editId="7F2FB412">
                <wp:simplePos x="0" y="0"/>
                <wp:positionH relativeFrom="column">
                  <wp:posOffset>99308</wp:posOffset>
                </wp:positionH>
                <wp:positionV relativeFrom="paragraph">
                  <wp:posOffset>22860</wp:posOffset>
                </wp:positionV>
                <wp:extent cx="914400" cy="274320"/>
                <wp:effectExtent l="0" t="0" r="6350" b="0"/>
                <wp:wrapNone/>
                <wp:docPr id="2" name="文字方塊 2"/>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6E2" w:rsidRDefault="00AF26E2">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left:0;text-align:left;margin-left:7.8pt;margin-top:1.8pt;width:1in;height:21.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" fillcolor="white [3201]" stroked="f" strokeweight=".5pt">
                <v:textbox>
                  <w:txbxContent>
                    <w:p w:rsidR="00AF26E2" w:rsidRDefault="00AF26E2">
                      <w:r>
                        <w:rPr>
                          <w:rFonts w:hint="eastAsia"/>
                        </w:rPr>
                        <w:t>%</w:t>
                      </w:r>
                    </w:p>
                  </w:txbxContent>
                </v:textbox>
              </v:shape>
            </w:pict>
          </mc:Fallback>
        </mc:AlternateContent>
      </w:r>
    </w:p>
    <w:p w:rsidR="00644C52" w:rsidRDefault="003E1A02" w:rsidP="003E1A02">
      <w:pPr>
        <w:widowControl/>
        <w:autoSpaceDE w:val="0"/>
        <w:snapToGrid w:val="0"/>
        <w:spacing w:beforeLines="25" w:before="60" w:line="240" w:lineRule="atLeast"/>
        <w:ind w:leftChars="-177" w:left="564" w:hangingChars="412" w:hanging="989"/>
        <w:jc w:val="both"/>
        <w:rPr>
          <w:rFonts w:ascii="標楷體" w:eastAsia="標楷體" w:hAnsi="標楷體" w:cs="MS Gothic"/>
          <w:color w:val="000000" w:themeColor="text1"/>
        </w:rPr>
      </w:pPr>
      <w:r>
        <w:rPr>
          <w:noProof/>
        </w:rPr>
        <w:drawing>
          <wp:anchor distT="0" distB="0" distL="114300" distR="114300" simplePos="0" relativeHeight="251687936" behindDoc="0" locked="0" layoutInCell="1" allowOverlap="1" wp14:anchorId="3A0145C2" wp14:editId="5DDE0688">
            <wp:simplePos x="0" y="0"/>
            <wp:positionH relativeFrom="column">
              <wp:posOffset>-521970</wp:posOffset>
            </wp:positionH>
            <wp:positionV relativeFrom="paragraph">
              <wp:posOffset>65405</wp:posOffset>
            </wp:positionV>
            <wp:extent cx="6082665" cy="2694940"/>
            <wp:effectExtent l="0" t="0" r="0" b="0"/>
            <wp:wrapSquare wrapText="bothSides"/>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44C52" w:rsidRPr="00C84EE9">
        <w:rPr>
          <w:rFonts w:ascii="標楷體" w:eastAsia="標楷體" w:hAnsi="標楷體" w:cs="MS Gothic" w:hint="eastAsia"/>
          <w:color w:val="000000" w:themeColor="text1"/>
          <w:sz w:val="20"/>
        </w:rPr>
        <w:t>資料來源：財政部、自行整理。</w:t>
      </w:r>
    </w:p>
    <w:p w:rsidR="00C84EE9" w:rsidRPr="00730EB5" w:rsidRDefault="00C84EE9" w:rsidP="00644C52">
      <w:pPr>
        <w:widowControl/>
        <w:autoSpaceDE w:val="0"/>
        <w:snapToGrid w:val="0"/>
        <w:spacing w:beforeLines="25" w:before="60" w:line="240" w:lineRule="atLeast"/>
        <w:ind w:leftChars="-177" w:left="564" w:hangingChars="412" w:hanging="989"/>
        <w:jc w:val="both"/>
        <w:rPr>
          <w:rFonts w:ascii="標楷體" w:eastAsia="標楷體" w:hAnsi="標楷體" w:cs="MS Gothic"/>
          <w:color w:val="000000" w:themeColor="text1"/>
        </w:rPr>
      </w:pPr>
      <w:r>
        <w:rPr>
          <w:noProof/>
        </w:rPr>
        <mc:AlternateContent>
          <mc:Choice Requires="wps">
            <w:drawing>
              <wp:anchor distT="0" distB="0" distL="114300" distR="114300" simplePos="0" relativeHeight="251670528" behindDoc="0" locked="0" layoutInCell="1" allowOverlap="1" wp14:anchorId="4E30456F" wp14:editId="2CE48DEA">
                <wp:simplePos x="0" y="0"/>
                <wp:positionH relativeFrom="column">
                  <wp:posOffset>1196588</wp:posOffset>
                </wp:positionH>
                <wp:positionV relativeFrom="paragraph">
                  <wp:posOffset>20540</wp:posOffset>
                </wp:positionV>
                <wp:extent cx="3893820" cy="397565"/>
                <wp:effectExtent l="0" t="0" r="0" b="2540"/>
                <wp:wrapNone/>
                <wp:docPr id="5" name="文字方塊 5"/>
                <wp:cNvGraphicFramePr/>
                <a:graphic xmlns:a="http://schemas.openxmlformats.org/drawingml/2006/main">
                  <a:graphicData uri="http://schemas.microsoft.com/office/word/2010/wordprocessingShape">
                    <wps:wsp>
                      <wps:cNvSpPr txBox="1"/>
                      <wps:spPr>
                        <a:xfrm>
                          <a:off x="0" y="0"/>
                          <a:ext cx="3893820"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6E2" w:rsidRPr="00724C26" w:rsidRDefault="00AF26E2" w:rsidP="00C84EE9">
                            <w:pPr>
                              <w:rPr>
                                <w:rFonts w:ascii="Times New Roman" w:eastAsia="標楷體" w:hAnsi="Times New Roman" w:cs="Times New Roman"/>
                                <w:b/>
                                <w:sz w:val="28"/>
                                <w:szCs w:val="28"/>
                              </w:rPr>
                            </w:pPr>
                            <w:r w:rsidRPr="00724C26">
                              <w:rPr>
                                <w:rFonts w:ascii="Times New Roman" w:eastAsia="標楷體" w:hAnsi="Times New Roman" w:cs="Times New Roman"/>
                                <w:b/>
                                <w:sz w:val="28"/>
                                <w:szCs w:val="28"/>
                              </w:rPr>
                              <w:t>圖</w:t>
                            </w:r>
                            <w:r w:rsidRPr="00724C26">
                              <w:rPr>
                                <w:rFonts w:ascii="Times New Roman" w:eastAsia="標楷體" w:hAnsi="Times New Roman" w:cs="Times New Roman"/>
                                <w:b/>
                                <w:sz w:val="28"/>
                                <w:szCs w:val="28"/>
                              </w:rPr>
                              <w:t>2-2</w:t>
                            </w:r>
                            <w:r w:rsidRPr="00724C26">
                              <w:rPr>
                                <w:rFonts w:ascii="Times New Roman" w:eastAsia="標楷體" w:hAnsi="Times New Roman" w:cs="Times New Roman"/>
                                <w:b/>
                                <w:sz w:val="28"/>
                                <w:szCs w:val="28"/>
                              </w:rPr>
                              <w:t>臺灣對中國大陸主要出口產品年增率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left:0;text-align:left;margin-left:94.2pt;margin-top:1.6pt;width:306.6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" fillcolor="white [3201]" stroked="f" strokeweight=".5pt">
                <v:textbox>
                  <w:txbxContent>
                    <w:p w:rsidR="00AF26E2" w:rsidRPr="00724C26" w:rsidRDefault="00AF26E2" w:rsidP="00C84EE9">
                      <w:pPr>
                        <w:rPr>
                          <w:rFonts w:ascii="Times New Roman" w:eastAsia="標楷體" w:hAnsi="Times New Roman" w:cs="Times New Roman"/>
                          <w:b/>
                          <w:sz w:val="28"/>
                          <w:szCs w:val="28"/>
                        </w:rPr>
                      </w:pPr>
                      <w:r w:rsidRPr="00724C26">
                        <w:rPr>
                          <w:rFonts w:ascii="Times New Roman" w:eastAsia="標楷體" w:hAnsi="Times New Roman" w:cs="Times New Roman"/>
                          <w:b/>
                          <w:sz w:val="28"/>
                          <w:szCs w:val="28"/>
                        </w:rPr>
                        <w:t>圖</w:t>
                      </w:r>
                      <w:r w:rsidRPr="00724C26">
                        <w:rPr>
                          <w:rFonts w:ascii="Times New Roman" w:eastAsia="標楷體" w:hAnsi="Times New Roman" w:cs="Times New Roman"/>
                          <w:b/>
                          <w:sz w:val="28"/>
                          <w:szCs w:val="28"/>
                        </w:rPr>
                        <w:t>2-2</w:t>
                      </w:r>
                      <w:r w:rsidRPr="00724C26">
                        <w:rPr>
                          <w:rFonts w:ascii="Times New Roman" w:eastAsia="標楷體" w:hAnsi="Times New Roman" w:cs="Times New Roman"/>
                          <w:b/>
                          <w:sz w:val="28"/>
                          <w:szCs w:val="28"/>
                        </w:rPr>
                        <w:t>臺灣對中國大陸主要出口產品年增率</w:t>
                      </w:r>
                    </w:p>
                  </w:txbxContent>
                </v:textbox>
              </v:shape>
            </w:pict>
          </mc:Fallback>
        </mc:AlternateContent>
      </w:r>
    </w:p>
    <w:p w:rsidR="00644C52" w:rsidRPr="007F2D59" w:rsidRDefault="00644C52" w:rsidP="002A4962">
      <w:pPr>
        <w:widowControl/>
        <w:numPr>
          <w:ilvl w:val="0"/>
          <w:numId w:val="21"/>
        </w:numPr>
        <w:tabs>
          <w:tab w:val="left" w:pos="567"/>
        </w:tabs>
        <w:autoSpaceDE w:val="0"/>
        <w:snapToGrid w:val="0"/>
        <w:spacing w:beforeLines="150" w:before="360" w:line="380" w:lineRule="exact"/>
        <w:ind w:left="669" w:hanging="669"/>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主要進口產品</w:t>
      </w:r>
    </w:p>
    <w:p w:rsidR="00644C52" w:rsidRPr="00724C26" w:rsidRDefault="00644C52" w:rsidP="00644C52">
      <w:pPr>
        <w:widowControl/>
        <w:autoSpaceDE w:val="0"/>
        <w:snapToGrid w:val="0"/>
        <w:spacing w:before="100" w:beforeAutospacing="1" w:line="380" w:lineRule="exact"/>
        <w:ind w:left="567" w:firstLineChars="202" w:firstLine="566"/>
        <w:jc w:val="both"/>
        <w:rPr>
          <w:rFonts w:ascii="Times New Roman" w:eastAsia="標楷體" w:hAnsi="Times New Roman" w:cs="Times New Roman"/>
          <w:color w:val="000000" w:themeColor="text1"/>
          <w:kern w:val="0"/>
          <w:sz w:val="28"/>
          <w:szCs w:val="32"/>
        </w:rPr>
      </w:pPr>
      <w:r w:rsidRPr="00724C26">
        <w:rPr>
          <w:rFonts w:ascii="Times New Roman" w:eastAsia="標楷體" w:hAnsi="Times New Roman" w:cs="Times New Roman"/>
          <w:color w:val="000000" w:themeColor="text1"/>
          <w:kern w:val="0"/>
          <w:sz w:val="28"/>
          <w:szCs w:val="32"/>
        </w:rPr>
        <w:t>檢視</w:t>
      </w: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年我自中國大陸進口前</w:t>
      </w:r>
      <w:r w:rsidRPr="00724C26">
        <w:rPr>
          <w:rFonts w:ascii="Times New Roman" w:eastAsia="標楷體" w:hAnsi="Times New Roman" w:cs="Times New Roman"/>
          <w:color w:val="000000" w:themeColor="text1"/>
          <w:kern w:val="0"/>
          <w:sz w:val="28"/>
          <w:szCs w:val="32"/>
        </w:rPr>
        <w:t>10</w:t>
      </w:r>
      <w:r w:rsidRPr="00724C26">
        <w:rPr>
          <w:rFonts w:ascii="Times New Roman" w:eastAsia="標楷體" w:hAnsi="Times New Roman" w:cs="Times New Roman"/>
          <w:color w:val="000000" w:themeColor="text1"/>
          <w:kern w:val="0"/>
          <w:sz w:val="28"/>
          <w:szCs w:val="32"/>
        </w:rPr>
        <w:t>項產品（約占進口比重</w:t>
      </w:r>
      <w:proofErr w:type="gramStart"/>
      <w:r w:rsidRPr="00724C26">
        <w:rPr>
          <w:rFonts w:ascii="Times New Roman" w:eastAsia="標楷體" w:hAnsi="Times New Roman" w:cs="Times New Roman"/>
          <w:color w:val="000000" w:themeColor="text1"/>
          <w:kern w:val="0"/>
          <w:sz w:val="28"/>
          <w:szCs w:val="32"/>
        </w:rPr>
        <w:t>8</w:t>
      </w:r>
      <w:r w:rsidRPr="00724C26">
        <w:rPr>
          <w:rFonts w:ascii="Times New Roman" w:eastAsia="標楷體" w:hAnsi="Times New Roman" w:cs="Times New Roman"/>
          <w:color w:val="000000" w:themeColor="text1"/>
          <w:kern w:val="0"/>
          <w:sz w:val="28"/>
          <w:szCs w:val="32"/>
        </w:rPr>
        <w:t>成</w:t>
      </w:r>
      <w:proofErr w:type="gramEnd"/>
      <w:r w:rsidRPr="00724C26">
        <w:rPr>
          <w:rFonts w:ascii="Times New Roman" w:eastAsia="標楷體" w:hAnsi="Times New Roman" w:cs="Times New Roman"/>
          <w:color w:val="000000" w:themeColor="text1"/>
          <w:kern w:val="0"/>
          <w:sz w:val="28"/>
          <w:szCs w:val="32"/>
        </w:rPr>
        <w:t>6</w:t>
      </w:r>
      <w:r w:rsidRPr="00724C26">
        <w:rPr>
          <w:rFonts w:ascii="Times New Roman" w:eastAsia="標楷體" w:hAnsi="Times New Roman" w:cs="Times New Roman"/>
          <w:color w:val="000000" w:themeColor="text1"/>
          <w:kern w:val="0"/>
          <w:sz w:val="28"/>
          <w:szCs w:val="32"/>
        </w:rPr>
        <w:t>）之變動趨勢，說明如下：</w:t>
      </w:r>
    </w:p>
    <w:p w:rsidR="00644C52" w:rsidRPr="00724C26" w:rsidRDefault="00644C52" w:rsidP="00644C52">
      <w:pPr>
        <w:widowControl/>
        <w:tabs>
          <w:tab w:val="left" w:pos="567"/>
        </w:tabs>
        <w:autoSpaceDE w:val="0"/>
        <w:snapToGrid w:val="0"/>
        <w:spacing w:before="100" w:beforeAutospacing="1" w:line="380" w:lineRule="exact"/>
        <w:ind w:left="330"/>
        <w:jc w:val="both"/>
        <w:rPr>
          <w:rFonts w:ascii="Times New Roman" w:eastAsia="標楷體" w:hAnsi="Times New Roman" w:cs="Times New Roman"/>
          <w:b/>
          <w:color w:val="000000" w:themeColor="text1"/>
          <w:sz w:val="28"/>
          <w:szCs w:val="28"/>
        </w:rPr>
      </w:pPr>
      <w:r w:rsidRPr="00724C26">
        <w:rPr>
          <w:rFonts w:ascii="Times New Roman" w:eastAsia="標楷體" w:hAnsi="Times New Roman" w:cs="Times New Roman"/>
          <w:b/>
          <w:color w:val="000000" w:themeColor="text1"/>
          <w:sz w:val="28"/>
          <w:szCs w:val="28"/>
        </w:rPr>
        <w:t>1.</w:t>
      </w:r>
      <w:r w:rsidRPr="00724C26">
        <w:rPr>
          <w:rFonts w:ascii="Times New Roman" w:eastAsia="標楷體" w:hAnsi="Times New Roman" w:cs="Times New Roman"/>
          <w:b/>
          <w:color w:val="000000" w:themeColor="text1"/>
          <w:sz w:val="28"/>
          <w:szCs w:val="28"/>
        </w:rPr>
        <w:t>進口比重方面</w:t>
      </w:r>
    </w:p>
    <w:p w:rsidR="00644C52" w:rsidRPr="00724C26" w:rsidRDefault="00644C52" w:rsidP="00644C52">
      <w:pPr>
        <w:widowControl/>
        <w:autoSpaceDE w:val="0"/>
        <w:snapToGrid w:val="0"/>
        <w:spacing w:beforeLines="25" w:before="60" w:line="480" w:lineRule="exact"/>
        <w:ind w:leftChars="235" w:left="564"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年自中國大陸</w:t>
      </w:r>
      <w:r w:rsidRPr="00724C26">
        <w:rPr>
          <w:rFonts w:ascii="Times New Roman" w:eastAsia="標楷體" w:hAnsi="Times New Roman" w:cs="Times New Roman"/>
          <w:color w:val="000000" w:themeColor="text1"/>
          <w:sz w:val="28"/>
          <w:szCs w:val="32"/>
        </w:rPr>
        <w:t>進口以電子產品居首位，比重達</w:t>
      </w:r>
      <w:r w:rsidRPr="00724C26">
        <w:rPr>
          <w:rFonts w:ascii="Times New Roman" w:eastAsia="標楷體" w:hAnsi="Times New Roman" w:cs="Times New Roman"/>
          <w:color w:val="000000" w:themeColor="text1"/>
          <w:sz w:val="28"/>
          <w:szCs w:val="32"/>
        </w:rPr>
        <w:t>24.1%</w:t>
      </w:r>
      <w:r w:rsidRPr="00724C26">
        <w:rPr>
          <w:rFonts w:ascii="Times New Roman" w:eastAsia="標楷體" w:hAnsi="Times New Roman" w:cs="Times New Roman"/>
          <w:color w:val="000000" w:themeColor="text1"/>
          <w:sz w:val="28"/>
          <w:szCs w:val="32"/>
        </w:rPr>
        <w:t>，資通產品居次，比重為</w:t>
      </w:r>
      <w:r w:rsidRPr="00724C26">
        <w:rPr>
          <w:rFonts w:ascii="Times New Roman" w:eastAsia="標楷體" w:hAnsi="Times New Roman" w:cs="Times New Roman"/>
          <w:color w:val="000000" w:themeColor="text1"/>
          <w:sz w:val="28"/>
          <w:szCs w:val="32"/>
        </w:rPr>
        <w:t>21.3%</w:t>
      </w:r>
      <w:r w:rsidRPr="00724C26">
        <w:rPr>
          <w:rFonts w:ascii="Times New Roman" w:eastAsia="標楷體" w:hAnsi="Times New Roman" w:cs="Times New Roman"/>
          <w:color w:val="000000" w:themeColor="text1"/>
          <w:sz w:val="28"/>
          <w:szCs w:val="32"/>
        </w:rPr>
        <w:t>，其次為基本金屬、化學品、機械及電機產品，所占比重分別為</w:t>
      </w:r>
      <w:r w:rsidRPr="00724C26">
        <w:rPr>
          <w:rFonts w:ascii="Times New Roman" w:eastAsia="標楷體" w:hAnsi="Times New Roman" w:cs="Times New Roman"/>
          <w:color w:val="000000" w:themeColor="text1"/>
          <w:sz w:val="28"/>
          <w:szCs w:val="32"/>
        </w:rPr>
        <w:t>9.2%</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8.7%</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6.7%</w:t>
      </w:r>
      <w:r w:rsidRPr="00724C26">
        <w:rPr>
          <w:rFonts w:ascii="Times New Roman" w:eastAsia="標楷體" w:hAnsi="Times New Roman" w:cs="Times New Roman"/>
          <w:color w:val="000000" w:themeColor="text1"/>
          <w:sz w:val="28"/>
          <w:szCs w:val="32"/>
        </w:rPr>
        <w:t>及</w:t>
      </w:r>
      <w:r w:rsidRPr="00724C26">
        <w:rPr>
          <w:rFonts w:ascii="Times New Roman" w:eastAsia="標楷體" w:hAnsi="Times New Roman" w:cs="Times New Roman"/>
          <w:color w:val="000000" w:themeColor="text1"/>
          <w:sz w:val="28"/>
          <w:szCs w:val="32"/>
        </w:rPr>
        <w:t>6.7%</w:t>
      </w:r>
      <w:r w:rsidRPr="00724C26">
        <w:rPr>
          <w:rFonts w:ascii="Times New Roman" w:eastAsia="標楷體" w:hAnsi="Times New Roman" w:cs="Times New Roman"/>
          <w:color w:val="000000" w:themeColor="text1"/>
          <w:sz w:val="28"/>
          <w:szCs w:val="32"/>
        </w:rPr>
        <w:t>，上述</w:t>
      </w:r>
      <w:r w:rsidRPr="00724C26">
        <w:rPr>
          <w:rFonts w:ascii="Times New Roman" w:eastAsia="標楷體" w:hAnsi="Times New Roman" w:cs="Times New Roman"/>
          <w:color w:val="000000" w:themeColor="text1"/>
          <w:sz w:val="28"/>
          <w:szCs w:val="32"/>
        </w:rPr>
        <w:t>6</w:t>
      </w:r>
      <w:r w:rsidRPr="00724C26">
        <w:rPr>
          <w:rFonts w:ascii="Times New Roman" w:eastAsia="標楷體" w:hAnsi="Times New Roman" w:cs="Times New Roman"/>
          <w:color w:val="000000" w:themeColor="text1"/>
          <w:sz w:val="28"/>
          <w:szCs w:val="32"/>
        </w:rPr>
        <w:t>項產品成長幅度與上年相較持平。</w:t>
      </w:r>
    </w:p>
    <w:p w:rsidR="00644C52" w:rsidRPr="007F2D59" w:rsidRDefault="00644C52" w:rsidP="00644C52">
      <w:pPr>
        <w:widowControl/>
        <w:autoSpaceDE w:val="0"/>
        <w:snapToGrid w:val="0"/>
        <w:spacing w:beforeLines="25" w:before="60" w:line="240" w:lineRule="atLeast"/>
        <w:ind w:leftChars="119" w:left="564" w:hangingChars="116" w:hanging="278"/>
        <w:jc w:val="both"/>
        <w:rPr>
          <w:rFonts w:eastAsia="標楷體"/>
          <w:color w:val="000000" w:themeColor="text1"/>
          <w:sz w:val="28"/>
          <w:szCs w:val="32"/>
        </w:rPr>
      </w:pPr>
      <w:r>
        <w:rPr>
          <w:noProof/>
        </w:rPr>
        <w:lastRenderedPageBreak/>
        <w:drawing>
          <wp:inline distT="0" distB="0" distL="0" distR="0" wp14:anchorId="572514A3" wp14:editId="449587C2">
            <wp:extent cx="4564049" cy="2321781"/>
            <wp:effectExtent l="0" t="0" r="8255" b="254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4C52" w:rsidRPr="00C84EE9" w:rsidRDefault="00644C52" w:rsidP="00C84EE9">
      <w:pPr>
        <w:widowControl/>
        <w:tabs>
          <w:tab w:val="left" w:pos="567"/>
        </w:tabs>
        <w:autoSpaceDE w:val="0"/>
        <w:snapToGrid w:val="0"/>
        <w:spacing w:line="380" w:lineRule="exact"/>
        <w:ind w:left="330"/>
        <w:jc w:val="both"/>
        <w:rPr>
          <w:rFonts w:ascii="標楷體" w:eastAsia="標楷體" w:hAnsi="標楷體"/>
          <w:color w:val="000000" w:themeColor="text1"/>
          <w:sz w:val="20"/>
        </w:rPr>
      </w:pPr>
      <w:r w:rsidRPr="00C84EE9">
        <w:rPr>
          <w:rFonts w:ascii="標楷體" w:eastAsia="標楷體" w:hAnsi="標楷體" w:hint="eastAsia"/>
          <w:color w:val="000000" w:themeColor="text1"/>
          <w:sz w:val="20"/>
        </w:rPr>
        <w:t>資料來源：自行整理。</w:t>
      </w:r>
    </w:p>
    <w:p w:rsidR="00C84EE9" w:rsidRPr="00724C26" w:rsidRDefault="00C84EE9" w:rsidP="00C84EE9">
      <w:pPr>
        <w:widowControl/>
        <w:tabs>
          <w:tab w:val="left" w:pos="567"/>
        </w:tabs>
        <w:autoSpaceDE w:val="0"/>
        <w:snapToGrid w:val="0"/>
        <w:spacing w:line="380" w:lineRule="exact"/>
        <w:ind w:left="330"/>
        <w:jc w:val="center"/>
        <w:rPr>
          <w:rFonts w:ascii="Times New Roman" w:eastAsia="標楷體" w:hAnsi="Times New Roman" w:cs="Times New Roman"/>
          <w:b/>
          <w:sz w:val="28"/>
          <w:szCs w:val="28"/>
        </w:rPr>
      </w:pPr>
      <w:r w:rsidRPr="00724C26">
        <w:rPr>
          <w:rFonts w:ascii="Times New Roman" w:eastAsia="標楷體" w:hAnsi="Times New Roman" w:cs="Times New Roman"/>
          <w:b/>
          <w:sz w:val="28"/>
          <w:szCs w:val="28"/>
        </w:rPr>
        <w:t>圖</w:t>
      </w:r>
      <w:r w:rsidRPr="00724C26">
        <w:rPr>
          <w:rFonts w:ascii="Times New Roman" w:eastAsia="標楷體" w:hAnsi="Times New Roman" w:cs="Times New Roman"/>
          <w:b/>
          <w:sz w:val="28"/>
          <w:szCs w:val="28"/>
        </w:rPr>
        <w:t>2-3 2018</w:t>
      </w:r>
      <w:r w:rsidRPr="00724C26">
        <w:rPr>
          <w:rFonts w:ascii="Times New Roman" w:eastAsia="標楷體" w:hAnsi="Times New Roman" w:cs="Times New Roman"/>
          <w:b/>
          <w:sz w:val="28"/>
          <w:szCs w:val="28"/>
        </w:rPr>
        <w:t>年我對中國大陸主要進口產品占比</w:t>
      </w:r>
    </w:p>
    <w:p w:rsidR="00644C52" w:rsidRPr="007F2D59" w:rsidRDefault="00644C52" w:rsidP="00644C52">
      <w:pPr>
        <w:widowControl/>
        <w:tabs>
          <w:tab w:val="left" w:pos="567"/>
        </w:tabs>
        <w:autoSpaceDE w:val="0"/>
        <w:snapToGrid w:val="0"/>
        <w:spacing w:before="100" w:beforeAutospacing="1" w:line="380" w:lineRule="exact"/>
        <w:ind w:left="330"/>
        <w:jc w:val="both"/>
        <w:rPr>
          <w:rFonts w:ascii="標楷體" w:eastAsia="標楷體" w:hAnsi="標楷體"/>
          <w:b/>
          <w:color w:val="000000" w:themeColor="text1"/>
          <w:sz w:val="28"/>
          <w:szCs w:val="28"/>
        </w:rPr>
      </w:pPr>
      <w:r w:rsidRPr="007F2D59">
        <w:rPr>
          <w:rFonts w:ascii="標楷體" w:eastAsia="標楷體" w:hAnsi="標楷體" w:hint="eastAsia"/>
          <w:b/>
          <w:color w:val="000000" w:themeColor="text1"/>
          <w:sz w:val="28"/>
          <w:szCs w:val="28"/>
        </w:rPr>
        <w:t>2.成長率方面</w:t>
      </w:r>
    </w:p>
    <w:p w:rsidR="00644C52" w:rsidRPr="00724C26" w:rsidRDefault="00644C52" w:rsidP="00644C52">
      <w:pPr>
        <w:widowControl/>
        <w:autoSpaceDE w:val="0"/>
        <w:snapToGrid w:val="0"/>
        <w:spacing w:beforeLines="50" w:before="120" w:afterLines="100" w:after="240" w:line="480" w:lineRule="exact"/>
        <w:ind w:leftChars="235" w:left="564"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kern w:val="0"/>
          <w:sz w:val="28"/>
          <w:szCs w:val="32"/>
        </w:rPr>
        <w:t>2018</w:t>
      </w:r>
      <w:r w:rsidRPr="00724C26">
        <w:rPr>
          <w:rFonts w:ascii="Times New Roman" w:eastAsia="標楷體" w:hAnsi="Times New Roman" w:cs="Times New Roman"/>
          <w:color w:val="000000" w:themeColor="text1"/>
          <w:kern w:val="0"/>
          <w:sz w:val="28"/>
          <w:szCs w:val="32"/>
        </w:rPr>
        <w:t>年主要</w:t>
      </w:r>
      <w:r w:rsidRPr="00724C26">
        <w:rPr>
          <w:rFonts w:ascii="Times New Roman" w:eastAsia="標楷體" w:hAnsi="Times New Roman" w:cs="Times New Roman"/>
          <w:color w:val="000000" w:themeColor="text1"/>
          <w:sz w:val="28"/>
          <w:szCs w:val="32"/>
        </w:rPr>
        <w:t>進口產品中，塑膠製品成長</w:t>
      </w:r>
      <w:r w:rsidRPr="00724C26">
        <w:rPr>
          <w:rFonts w:ascii="Times New Roman" w:eastAsia="標楷體" w:hAnsi="Times New Roman" w:cs="Times New Roman"/>
          <w:color w:val="000000" w:themeColor="text1"/>
          <w:sz w:val="28"/>
          <w:szCs w:val="32"/>
        </w:rPr>
        <w:t>122%</w:t>
      </w:r>
      <w:r w:rsidRPr="00724C26">
        <w:rPr>
          <w:rFonts w:ascii="Times New Roman" w:eastAsia="標楷體" w:hAnsi="Times New Roman" w:cs="Times New Roman"/>
          <w:color w:val="000000" w:themeColor="text1"/>
          <w:sz w:val="28"/>
          <w:szCs w:val="32"/>
        </w:rPr>
        <w:t>最高，主因是中國大陸實施</w:t>
      </w:r>
      <w:proofErr w:type="gramStart"/>
      <w:r w:rsidRPr="00724C26">
        <w:rPr>
          <w:rFonts w:ascii="Times New Roman" w:eastAsia="標楷體" w:hAnsi="Times New Roman" w:cs="Times New Roman"/>
          <w:color w:val="000000" w:themeColor="text1"/>
          <w:sz w:val="28"/>
          <w:szCs w:val="32"/>
        </w:rPr>
        <w:t>禁廢令</w:t>
      </w:r>
      <w:proofErr w:type="gramEnd"/>
      <w:r w:rsidRPr="00724C26">
        <w:rPr>
          <w:rFonts w:ascii="Times New Roman" w:eastAsia="標楷體" w:hAnsi="Times New Roman" w:cs="Times New Roman"/>
          <w:color w:val="000000" w:themeColor="text1"/>
          <w:sz w:val="28"/>
          <w:szCs w:val="32"/>
        </w:rPr>
        <w:t>，致臺灣進口的廢棄塑膠數量暴增。其次為電子、機械、電機、光學產品分別成長</w:t>
      </w:r>
      <w:r w:rsidRPr="00724C26">
        <w:rPr>
          <w:rFonts w:ascii="Times New Roman" w:eastAsia="標楷體" w:hAnsi="Times New Roman" w:cs="Times New Roman"/>
          <w:color w:val="000000" w:themeColor="text1"/>
          <w:sz w:val="28"/>
          <w:szCs w:val="32"/>
        </w:rPr>
        <w:t>17.7%</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15.6%</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13.9%</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9.4%</w:t>
      </w:r>
      <w:r w:rsidRPr="00724C26">
        <w:rPr>
          <w:rFonts w:ascii="Times New Roman" w:eastAsia="標楷體" w:hAnsi="Times New Roman" w:cs="Times New Roman"/>
          <w:color w:val="000000" w:themeColor="text1"/>
          <w:sz w:val="28"/>
          <w:szCs w:val="32"/>
        </w:rPr>
        <w:t>，主要受惠於中國大陸對手機及其零件、積體電路、電腦外銷穩定，對臺灣衍生需求增加。</w:t>
      </w:r>
    </w:p>
    <w:p w:rsidR="00644C52" w:rsidRDefault="00644C52" w:rsidP="003E1A02">
      <w:pPr>
        <w:widowControl/>
        <w:autoSpaceDE w:val="0"/>
        <w:snapToGrid w:val="0"/>
        <w:spacing w:beforeLines="50" w:before="120" w:afterLines="100" w:after="240" w:line="480" w:lineRule="exact"/>
        <w:ind w:leftChars="235" w:left="564" w:firstLineChars="202" w:firstLine="566"/>
        <w:jc w:val="both"/>
        <w:rPr>
          <w:rFonts w:ascii="Times New Roman" w:eastAsia="標楷體" w:hAnsi="Times New Roman" w:cs="Times New Roman"/>
          <w:color w:val="000000" w:themeColor="text1"/>
          <w:sz w:val="28"/>
          <w:szCs w:val="32"/>
        </w:rPr>
      </w:pPr>
      <w:r w:rsidRPr="00724C26">
        <w:rPr>
          <w:rFonts w:ascii="Times New Roman" w:eastAsia="標楷體" w:hAnsi="Times New Roman" w:cs="Times New Roman"/>
          <w:color w:val="000000" w:themeColor="text1"/>
          <w:sz w:val="28"/>
          <w:szCs w:val="32"/>
        </w:rPr>
        <w:t>就成長幅度觀察，塑膠製品</w:t>
      </w:r>
      <w:r w:rsidR="004975A5" w:rsidRPr="004975A5">
        <w:rPr>
          <w:rFonts w:ascii="Times New Roman" w:eastAsia="標楷體" w:hAnsi="Times New Roman" w:cs="Times New Roman" w:hint="eastAsia"/>
          <w:color w:val="000000" w:themeColor="text1"/>
          <w:sz w:val="28"/>
          <w:szCs w:val="32"/>
        </w:rPr>
        <w:t>成長率</w:t>
      </w:r>
      <w:r w:rsidR="004975A5">
        <w:rPr>
          <w:rFonts w:ascii="Times New Roman" w:eastAsia="標楷體" w:hAnsi="Times New Roman" w:cs="Times New Roman" w:hint="eastAsia"/>
          <w:color w:val="000000" w:themeColor="text1"/>
          <w:sz w:val="28"/>
          <w:szCs w:val="32"/>
        </w:rPr>
        <w:t>122</w:t>
      </w:r>
      <w:r w:rsidR="004975A5" w:rsidRPr="004975A5">
        <w:rPr>
          <w:rFonts w:ascii="Times New Roman" w:eastAsia="標楷體" w:hAnsi="Times New Roman" w:cs="Times New Roman" w:hint="eastAsia"/>
          <w:color w:val="000000" w:themeColor="text1"/>
          <w:sz w:val="28"/>
          <w:szCs w:val="32"/>
        </w:rPr>
        <w:t>%</w:t>
      </w:r>
      <w:r w:rsidR="004975A5" w:rsidRPr="004975A5">
        <w:rPr>
          <w:rFonts w:ascii="Times New Roman" w:eastAsia="標楷體" w:hAnsi="Times New Roman" w:cs="Times New Roman" w:hint="eastAsia"/>
          <w:color w:val="000000" w:themeColor="text1"/>
          <w:sz w:val="28"/>
          <w:szCs w:val="32"/>
        </w:rPr>
        <w:t>，較上年</w:t>
      </w:r>
      <w:r w:rsidRPr="00724C26">
        <w:rPr>
          <w:rFonts w:ascii="Times New Roman" w:eastAsia="標楷體" w:hAnsi="Times New Roman" w:cs="Times New Roman"/>
          <w:color w:val="000000" w:themeColor="text1"/>
          <w:sz w:val="28"/>
          <w:szCs w:val="32"/>
        </w:rPr>
        <w:t>增加</w:t>
      </w:r>
      <w:r w:rsidRPr="00724C26">
        <w:rPr>
          <w:rFonts w:ascii="Times New Roman" w:eastAsia="標楷體" w:hAnsi="Times New Roman" w:cs="Times New Roman"/>
          <w:color w:val="000000" w:themeColor="text1"/>
          <w:sz w:val="28"/>
          <w:szCs w:val="32"/>
        </w:rPr>
        <w:t>112.3</w:t>
      </w:r>
      <w:r w:rsidRPr="00724C26">
        <w:rPr>
          <w:rFonts w:ascii="Times New Roman" w:eastAsia="標楷體" w:hAnsi="Times New Roman" w:cs="Times New Roman"/>
          <w:color w:val="000000" w:themeColor="text1"/>
          <w:sz w:val="28"/>
          <w:szCs w:val="32"/>
        </w:rPr>
        <w:t>個百分點增幅最大，其次為機械</w:t>
      </w:r>
      <w:r w:rsidR="004975A5">
        <w:rPr>
          <w:rFonts w:ascii="Times New Roman" w:eastAsia="標楷體" w:hAnsi="Times New Roman" w:cs="Times New Roman" w:hint="eastAsia"/>
          <w:color w:val="000000" w:themeColor="text1"/>
          <w:sz w:val="28"/>
          <w:szCs w:val="32"/>
        </w:rPr>
        <w:t>(15.6</w:t>
      </w:r>
      <w:r w:rsidR="004975A5" w:rsidRPr="004975A5">
        <w:rPr>
          <w:rFonts w:ascii="Times New Roman" w:eastAsia="標楷體" w:hAnsi="Times New Roman" w:cs="Times New Roman"/>
          <w:color w:val="000000" w:themeColor="text1"/>
          <w:sz w:val="28"/>
          <w:szCs w:val="32"/>
        </w:rPr>
        <w:t>%</w:t>
      </w:r>
      <w:r w:rsidR="004975A5">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、光學器材</w:t>
      </w:r>
      <w:r w:rsidR="004975A5">
        <w:rPr>
          <w:rFonts w:ascii="Times New Roman" w:eastAsia="標楷體" w:hAnsi="Times New Roman" w:cs="Times New Roman" w:hint="eastAsia"/>
          <w:color w:val="000000" w:themeColor="text1"/>
          <w:sz w:val="28"/>
          <w:szCs w:val="32"/>
        </w:rPr>
        <w:t>(9.4</w:t>
      </w:r>
      <w:r w:rsidR="004975A5" w:rsidRPr="004975A5">
        <w:rPr>
          <w:rFonts w:ascii="Times New Roman" w:eastAsia="標楷體" w:hAnsi="Times New Roman" w:cs="Times New Roman"/>
          <w:color w:val="000000" w:themeColor="text1"/>
          <w:sz w:val="28"/>
          <w:szCs w:val="32"/>
        </w:rPr>
        <w:t>%</w:t>
      </w:r>
      <w:r w:rsidR="004975A5">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及紡織品</w:t>
      </w:r>
      <w:r w:rsidR="004975A5">
        <w:rPr>
          <w:rFonts w:ascii="Times New Roman" w:eastAsia="標楷體" w:hAnsi="Times New Roman" w:cs="Times New Roman" w:hint="eastAsia"/>
          <w:color w:val="000000" w:themeColor="text1"/>
          <w:sz w:val="28"/>
          <w:szCs w:val="32"/>
        </w:rPr>
        <w:t>(8.2</w:t>
      </w:r>
      <w:r w:rsidR="004975A5" w:rsidRPr="004975A5">
        <w:rPr>
          <w:rFonts w:ascii="Times New Roman" w:eastAsia="標楷體" w:hAnsi="Times New Roman" w:cs="Times New Roman"/>
          <w:color w:val="000000" w:themeColor="text1"/>
          <w:sz w:val="28"/>
          <w:szCs w:val="32"/>
        </w:rPr>
        <w:t>%</w:t>
      </w:r>
      <w:r w:rsidR="004975A5">
        <w:rPr>
          <w:rFonts w:ascii="Times New Roman" w:eastAsia="標楷體" w:hAnsi="Times New Roman" w:cs="Times New Roman" w:hint="eastAsia"/>
          <w:color w:val="000000" w:themeColor="text1"/>
          <w:sz w:val="28"/>
          <w:szCs w:val="32"/>
        </w:rPr>
        <w:t>)</w:t>
      </w:r>
      <w:r w:rsidRPr="00724C26">
        <w:rPr>
          <w:rFonts w:ascii="Times New Roman" w:eastAsia="標楷體" w:hAnsi="Times New Roman" w:cs="Times New Roman"/>
          <w:color w:val="000000" w:themeColor="text1"/>
          <w:sz w:val="28"/>
          <w:szCs w:val="32"/>
        </w:rPr>
        <w:t>，分別較上年增加</w:t>
      </w:r>
      <w:r w:rsidRPr="00724C26">
        <w:rPr>
          <w:rFonts w:ascii="Times New Roman" w:eastAsia="標楷體" w:hAnsi="Times New Roman" w:cs="Times New Roman"/>
          <w:color w:val="000000" w:themeColor="text1"/>
          <w:sz w:val="28"/>
          <w:szCs w:val="32"/>
        </w:rPr>
        <w:t>15.1</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13.6</w:t>
      </w:r>
      <w:r w:rsidRPr="00724C26">
        <w:rPr>
          <w:rFonts w:ascii="Times New Roman" w:eastAsia="標楷體" w:hAnsi="Times New Roman" w:cs="Times New Roman"/>
          <w:color w:val="000000" w:themeColor="text1"/>
          <w:sz w:val="28"/>
          <w:szCs w:val="32"/>
        </w:rPr>
        <w:t>、</w:t>
      </w:r>
      <w:r w:rsidRPr="00724C26">
        <w:rPr>
          <w:rFonts w:ascii="Times New Roman" w:eastAsia="標楷體" w:hAnsi="Times New Roman" w:cs="Times New Roman"/>
          <w:color w:val="000000" w:themeColor="text1"/>
          <w:sz w:val="28"/>
          <w:szCs w:val="32"/>
        </w:rPr>
        <w:t>7.5</w:t>
      </w:r>
      <w:r w:rsidRPr="00724C26">
        <w:rPr>
          <w:rFonts w:ascii="Times New Roman" w:eastAsia="標楷體" w:hAnsi="Times New Roman" w:cs="Times New Roman"/>
          <w:color w:val="000000" w:themeColor="text1"/>
          <w:sz w:val="28"/>
          <w:szCs w:val="32"/>
        </w:rPr>
        <w:t>個百分點。惟美中貿易戰影響逐步顯現，</w:t>
      </w:r>
      <w:r w:rsidRPr="00724C26">
        <w:rPr>
          <w:rFonts w:ascii="Times New Roman" w:eastAsia="標楷體" w:hAnsi="Times New Roman" w:cs="Times New Roman"/>
          <w:color w:val="000000" w:themeColor="text1"/>
          <w:sz w:val="28"/>
          <w:szCs w:val="32"/>
        </w:rPr>
        <w:t>2018</w:t>
      </w:r>
      <w:r w:rsidRPr="00724C26">
        <w:rPr>
          <w:rFonts w:ascii="Times New Roman" w:eastAsia="標楷體" w:hAnsi="Times New Roman" w:cs="Times New Roman"/>
          <w:color w:val="000000" w:themeColor="text1"/>
          <w:sz w:val="28"/>
          <w:szCs w:val="32"/>
        </w:rPr>
        <w:t>年</w:t>
      </w:r>
      <w:r w:rsidRPr="00724C26">
        <w:rPr>
          <w:rFonts w:ascii="Times New Roman" w:eastAsia="標楷體" w:hAnsi="Times New Roman" w:cs="Times New Roman"/>
          <w:color w:val="000000" w:themeColor="text1"/>
          <w:sz w:val="28"/>
          <w:szCs w:val="32"/>
        </w:rPr>
        <w:t>11</w:t>
      </w:r>
      <w:r w:rsidRPr="00724C26">
        <w:rPr>
          <w:rFonts w:ascii="Times New Roman" w:eastAsia="標楷體" w:hAnsi="Times New Roman" w:cs="Times New Roman"/>
          <w:color w:val="000000" w:themeColor="text1"/>
          <w:sz w:val="28"/>
          <w:szCs w:val="32"/>
        </w:rPr>
        <w:t>月我對中國大陸進口已出現衰退，</w:t>
      </w:r>
      <w:r w:rsidR="008D4C5B">
        <w:rPr>
          <w:rFonts w:ascii="Times New Roman" w:eastAsia="標楷體" w:hAnsi="Times New Roman" w:cs="Times New Roman" w:hint="eastAsia"/>
          <w:color w:val="000000" w:themeColor="text1"/>
          <w:sz w:val="28"/>
          <w:szCs w:val="32"/>
        </w:rPr>
        <w:t>後</w:t>
      </w:r>
      <w:r w:rsidRPr="00724C26">
        <w:rPr>
          <w:rFonts w:ascii="Times New Roman" w:eastAsia="標楷體" w:hAnsi="Times New Roman" w:cs="Times New Roman"/>
          <w:color w:val="000000" w:themeColor="text1"/>
          <w:sz w:val="28"/>
          <w:szCs w:val="32"/>
        </w:rPr>
        <w:t>續影響仍待觀察。</w:t>
      </w:r>
    </w:p>
    <w:p w:rsidR="003E1A02" w:rsidRPr="00724C26" w:rsidRDefault="003E1A02" w:rsidP="003E1A02">
      <w:pPr>
        <w:widowControl/>
        <w:autoSpaceDE w:val="0"/>
        <w:snapToGrid w:val="0"/>
        <w:spacing w:beforeLines="50" w:before="120" w:afterLines="100" w:after="240" w:line="480" w:lineRule="exact"/>
        <w:ind w:leftChars="235" w:left="564" w:firstLineChars="202" w:firstLine="566"/>
        <w:jc w:val="both"/>
        <w:rPr>
          <w:rFonts w:ascii="Times New Roman" w:eastAsia="標楷體" w:hAnsi="Times New Roman" w:cs="Times New Roman"/>
          <w:color w:val="000000" w:themeColor="text1"/>
          <w:sz w:val="28"/>
          <w:szCs w:val="32"/>
        </w:rPr>
      </w:pPr>
    </w:p>
    <w:p w:rsidR="003E1A02" w:rsidRDefault="003E1A02" w:rsidP="003E1A02">
      <w:pPr>
        <w:widowControl/>
        <w:autoSpaceDE w:val="0"/>
        <w:snapToGrid w:val="0"/>
        <w:spacing w:beforeLines="50" w:before="120" w:afterLines="100" w:after="240" w:line="480" w:lineRule="exact"/>
        <w:ind w:leftChars="235" w:left="564" w:firstLineChars="202" w:firstLine="566"/>
        <w:jc w:val="both"/>
        <w:rPr>
          <w:rFonts w:eastAsia="標楷體"/>
          <w:color w:val="000000" w:themeColor="text1"/>
          <w:sz w:val="28"/>
          <w:szCs w:val="32"/>
        </w:rPr>
      </w:pPr>
    </w:p>
    <w:p w:rsidR="003E1A02" w:rsidRDefault="003E1A02" w:rsidP="003E1A02">
      <w:pPr>
        <w:widowControl/>
        <w:autoSpaceDE w:val="0"/>
        <w:snapToGrid w:val="0"/>
        <w:spacing w:beforeLines="50" w:before="120" w:afterLines="100" w:after="240" w:line="480" w:lineRule="exact"/>
        <w:ind w:leftChars="235" w:left="564" w:firstLineChars="202" w:firstLine="566"/>
        <w:jc w:val="both"/>
        <w:rPr>
          <w:rFonts w:eastAsia="標楷體"/>
          <w:color w:val="000000" w:themeColor="text1"/>
          <w:sz w:val="28"/>
          <w:szCs w:val="32"/>
        </w:rPr>
      </w:pPr>
    </w:p>
    <w:p w:rsidR="00644C52" w:rsidRDefault="003E1A02" w:rsidP="003E1A02">
      <w:pPr>
        <w:widowControl/>
        <w:autoSpaceDE w:val="0"/>
        <w:snapToGrid w:val="0"/>
        <w:spacing w:beforeLines="50" w:before="120" w:afterLines="50" w:after="120" w:line="480" w:lineRule="exact"/>
        <w:ind w:leftChars="235" w:left="564" w:firstLineChars="202" w:firstLine="485"/>
        <w:jc w:val="both"/>
        <w:rPr>
          <w:rFonts w:eastAsia="標楷體"/>
          <w:color w:val="000000" w:themeColor="text1"/>
        </w:rPr>
      </w:pPr>
      <w:r>
        <w:rPr>
          <w:noProof/>
        </w:rPr>
        <w:lastRenderedPageBreak/>
        <w:drawing>
          <wp:anchor distT="0" distB="0" distL="114300" distR="114300" simplePos="0" relativeHeight="251689984" behindDoc="0" locked="0" layoutInCell="1" allowOverlap="1" wp14:anchorId="17661F54" wp14:editId="43CCA7E4">
            <wp:simplePos x="0" y="0"/>
            <wp:positionH relativeFrom="column">
              <wp:posOffset>-259080</wp:posOffset>
            </wp:positionH>
            <wp:positionV relativeFrom="paragraph">
              <wp:posOffset>-151130</wp:posOffset>
            </wp:positionV>
            <wp:extent cx="5541645" cy="2114550"/>
            <wp:effectExtent l="0" t="0" r="1905" b="0"/>
            <wp:wrapSquare wrapText="bothSides"/>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644C52" w:rsidRPr="00C84EE9">
        <w:rPr>
          <w:rFonts w:eastAsia="標楷體" w:hint="eastAsia"/>
          <w:color w:val="000000" w:themeColor="text1"/>
          <w:sz w:val="20"/>
        </w:rPr>
        <w:t>資料來源：財政部、自行整理。</w:t>
      </w:r>
    </w:p>
    <w:p w:rsidR="003E1A02" w:rsidRPr="00C84EE9" w:rsidRDefault="003E1A02" w:rsidP="003E1A02">
      <w:pPr>
        <w:tabs>
          <w:tab w:val="left" w:pos="1252"/>
          <w:tab w:val="center" w:pos="4156"/>
        </w:tabs>
        <w:rPr>
          <w:rFonts w:ascii="標楷體" w:eastAsia="標楷體" w:hAnsi="標楷體"/>
          <w:b/>
          <w:sz w:val="28"/>
          <w:szCs w:val="28"/>
        </w:rPr>
      </w:pPr>
      <w:r>
        <w:rPr>
          <w:rFonts w:ascii="標楷體" w:eastAsia="標楷體" w:hAnsi="標楷體"/>
          <w:b/>
          <w:sz w:val="28"/>
          <w:szCs w:val="28"/>
        </w:rPr>
        <w:tab/>
      </w:r>
      <w:r>
        <w:rPr>
          <w:rFonts w:ascii="標楷體" w:eastAsia="標楷體" w:hAnsi="標楷體"/>
          <w:b/>
          <w:sz w:val="28"/>
          <w:szCs w:val="28"/>
        </w:rPr>
        <w:tab/>
      </w:r>
      <w:r w:rsidRPr="00C84EE9">
        <w:rPr>
          <w:rFonts w:ascii="標楷體" w:eastAsia="標楷體" w:hAnsi="標楷體" w:hint="eastAsia"/>
          <w:b/>
          <w:sz w:val="28"/>
          <w:szCs w:val="28"/>
        </w:rPr>
        <w:t>圖2-4臺灣對中國大陸主要進口產品年增率</w:t>
      </w:r>
    </w:p>
    <w:p w:rsidR="00644C52" w:rsidRPr="00724C26" w:rsidRDefault="00644C52" w:rsidP="00E55A04">
      <w:pPr>
        <w:keepNext/>
        <w:spacing w:beforeLines="200" w:before="480" w:line="380" w:lineRule="exact"/>
        <w:jc w:val="both"/>
        <w:outlineLvl w:val="1"/>
        <w:rPr>
          <w:rFonts w:ascii="Times New Roman" w:eastAsia="標楷體" w:hAnsi="Times New Roman" w:cs="Times New Roman"/>
          <w:b/>
          <w:bCs/>
          <w:sz w:val="28"/>
          <w:szCs w:val="32"/>
        </w:rPr>
      </w:pPr>
      <w:bookmarkStart w:id="30" w:name="_Toc489971720"/>
      <w:bookmarkStart w:id="31" w:name="_Toc521067607"/>
      <w:bookmarkStart w:id="32" w:name="_Toc1397868"/>
      <w:bookmarkStart w:id="33" w:name="_Toc1400594"/>
      <w:r w:rsidRPr="00724C26">
        <w:rPr>
          <w:rFonts w:ascii="Times New Roman" w:eastAsia="標楷體" w:hAnsi="Times New Roman" w:cs="Times New Roman"/>
          <w:b/>
          <w:bCs/>
          <w:sz w:val="28"/>
          <w:szCs w:val="32"/>
        </w:rPr>
        <w:t>三、陸客來</w:t>
      </w:r>
      <w:proofErr w:type="gramStart"/>
      <w:r w:rsidRPr="00724C26">
        <w:rPr>
          <w:rFonts w:ascii="Times New Roman" w:eastAsia="標楷體" w:hAnsi="Times New Roman" w:cs="Times New Roman"/>
          <w:b/>
          <w:bCs/>
          <w:sz w:val="28"/>
          <w:szCs w:val="32"/>
        </w:rPr>
        <w:t>臺</w:t>
      </w:r>
      <w:bookmarkEnd w:id="30"/>
      <w:bookmarkEnd w:id="31"/>
      <w:bookmarkEnd w:id="32"/>
      <w:bookmarkEnd w:id="33"/>
      <w:proofErr w:type="gramEnd"/>
    </w:p>
    <w:p w:rsidR="00644C52" w:rsidRPr="00724C26" w:rsidRDefault="00644C52" w:rsidP="003E1A02">
      <w:pPr>
        <w:spacing w:beforeLines="100" w:before="240" w:line="480" w:lineRule="exact"/>
        <w:ind w:firstLineChars="236" w:firstLine="661"/>
        <w:jc w:val="both"/>
        <w:rPr>
          <w:rFonts w:ascii="Times New Roman" w:eastAsia="標楷體" w:hAnsi="Times New Roman" w:cs="Times New Roman"/>
          <w:color w:val="FF0000"/>
          <w:kern w:val="0"/>
          <w:sz w:val="28"/>
          <w:szCs w:val="32"/>
        </w:rPr>
      </w:pPr>
      <w:r w:rsidRPr="00724C26">
        <w:rPr>
          <w:rFonts w:ascii="Times New Roman" w:eastAsia="標楷體" w:hAnsi="Times New Roman" w:cs="Times New Roman"/>
          <w:kern w:val="0"/>
          <w:sz w:val="28"/>
          <w:szCs w:val="32"/>
        </w:rPr>
        <w:t>根據內政部移民署資料顯示，</w:t>
      </w:r>
      <w:r w:rsidRPr="00724C26">
        <w:rPr>
          <w:rFonts w:ascii="Times New Roman" w:eastAsia="標楷體" w:hAnsi="Times New Roman" w:cs="Times New Roman"/>
          <w:kern w:val="0"/>
          <w:sz w:val="28"/>
          <w:szCs w:val="32"/>
        </w:rPr>
        <w:t>2018</w:t>
      </w:r>
      <w:r w:rsidRPr="00724C26">
        <w:rPr>
          <w:rFonts w:ascii="Times New Roman" w:eastAsia="標楷體" w:hAnsi="Times New Roman" w:cs="Times New Roman"/>
          <w:kern w:val="0"/>
          <w:sz w:val="28"/>
          <w:szCs w:val="32"/>
        </w:rPr>
        <w:t>年陸客來</w:t>
      </w:r>
      <w:proofErr w:type="gramStart"/>
      <w:r w:rsidRPr="00724C26">
        <w:rPr>
          <w:rFonts w:ascii="Times New Roman" w:eastAsia="標楷體" w:hAnsi="Times New Roman" w:cs="Times New Roman"/>
          <w:kern w:val="0"/>
          <w:sz w:val="28"/>
          <w:szCs w:val="32"/>
        </w:rPr>
        <w:t>臺</w:t>
      </w:r>
      <w:proofErr w:type="gramEnd"/>
      <w:r w:rsidRPr="00724C26">
        <w:rPr>
          <w:rFonts w:ascii="Times New Roman" w:eastAsia="標楷體" w:hAnsi="Times New Roman" w:cs="Times New Roman"/>
          <w:kern w:val="0"/>
          <w:sz w:val="28"/>
          <w:szCs w:val="32"/>
        </w:rPr>
        <w:t>旅遊人數</w:t>
      </w:r>
      <w:r w:rsidR="00724C26">
        <w:rPr>
          <w:rFonts w:ascii="Times New Roman" w:eastAsia="標楷體" w:hAnsi="Times New Roman" w:cs="Times New Roman" w:hint="eastAsia"/>
          <w:kern w:val="0"/>
          <w:sz w:val="28"/>
          <w:szCs w:val="32"/>
        </w:rPr>
        <w:t>（</w:t>
      </w:r>
      <w:r w:rsidRPr="00724C26">
        <w:rPr>
          <w:rFonts w:ascii="Times New Roman" w:eastAsia="標楷體" w:hAnsi="Times New Roman" w:cs="Times New Roman"/>
          <w:kern w:val="0"/>
          <w:sz w:val="28"/>
          <w:szCs w:val="32"/>
        </w:rPr>
        <w:t>含團體旅遊及自由行</w:t>
      </w:r>
      <w:r w:rsidR="00724C26">
        <w:rPr>
          <w:rFonts w:ascii="Times New Roman" w:eastAsia="標楷體" w:hAnsi="Times New Roman" w:cs="Times New Roman" w:hint="eastAsia"/>
          <w:kern w:val="0"/>
          <w:sz w:val="28"/>
          <w:szCs w:val="32"/>
        </w:rPr>
        <w:t>）</w:t>
      </w:r>
      <w:r w:rsidRPr="00724C26">
        <w:rPr>
          <w:rFonts w:ascii="Times New Roman" w:eastAsia="標楷體" w:hAnsi="Times New Roman" w:cs="Times New Roman"/>
          <w:kern w:val="0"/>
          <w:sz w:val="28"/>
          <w:szCs w:val="32"/>
        </w:rPr>
        <w:t>為</w:t>
      </w:r>
      <w:r w:rsidRPr="00724C26">
        <w:rPr>
          <w:rFonts w:ascii="Times New Roman" w:eastAsia="標楷體" w:hAnsi="Times New Roman" w:cs="Times New Roman"/>
          <w:kern w:val="0"/>
          <w:sz w:val="28"/>
          <w:szCs w:val="32"/>
        </w:rPr>
        <w:t>191.1</w:t>
      </w:r>
      <w:r w:rsidRPr="00724C26">
        <w:rPr>
          <w:rFonts w:ascii="Times New Roman" w:eastAsia="標楷體" w:hAnsi="Times New Roman" w:cs="Times New Roman"/>
          <w:kern w:val="0"/>
          <w:sz w:val="28"/>
          <w:szCs w:val="32"/>
        </w:rPr>
        <w:t>萬人，較上年減少</w:t>
      </w:r>
      <w:r w:rsidRPr="00724C26">
        <w:rPr>
          <w:rFonts w:ascii="Times New Roman" w:eastAsia="標楷體" w:hAnsi="Times New Roman" w:cs="Times New Roman"/>
          <w:kern w:val="0"/>
          <w:sz w:val="28"/>
          <w:szCs w:val="32"/>
        </w:rPr>
        <w:t>3.5%</w:t>
      </w:r>
      <w:r w:rsidRPr="00724C26">
        <w:rPr>
          <w:rFonts w:ascii="Times New Roman" w:eastAsia="標楷體" w:hAnsi="Times New Roman" w:cs="Times New Roman"/>
          <w:kern w:val="0"/>
          <w:sz w:val="28"/>
          <w:szCs w:val="32"/>
        </w:rPr>
        <w:t>。其中團體旅遊人數為</w:t>
      </w:r>
      <w:r w:rsidR="008C0A56">
        <w:rPr>
          <w:rFonts w:ascii="Times New Roman" w:eastAsia="標楷體" w:hAnsi="Times New Roman" w:cs="Times New Roman" w:hint="eastAsia"/>
          <w:kern w:val="0"/>
          <w:sz w:val="28"/>
          <w:szCs w:val="32"/>
        </w:rPr>
        <w:t>75</w:t>
      </w:r>
      <w:r w:rsidRPr="00724C26">
        <w:rPr>
          <w:rFonts w:ascii="Times New Roman" w:eastAsia="標楷體" w:hAnsi="Times New Roman" w:cs="Times New Roman"/>
          <w:kern w:val="0"/>
          <w:sz w:val="28"/>
          <w:szCs w:val="32"/>
        </w:rPr>
        <w:t>.</w:t>
      </w:r>
      <w:r w:rsidR="008C0A56">
        <w:rPr>
          <w:rFonts w:ascii="Times New Roman" w:eastAsia="標楷體" w:hAnsi="Times New Roman" w:cs="Times New Roman" w:hint="eastAsia"/>
          <w:kern w:val="0"/>
          <w:sz w:val="28"/>
          <w:szCs w:val="32"/>
        </w:rPr>
        <w:t>0</w:t>
      </w:r>
      <w:r w:rsidRPr="00724C26">
        <w:rPr>
          <w:rFonts w:ascii="Times New Roman" w:eastAsia="標楷體" w:hAnsi="Times New Roman" w:cs="Times New Roman"/>
          <w:kern w:val="0"/>
          <w:sz w:val="28"/>
          <w:szCs w:val="32"/>
        </w:rPr>
        <w:t>萬人，減少</w:t>
      </w:r>
      <w:r w:rsidR="008C0A56">
        <w:rPr>
          <w:rFonts w:ascii="Times New Roman" w:eastAsia="標楷體" w:hAnsi="Times New Roman" w:cs="Times New Roman" w:hint="eastAsia"/>
          <w:kern w:val="0"/>
          <w:sz w:val="28"/>
          <w:szCs w:val="32"/>
        </w:rPr>
        <w:t>10</w:t>
      </w:r>
      <w:r w:rsidRPr="00724C26">
        <w:rPr>
          <w:rFonts w:ascii="Times New Roman" w:eastAsia="標楷體" w:hAnsi="Times New Roman" w:cs="Times New Roman"/>
          <w:kern w:val="0"/>
          <w:sz w:val="28"/>
          <w:szCs w:val="32"/>
        </w:rPr>
        <w:t>.</w:t>
      </w:r>
      <w:r w:rsidR="008C0A56">
        <w:rPr>
          <w:rFonts w:ascii="Times New Roman" w:eastAsia="標楷體" w:hAnsi="Times New Roman" w:cs="Times New Roman" w:hint="eastAsia"/>
          <w:kern w:val="0"/>
          <w:sz w:val="28"/>
          <w:szCs w:val="32"/>
        </w:rPr>
        <w:t>9</w:t>
      </w:r>
      <w:r w:rsidRPr="00724C26">
        <w:rPr>
          <w:rFonts w:ascii="Times New Roman" w:eastAsia="標楷體" w:hAnsi="Times New Roman" w:cs="Times New Roman"/>
          <w:kern w:val="0"/>
          <w:sz w:val="28"/>
          <w:szCs w:val="32"/>
        </w:rPr>
        <w:t>%</w:t>
      </w:r>
      <w:r w:rsidRPr="00724C26">
        <w:rPr>
          <w:rFonts w:ascii="Times New Roman" w:eastAsia="標楷體" w:hAnsi="Times New Roman" w:cs="Times New Roman"/>
          <w:kern w:val="0"/>
          <w:sz w:val="28"/>
          <w:szCs w:val="32"/>
        </w:rPr>
        <w:t>；自由行人數為</w:t>
      </w:r>
      <w:r w:rsidRPr="00724C26">
        <w:rPr>
          <w:rFonts w:ascii="Times New Roman" w:eastAsia="標楷體" w:hAnsi="Times New Roman" w:cs="Times New Roman"/>
          <w:kern w:val="0"/>
          <w:sz w:val="28"/>
          <w:szCs w:val="32"/>
        </w:rPr>
        <w:t>107.3</w:t>
      </w:r>
      <w:r w:rsidRPr="00724C26">
        <w:rPr>
          <w:rFonts w:ascii="Times New Roman" w:eastAsia="標楷體" w:hAnsi="Times New Roman" w:cs="Times New Roman"/>
          <w:kern w:val="0"/>
          <w:sz w:val="28"/>
          <w:szCs w:val="32"/>
        </w:rPr>
        <w:t>萬人，增加</w:t>
      </w:r>
      <w:r w:rsidRPr="00724C26">
        <w:rPr>
          <w:rFonts w:ascii="Times New Roman" w:eastAsia="標楷體" w:hAnsi="Times New Roman" w:cs="Times New Roman"/>
          <w:kern w:val="0"/>
          <w:sz w:val="28"/>
          <w:szCs w:val="32"/>
        </w:rPr>
        <w:t>1.9%</w:t>
      </w:r>
      <w:r w:rsidRPr="00724C26">
        <w:rPr>
          <w:rFonts w:ascii="Times New Roman" w:eastAsia="標楷體" w:hAnsi="Times New Roman" w:cs="Times New Roman"/>
          <w:kern w:val="0"/>
          <w:sz w:val="28"/>
          <w:szCs w:val="32"/>
        </w:rPr>
        <w:t>。陸客來</w:t>
      </w:r>
      <w:proofErr w:type="gramStart"/>
      <w:r w:rsidRPr="00724C26">
        <w:rPr>
          <w:rFonts w:ascii="Times New Roman" w:eastAsia="標楷體" w:hAnsi="Times New Roman" w:cs="Times New Roman"/>
          <w:kern w:val="0"/>
          <w:sz w:val="28"/>
          <w:szCs w:val="32"/>
        </w:rPr>
        <w:t>臺</w:t>
      </w:r>
      <w:proofErr w:type="gramEnd"/>
      <w:r w:rsidRPr="00724C26">
        <w:rPr>
          <w:rFonts w:ascii="Times New Roman" w:eastAsia="標楷體" w:hAnsi="Times New Roman" w:cs="Times New Roman"/>
          <w:kern w:val="0"/>
          <w:sz w:val="28"/>
          <w:szCs w:val="32"/>
        </w:rPr>
        <w:t>旅遊人數相較上年減少，</w:t>
      </w:r>
      <w:proofErr w:type="gramStart"/>
      <w:r w:rsidRPr="00724C26">
        <w:rPr>
          <w:rFonts w:ascii="Times New Roman" w:eastAsia="標楷體" w:hAnsi="Times New Roman" w:cs="Times New Roman"/>
          <w:kern w:val="0"/>
          <w:sz w:val="28"/>
          <w:szCs w:val="32"/>
        </w:rPr>
        <w:t>惟減幅</w:t>
      </w:r>
      <w:proofErr w:type="gramEnd"/>
      <w:r w:rsidRPr="00724C26">
        <w:rPr>
          <w:rFonts w:ascii="Times New Roman" w:eastAsia="標楷體" w:hAnsi="Times New Roman" w:cs="Times New Roman"/>
          <w:kern w:val="0"/>
          <w:sz w:val="28"/>
          <w:szCs w:val="32"/>
        </w:rPr>
        <w:t>有縮小趨勢，加上自由行成長穩定，後續走勢仍待觀察。</w:t>
      </w:r>
    </w:p>
    <w:p w:rsidR="00644C52" w:rsidRPr="007F2D59" w:rsidRDefault="00644C52" w:rsidP="00644C52">
      <w:pPr>
        <w:spacing w:before="100" w:beforeAutospacing="1" w:line="480" w:lineRule="exact"/>
        <w:ind w:firstLineChars="236" w:firstLine="661"/>
        <w:jc w:val="both"/>
        <w:rPr>
          <w:rFonts w:eastAsia="標楷體"/>
          <w:color w:val="FF0000"/>
          <w:kern w:val="0"/>
          <w:sz w:val="28"/>
          <w:szCs w:val="32"/>
        </w:rPr>
        <w:sectPr w:rsidR="00644C52" w:rsidRPr="007F2D59" w:rsidSect="00E55A04">
          <w:footerReference w:type="even" r:id="rId28"/>
          <w:type w:val="continuous"/>
          <w:pgSz w:w="11906" w:h="16838"/>
          <w:pgMar w:top="1440" w:right="1797" w:bottom="1247" w:left="1797" w:header="851" w:footer="284" w:gutter="0"/>
          <w:cols w:space="425"/>
          <w:docGrid w:linePitch="360"/>
        </w:sectPr>
      </w:pPr>
    </w:p>
    <w:p w:rsidR="00644C52" w:rsidRPr="00B40A71" w:rsidRDefault="00644C52" w:rsidP="00644C52">
      <w:pPr>
        <w:pageBreakBefore/>
        <w:widowControl/>
        <w:spacing w:line="300" w:lineRule="exact"/>
        <w:jc w:val="center"/>
        <w:rPr>
          <w:rFonts w:ascii="Times New Roman" w:eastAsia="標楷體" w:hAnsi="Times New Roman" w:cs="Times New Roman"/>
          <w:b/>
          <w:color w:val="000000" w:themeColor="text1"/>
          <w:kern w:val="0"/>
          <w:sz w:val="28"/>
          <w:szCs w:val="32"/>
        </w:rPr>
      </w:pPr>
      <w:r w:rsidRPr="00B40A71">
        <w:rPr>
          <w:rFonts w:ascii="Times New Roman" w:eastAsia="標楷體" w:hAnsi="Times New Roman" w:cs="Times New Roman"/>
          <w:b/>
          <w:color w:val="000000" w:themeColor="text1"/>
          <w:kern w:val="0"/>
          <w:sz w:val="28"/>
          <w:szCs w:val="32"/>
        </w:rPr>
        <w:lastRenderedPageBreak/>
        <w:t>表</w:t>
      </w:r>
      <w:r w:rsidRPr="00B40A71">
        <w:rPr>
          <w:rFonts w:ascii="Times New Roman" w:eastAsia="標楷體" w:hAnsi="Times New Roman" w:cs="Times New Roman"/>
          <w:b/>
          <w:color w:val="000000" w:themeColor="text1"/>
          <w:kern w:val="0"/>
          <w:sz w:val="28"/>
          <w:szCs w:val="32"/>
        </w:rPr>
        <w:t>2-6</w:t>
      </w:r>
      <w:r w:rsidRPr="00B40A71">
        <w:rPr>
          <w:rFonts w:ascii="Times New Roman" w:eastAsia="標楷體" w:hAnsi="Times New Roman" w:cs="Times New Roman"/>
          <w:b/>
          <w:color w:val="000000" w:themeColor="text1"/>
          <w:kern w:val="0"/>
          <w:sz w:val="28"/>
          <w:szCs w:val="32"/>
        </w:rPr>
        <w:t xml:space="preserve">　臺灣對中國大陸主要出口貨品</w:t>
      </w:r>
    </w:p>
    <w:p w:rsidR="00644C52" w:rsidRPr="007F2D59" w:rsidRDefault="00644C52" w:rsidP="00644C52">
      <w:pPr>
        <w:widowControl/>
        <w:spacing w:line="260" w:lineRule="exact"/>
        <w:ind w:rightChars="-59" w:right="-142"/>
        <w:jc w:val="right"/>
        <w:rPr>
          <w:rFonts w:ascii="標楷體" w:eastAsia="標楷體" w:hAnsi="標楷體"/>
          <w:color w:val="000000" w:themeColor="text1"/>
          <w:kern w:val="0"/>
          <w:sz w:val="20"/>
        </w:rPr>
      </w:pPr>
      <w:r w:rsidRPr="007F2D59">
        <w:rPr>
          <w:rFonts w:ascii="標楷體" w:eastAsia="標楷體" w:hAnsi="標楷體" w:hint="eastAsia"/>
          <w:color w:val="000000" w:themeColor="text1"/>
          <w:kern w:val="0"/>
          <w:sz w:val="20"/>
        </w:rPr>
        <w:t>單位：百萬美元；</w:t>
      </w:r>
      <w:r w:rsidRPr="007F2D59">
        <w:rPr>
          <w:rFonts w:eastAsia="標楷體" w:hint="eastAsia"/>
          <w:color w:val="000000" w:themeColor="text1"/>
          <w:kern w:val="0"/>
          <w:sz w:val="20"/>
        </w:rPr>
        <w:t>%</w:t>
      </w:r>
    </w:p>
    <w:tbl>
      <w:tblPr>
        <w:tblW w:w="8931" w:type="dxa"/>
        <w:tblInd w:w="-22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453"/>
        <w:gridCol w:w="1453"/>
        <w:gridCol w:w="1453"/>
        <w:gridCol w:w="1453"/>
        <w:gridCol w:w="1439"/>
      </w:tblGrid>
      <w:tr w:rsidR="00644C52" w:rsidRPr="00724C26" w:rsidTr="00644C52">
        <w:tc>
          <w:tcPr>
            <w:tcW w:w="1680"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color w:val="000000" w:themeColor="text1"/>
                <w:kern w:val="0"/>
                <w:sz w:val="20"/>
              </w:rPr>
            </w:pPr>
            <w:r w:rsidRPr="00724C26">
              <w:rPr>
                <w:rFonts w:ascii="Times New Roman" w:eastAsia="標楷體" w:hAnsi="Times New Roman" w:cs="Times New Roman"/>
                <w:b/>
                <w:color w:val="000000" w:themeColor="text1"/>
                <w:kern w:val="0"/>
                <w:sz w:val="20"/>
              </w:rPr>
              <w:t>年</w:t>
            </w:r>
            <w:r w:rsidRPr="00724C26">
              <w:rPr>
                <w:rFonts w:ascii="Times New Roman" w:eastAsia="標楷體" w:hAnsi="Times New Roman" w:cs="Times New Roman"/>
                <w:b/>
                <w:color w:val="000000" w:themeColor="text1"/>
                <w:kern w:val="0"/>
                <w:sz w:val="20"/>
              </w:rPr>
              <w:t xml:space="preserve">  </w:t>
            </w:r>
            <w:r w:rsidRPr="00724C26">
              <w:rPr>
                <w:rFonts w:ascii="Times New Roman" w:eastAsia="標楷體" w:hAnsi="Times New Roman" w:cs="Times New Roman"/>
                <w:b/>
                <w:color w:val="000000" w:themeColor="text1"/>
                <w:kern w:val="0"/>
                <w:sz w:val="20"/>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總計</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礦產品</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化學品</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proofErr w:type="gramStart"/>
            <w:r w:rsidRPr="00724C26">
              <w:rPr>
                <w:rFonts w:ascii="Times New Roman" w:eastAsia="標楷體" w:hAnsi="Times New Roman" w:cs="Times New Roman"/>
                <w:b/>
                <w:bCs/>
                <w:color w:val="000000" w:themeColor="text1"/>
                <w:kern w:val="0"/>
                <w:sz w:val="22"/>
              </w:rPr>
              <w:t>塑</w:t>
            </w:r>
            <w:proofErr w:type="gramEnd"/>
            <w:r w:rsidRPr="00724C26">
              <w:rPr>
                <w:rFonts w:ascii="Times New Roman" w:eastAsia="標楷體" w:hAnsi="Times New Roman" w:cs="Times New Roman"/>
                <w:b/>
                <w:bCs/>
                <w:color w:val="000000" w:themeColor="text1"/>
                <w:kern w:val="0"/>
                <w:sz w:val="22"/>
              </w:rPr>
              <w:t>橡膠製品</w:t>
            </w:r>
          </w:p>
        </w:tc>
        <w:tc>
          <w:tcPr>
            <w:tcW w:w="1439"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b/>
                <w:bCs/>
                <w:color w:val="000000" w:themeColor="text1"/>
                <w:kern w:val="0"/>
                <w:sz w:val="22"/>
              </w:rPr>
              <w:t>紡織品</w:t>
            </w:r>
          </w:p>
        </w:tc>
      </w:tr>
      <w:tr w:rsidR="00644C52" w:rsidRPr="00724C26" w:rsidTr="00644C52">
        <w:tc>
          <w:tcPr>
            <w:tcW w:w="8931" w:type="dxa"/>
            <w:gridSpan w:val="6"/>
            <w:tcBorders>
              <w:top w:val="single" w:sz="4" w:space="0" w:color="auto"/>
              <w:left w:val="nil"/>
              <w:bottom w:val="single" w:sz="4" w:space="0" w:color="auto"/>
              <w:right w:val="nil"/>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color w:val="000000" w:themeColor="text1"/>
                <w:kern w:val="0"/>
                <w:sz w:val="20"/>
              </w:rPr>
            </w:pPr>
            <w:r w:rsidRPr="00724C26">
              <w:rPr>
                <w:rFonts w:ascii="Times New Roman" w:eastAsia="標楷體" w:hAnsi="Times New Roman" w:cs="Times New Roman"/>
                <w:color w:val="000000" w:themeColor="text1"/>
                <w:kern w:val="0"/>
                <w:sz w:val="20"/>
              </w:rPr>
              <w:t>金額</w:t>
            </w:r>
          </w:p>
        </w:tc>
      </w:tr>
      <w:tr w:rsidR="00644C52" w:rsidRPr="00724C26" w:rsidTr="00644C52">
        <w:tc>
          <w:tcPr>
            <w:tcW w:w="1680"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2016 </w:t>
            </w:r>
          </w:p>
        </w:tc>
        <w:tc>
          <w:tcPr>
            <w:tcW w:w="1453"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73,898</w:t>
            </w:r>
          </w:p>
        </w:tc>
        <w:tc>
          <w:tcPr>
            <w:tcW w:w="1453"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1,306</w:t>
            </w:r>
          </w:p>
        </w:tc>
        <w:tc>
          <w:tcPr>
            <w:tcW w:w="1453"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7,556</w:t>
            </w:r>
          </w:p>
        </w:tc>
        <w:tc>
          <w:tcPr>
            <w:tcW w:w="1453"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6,490</w:t>
            </w:r>
          </w:p>
        </w:tc>
        <w:tc>
          <w:tcPr>
            <w:tcW w:w="1439" w:type="dxa"/>
            <w:tcBorders>
              <w:top w:val="single" w:sz="4" w:space="0" w:color="auto"/>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1,849</w:t>
            </w:r>
          </w:p>
        </w:tc>
      </w:tr>
      <w:tr w:rsidR="00644C52" w:rsidRPr="00724C26" w:rsidTr="00500F8A">
        <w:tc>
          <w:tcPr>
            <w:tcW w:w="1680"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453"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88,996</w:t>
            </w:r>
          </w:p>
        </w:tc>
        <w:tc>
          <w:tcPr>
            <w:tcW w:w="1453"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1,221</w:t>
            </w:r>
          </w:p>
        </w:tc>
        <w:tc>
          <w:tcPr>
            <w:tcW w:w="1453"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8,659</w:t>
            </w:r>
          </w:p>
        </w:tc>
        <w:tc>
          <w:tcPr>
            <w:tcW w:w="1453"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7,779</w:t>
            </w:r>
          </w:p>
        </w:tc>
        <w:tc>
          <w:tcPr>
            <w:tcW w:w="1439" w:type="dxa"/>
            <w:tcBorders>
              <w:top w:val="nil"/>
              <w:left w:val="nil"/>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1,940</w:t>
            </w:r>
          </w:p>
        </w:tc>
      </w:tr>
      <w:tr w:rsidR="00500F8A" w:rsidRPr="00724C26" w:rsidTr="00500F8A">
        <w:trPr>
          <w:trHeight w:val="155"/>
        </w:trPr>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453" w:type="dxa"/>
            <w:tcBorders>
              <w:top w:val="nil"/>
              <w:left w:val="nil"/>
              <w:bottom w:val="nil"/>
              <w:right w:val="nil"/>
            </w:tcBorders>
            <w:noWrap/>
            <w:tcMar>
              <w:left w:w="57" w:type="dxa"/>
              <w:right w:w="57" w:type="dxa"/>
            </w:tcMar>
            <w:vAlign w:val="center"/>
          </w:tcPr>
          <w:p w:rsidR="00500F8A" w:rsidRPr="00724C26" w:rsidRDefault="00500F8A" w:rsidP="00485241">
            <w:pPr>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96,802</w:t>
            </w:r>
          </w:p>
        </w:tc>
        <w:tc>
          <w:tcPr>
            <w:tcW w:w="1453" w:type="dxa"/>
            <w:tcBorders>
              <w:top w:val="nil"/>
              <w:left w:val="nil"/>
              <w:bottom w:val="nil"/>
              <w:right w:val="nil"/>
            </w:tcBorders>
            <w:noWrap/>
            <w:tcMar>
              <w:left w:w="57" w:type="dxa"/>
              <w:right w:w="57" w:type="dxa"/>
            </w:tcMar>
            <w:vAlign w:val="center"/>
          </w:tcPr>
          <w:p w:rsidR="00500F8A" w:rsidRPr="00724C26" w:rsidRDefault="00500F8A" w:rsidP="00485241">
            <w:pPr>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1,134</w:t>
            </w:r>
          </w:p>
        </w:tc>
        <w:tc>
          <w:tcPr>
            <w:tcW w:w="1453" w:type="dxa"/>
            <w:tcBorders>
              <w:top w:val="nil"/>
              <w:left w:val="nil"/>
              <w:bottom w:val="nil"/>
              <w:right w:val="nil"/>
            </w:tcBorders>
            <w:noWrap/>
            <w:tcMar>
              <w:left w:w="57" w:type="dxa"/>
              <w:right w:w="57" w:type="dxa"/>
            </w:tcMar>
            <w:vAlign w:val="center"/>
          </w:tcPr>
          <w:p w:rsidR="00500F8A" w:rsidRPr="00724C26" w:rsidRDefault="00500F8A" w:rsidP="00485241">
            <w:pPr>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9,995</w:t>
            </w:r>
          </w:p>
        </w:tc>
        <w:tc>
          <w:tcPr>
            <w:tcW w:w="1453" w:type="dxa"/>
            <w:tcBorders>
              <w:top w:val="nil"/>
              <w:left w:val="nil"/>
              <w:bottom w:val="nil"/>
              <w:right w:val="nil"/>
            </w:tcBorders>
            <w:noWrap/>
            <w:tcMar>
              <w:left w:w="57" w:type="dxa"/>
              <w:right w:w="57" w:type="dxa"/>
            </w:tcMar>
            <w:vAlign w:val="center"/>
          </w:tcPr>
          <w:p w:rsidR="00500F8A" w:rsidRPr="00724C26" w:rsidRDefault="00500F8A" w:rsidP="00485241">
            <w:pPr>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8,523</w:t>
            </w:r>
          </w:p>
        </w:tc>
        <w:tc>
          <w:tcPr>
            <w:tcW w:w="1439" w:type="dxa"/>
            <w:tcBorders>
              <w:top w:val="nil"/>
              <w:left w:val="nil"/>
              <w:bottom w:val="nil"/>
              <w:right w:val="nil"/>
            </w:tcBorders>
            <w:noWrap/>
            <w:tcMar>
              <w:left w:w="57" w:type="dxa"/>
              <w:right w:w="57" w:type="dxa"/>
            </w:tcMar>
            <w:vAlign w:val="center"/>
          </w:tcPr>
          <w:p w:rsidR="00500F8A" w:rsidRPr="00724C26" w:rsidRDefault="00500F8A" w:rsidP="00485241">
            <w:pPr>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1,936</w:t>
            </w:r>
          </w:p>
        </w:tc>
      </w:tr>
      <w:tr w:rsidR="00500F8A" w:rsidRPr="00724C26" w:rsidTr="00500F8A">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23,221</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286</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2,558</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2,035</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447</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23,221</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334</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2,465</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2,268</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543</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24,729</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251</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2,454</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2,092</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471</w:t>
            </w:r>
          </w:p>
        </w:tc>
      </w:tr>
      <w:tr w:rsidR="00500F8A" w:rsidRPr="00724C26" w:rsidTr="00644C52">
        <w:tc>
          <w:tcPr>
            <w:tcW w:w="1680"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25,631</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263</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2,520</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2,128</w:t>
            </w:r>
          </w:p>
        </w:tc>
        <w:tc>
          <w:tcPr>
            <w:tcW w:w="1439"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50" w:right="36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475</w:t>
            </w:r>
          </w:p>
        </w:tc>
      </w:tr>
      <w:tr w:rsidR="00500F8A" w:rsidRPr="00724C26" w:rsidTr="00644C52">
        <w:tc>
          <w:tcPr>
            <w:tcW w:w="8931" w:type="dxa"/>
            <w:gridSpan w:val="6"/>
            <w:tcBorders>
              <w:top w:val="single" w:sz="4" w:space="0" w:color="auto"/>
              <w:left w:val="nil"/>
              <w:bottom w:val="single" w:sz="4" w:space="0" w:color="auto"/>
              <w:right w:val="nil"/>
            </w:tcBorders>
            <w:noWrap/>
            <w:tcMar>
              <w:left w:w="57" w:type="dxa"/>
              <w:right w:w="57" w:type="dxa"/>
            </w:tcMar>
            <w:vAlign w:val="center"/>
            <w:hideMark/>
          </w:tcPr>
          <w:p w:rsidR="00500F8A" w:rsidRPr="00724C26" w:rsidRDefault="00500F8A" w:rsidP="00644C52">
            <w:pPr>
              <w:widowControl/>
              <w:adjustRightInd w:val="0"/>
              <w:snapToGrid w:val="0"/>
              <w:spacing w:line="120" w:lineRule="atLeast"/>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年增率</w:t>
            </w:r>
            <w:r w:rsidRPr="00724C26">
              <w:rPr>
                <w:rFonts w:ascii="Times New Roman" w:eastAsia="標楷體" w:hAnsi="Times New Roman" w:cs="Times New Roman"/>
                <w:color w:val="000000" w:themeColor="text1"/>
                <w:kern w:val="0"/>
                <w:sz w:val="20"/>
              </w:rPr>
              <w:t>/</w:t>
            </w:r>
            <w:r w:rsidRPr="00724C26">
              <w:rPr>
                <w:rFonts w:ascii="Times New Roman" w:eastAsia="標楷體" w:hAnsi="Times New Roman" w:cs="Times New Roman"/>
                <w:color w:val="000000" w:themeColor="text1"/>
                <w:kern w:val="0"/>
                <w:sz w:val="22"/>
              </w:rPr>
              <w:t>占比</w:t>
            </w:r>
          </w:p>
        </w:tc>
      </w:tr>
      <w:tr w:rsidR="00500F8A" w:rsidRPr="00724C26" w:rsidTr="00644C52">
        <w:tc>
          <w:tcPr>
            <w:tcW w:w="1680"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453"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0.7/93.0</w:t>
            </w:r>
          </w:p>
        </w:tc>
        <w:tc>
          <w:tcPr>
            <w:tcW w:w="1453"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-12.1/1.8</w:t>
            </w:r>
          </w:p>
        </w:tc>
        <w:tc>
          <w:tcPr>
            <w:tcW w:w="1453"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-6.7/10.2</w:t>
            </w:r>
          </w:p>
        </w:tc>
        <w:tc>
          <w:tcPr>
            <w:tcW w:w="1453"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-6.8/8.8</w:t>
            </w:r>
          </w:p>
        </w:tc>
        <w:tc>
          <w:tcPr>
            <w:tcW w:w="1439" w:type="dxa"/>
            <w:tcBorders>
              <w:top w:val="single" w:sz="4" w:space="0" w:color="auto"/>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-10.1/2.5</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20.5/95.2</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-6.6/1.4</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14.8/9.7</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19.9/8.7</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4.9/2.2</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8.8/93.7</w:t>
            </w:r>
          </w:p>
        </w:tc>
        <w:tc>
          <w:tcPr>
            <w:tcW w:w="1453" w:type="dxa"/>
            <w:tcBorders>
              <w:top w:val="nil"/>
              <w:left w:val="nil"/>
              <w:bottom w:val="nil"/>
              <w:right w:val="nil"/>
            </w:tcBorders>
            <w:noWrap/>
            <w:tcMar>
              <w:left w:w="57" w:type="dxa"/>
              <w:right w:w="57" w:type="dxa"/>
            </w:tcMar>
            <w:vAlign w:val="center"/>
          </w:tcPr>
          <w:p w:rsidR="00500F8A" w:rsidRPr="00724C26" w:rsidRDefault="00500F8A" w:rsidP="00500F8A">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-7.1/1.2</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15.4/10.3</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9.6/8.8</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-0.2/2.0</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18.9/93.8</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-9.9/1.2</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19.6/11.0</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14.5/8.8</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4.0/1.9</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13.6/92.9</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18.8/1.4</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29.5/10.6</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28.1/9.8</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8.1/2.3</w:t>
            </w:r>
          </w:p>
        </w:tc>
      </w:tr>
      <w:tr w:rsidR="00500F8A" w:rsidRPr="00724C26" w:rsidTr="00644C52">
        <w:tc>
          <w:tcPr>
            <w:tcW w:w="1680"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6.2/93.8</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-23.0/1.0</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11.3/9.9</w:t>
            </w:r>
          </w:p>
        </w:tc>
        <w:tc>
          <w:tcPr>
            <w:tcW w:w="1453"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5.8/8.5</w:t>
            </w:r>
          </w:p>
        </w:tc>
        <w:tc>
          <w:tcPr>
            <w:tcW w:w="1439" w:type="dxa"/>
            <w:tcBorders>
              <w:top w:val="nil"/>
              <w:left w:val="nil"/>
              <w:bottom w:val="nil"/>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-2.3/1.9</w:t>
            </w:r>
          </w:p>
        </w:tc>
      </w:tr>
      <w:tr w:rsidR="00500F8A" w:rsidRPr="00724C26" w:rsidTr="00644C52">
        <w:tc>
          <w:tcPr>
            <w:tcW w:w="1680"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-0.3/94.1</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-11.0/1.0</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4.5/9.8</w:t>
            </w:r>
          </w:p>
        </w:tc>
        <w:tc>
          <w:tcPr>
            <w:tcW w:w="1453"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-5.5/8.3</w:t>
            </w:r>
          </w:p>
        </w:tc>
        <w:tc>
          <w:tcPr>
            <w:tcW w:w="1439" w:type="dxa"/>
            <w:tcBorders>
              <w:top w:val="nil"/>
              <w:left w:val="nil"/>
              <w:bottom w:val="single" w:sz="4" w:space="0" w:color="auto"/>
              <w:right w:val="nil"/>
            </w:tcBorders>
            <w:noWrap/>
            <w:tcMar>
              <w:left w:w="57" w:type="dxa"/>
              <w:right w:w="57" w:type="dxa"/>
            </w:tcMar>
            <w:vAlign w:val="center"/>
          </w:tcPr>
          <w:p w:rsidR="00500F8A" w:rsidRPr="00724C26" w:rsidRDefault="00500F8A"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-9.6/1.9</w:t>
            </w:r>
          </w:p>
        </w:tc>
      </w:tr>
    </w:tbl>
    <w:p w:rsidR="00644C52" w:rsidRPr="007F2D59" w:rsidRDefault="00644C52" w:rsidP="00644C52">
      <w:pPr>
        <w:widowControl/>
        <w:adjustRightInd w:val="0"/>
        <w:snapToGrid w:val="0"/>
        <w:spacing w:line="320" w:lineRule="exact"/>
        <w:ind w:rightChars="100" w:right="240"/>
        <w:jc w:val="right"/>
        <w:rPr>
          <w:rFonts w:eastAsia="標楷體"/>
          <w:color w:val="000000" w:themeColor="text1"/>
          <w:kern w:val="0"/>
          <w:sz w:val="20"/>
          <w:szCs w:val="20"/>
        </w:rPr>
      </w:pPr>
    </w:p>
    <w:tbl>
      <w:tblPr>
        <w:tblW w:w="9073" w:type="dxa"/>
        <w:tblInd w:w="-22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256"/>
        <w:gridCol w:w="1206"/>
        <w:gridCol w:w="1205"/>
        <w:gridCol w:w="1205"/>
        <w:gridCol w:w="1205"/>
        <w:gridCol w:w="1331"/>
      </w:tblGrid>
      <w:tr w:rsidR="00644C52" w:rsidRPr="00724C26" w:rsidTr="00644C52">
        <w:tc>
          <w:tcPr>
            <w:tcW w:w="1665"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color w:val="000000" w:themeColor="text1"/>
                <w:kern w:val="0"/>
                <w:sz w:val="20"/>
              </w:rPr>
            </w:pPr>
            <w:r w:rsidRPr="00724C26">
              <w:rPr>
                <w:rFonts w:ascii="Times New Roman" w:eastAsia="標楷體" w:hAnsi="Times New Roman" w:cs="Times New Roman"/>
                <w:b/>
                <w:color w:val="000000" w:themeColor="text1"/>
                <w:kern w:val="0"/>
                <w:sz w:val="20"/>
              </w:rPr>
              <w:t>年</w:t>
            </w:r>
            <w:r w:rsidRPr="00724C26">
              <w:rPr>
                <w:rFonts w:ascii="Times New Roman" w:eastAsia="標楷體" w:hAnsi="Times New Roman" w:cs="Times New Roman"/>
                <w:b/>
                <w:color w:val="000000" w:themeColor="text1"/>
                <w:kern w:val="0"/>
                <w:sz w:val="20"/>
              </w:rPr>
              <w:t xml:space="preserve">  </w:t>
            </w:r>
            <w:r w:rsidRPr="00724C26">
              <w:rPr>
                <w:rFonts w:ascii="Times New Roman" w:eastAsia="標楷體" w:hAnsi="Times New Roman" w:cs="Times New Roman"/>
                <w:b/>
                <w:color w:val="000000" w:themeColor="text1"/>
                <w:kern w:val="0"/>
                <w:sz w:val="20"/>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基本金屬</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電子產品</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機械</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電機產品</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資通產品</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644C52" w:rsidRPr="00724C26" w:rsidRDefault="00644C52" w:rsidP="00644C52">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光學器材</w:t>
            </w:r>
          </w:p>
        </w:tc>
      </w:tr>
      <w:tr w:rsidR="00644C52" w:rsidRPr="00724C26" w:rsidTr="00644C52">
        <w:tc>
          <w:tcPr>
            <w:tcW w:w="9073" w:type="dxa"/>
            <w:gridSpan w:val="7"/>
            <w:tcBorders>
              <w:top w:val="single" w:sz="4" w:space="0" w:color="auto"/>
              <w:left w:val="nil"/>
              <w:bottom w:val="single" w:sz="4" w:space="0" w:color="auto"/>
              <w:right w:val="nil"/>
            </w:tcBorders>
            <w:noWrap/>
            <w:tcMar>
              <w:left w:w="57" w:type="dxa"/>
              <w:right w:w="57" w:type="dxa"/>
            </w:tcMar>
            <w:hideMark/>
          </w:tcPr>
          <w:p w:rsidR="00644C52" w:rsidRPr="00724C26" w:rsidRDefault="00644C52" w:rsidP="00644C52">
            <w:pPr>
              <w:widowControl/>
              <w:adjustRightInd w:val="0"/>
              <w:snapToGrid w:val="0"/>
              <w:spacing w:line="120" w:lineRule="atLeast"/>
              <w:ind w:rightChars="14" w:right="34"/>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金額</w:t>
            </w:r>
          </w:p>
        </w:tc>
      </w:tr>
      <w:tr w:rsidR="00644C52" w:rsidRPr="00724C26" w:rsidTr="00644C52">
        <w:tc>
          <w:tcPr>
            <w:tcW w:w="1665" w:type="dxa"/>
            <w:tcBorders>
              <w:top w:val="single" w:sz="4" w:space="0" w:color="auto"/>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256"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4,510</w:t>
            </w:r>
          </w:p>
        </w:tc>
        <w:tc>
          <w:tcPr>
            <w:tcW w:w="1206"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26,019</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5,260</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1,889</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6,440</w:t>
            </w:r>
          </w:p>
        </w:tc>
        <w:tc>
          <w:tcPr>
            <w:tcW w:w="1331" w:type="dxa"/>
            <w:tcBorders>
              <w:top w:val="single" w:sz="4" w:space="0" w:color="auto"/>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7,417</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5,830</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32,922</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7,777</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2,087</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7,235</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9,284</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6,050</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37,016</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8,029</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2,101</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8,213</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7,661</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1,411</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9,144</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1,855</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458</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1,696</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1,885</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r w:rsidRPr="00724C26">
              <w:rPr>
                <w:rFonts w:ascii="Times New Roman" w:eastAsia="標楷體" w:hAnsi="Times New Roman" w:cs="Times New Roman"/>
                <w:color w:val="000000" w:themeColor="text1"/>
                <w:kern w:val="0"/>
                <w:sz w:val="22"/>
              </w:rPr>
              <w:t xml:space="preserve">    </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1,723</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7,519</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2,310</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573</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1,871</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1,971</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1,479</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9,868</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1,958</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554</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2,132</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1,947</w:t>
            </w:r>
          </w:p>
        </w:tc>
      </w:tr>
      <w:tr w:rsidR="00644C52" w:rsidRPr="00724C26" w:rsidTr="00644C52">
        <w:tc>
          <w:tcPr>
            <w:tcW w:w="1665" w:type="dxa"/>
            <w:tcBorders>
              <w:top w:val="nil"/>
              <w:left w:val="nil"/>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1,438</w:t>
            </w:r>
          </w:p>
        </w:tc>
        <w:tc>
          <w:tcPr>
            <w:tcW w:w="1206"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10,491</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1,906</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516</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2,511</w:t>
            </w:r>
          </w:p>
        </w:tc>
        <w:tc>
          <w:tcPr>
            <w:tcW w:w="1331" w:type="dxa"/>
            <w:tcBorders>
              <w:top w:val="nil"/>
              <w:left w:val="single" w:sz="4" w:space="0" w:color="auto"/>
              <w:bottom w:val="single" w:sz="4" w:space="0" w:color="auto"/>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1,858</w:t>
            </w:r>
          </w:p>
        </w:tc>
      </w:tr>
      <w:tr w:rsidR="00644C52" w:rsidRPr="00724C26" w:rsidTr="00644C52">
        <w:tc>
          <w:tcPr>
            <w:tcW w:w="9073" w:type="dxa"/>
            <w:gridSpan w:val="7"/>
            <w:tcBorders>
              <w:top w:val="single" w:sz="4" w:space="0" w:color="auto"/>
              <w:left w:val="nil"/>
              <w:bottom w:val="single" w:sz="4" w:space="0" w:color="auto"/>
              <w:right w:val="nil"/>
            </w:tcBorders>
            <w:noWrap/>
            <w:tcMar>
              <w:left w:w="57" w:type="dxa"/>
              <w:right w:w="57" w:type="dxa"/>
            </w:tcMar>
            <w:vAlign w:val="center"/>
            <w:hideMark/>
          </w:tcPr>
          <w:p w:rsidR="00644C52" w:rsidRPr="00724C26" w:rsidRDefault="00644C52" w:rsidP="00644C52">
            <w:pPr>
              <w:widowControl/>
              <w:adjustRightInd w:val="0"/>
              <w:snapToGrid w:val="0"/>
              <w:spacing w:line="120" w:lineRule="atLeast"/>
              <w:ind w:rightChars="14" w:right="34"/>
              <w:jc w:val="center"/>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年增率</w:t>
            </w:r>
            <w:r w:rsidRPr="00724C26">
              <w:rPr>
                <w:rFonts w:ascii="Times New Roman" w:eastAsia="標楷體" w:hAnsi="Times New Roman" w:cs="Times New Roman"/>
                <w:color w:val="000000" w:themeColor="text1"/>
                <w:kern w:val="0"/>
                <w:sz w:val="20"/>
              </w:rPr>
              <w:t>/</w:t>
            </w:r>
            <w:r w:rsidRPr="00724C26">
              <w:rPr>
                <w:rFonts w:ascii="Times New Roman" w:eastAsia="標楷體" w:hAnsi="Times New Roman" w:cs="Times New Roman"/>
                <w:color w:val="000000" w:themeColor="text1"/>
                <w:kern w:val="0"/>
                <w:sz w:val="22"/>
              </w:rPr>
              <w:t>占比</w:t>
            </w:r>
          </w:p>
        </w:tc>
      </w:tr>
      <w:tr w:rsidR="00644C52" w:rsidRPr="00724C26" w:rsidTr="00644C52">
        <w:tc>
          <w:tcPr>
            <w:tcW w:w="1665" w:type="dxa"/>
            <w:tcBorders>
              <w:top w:val="single" w:sz="4" w:space="0" w:color="auto"/>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2016 </w:t>
            </w:r>
          </w:p>
        </w:tc>
        <w:tc>
          <w:tcPr>
            <w:tcW w:w="1256"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-3.5/6.1</w:t>
            </w:r>
          </w:p>
        </w:tc>
        <w:tc>
          <w:tcPr>
            <w:tcW w:w="1206"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21.7/35.2</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-2.7/7.1</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-44.2/2.6</w:t>
            </w:r>
          </w:p>
        </w:tc>
        <w:tc>
          <w:tcPr>
            <w:tcW w:w="1205" w:type="dxa"/>
            <w:tcBorders>
              <w:top w:val="single" w:sz="4" w:space="0" w:color="auto"/>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10.1/8.7</w:t>
            </w:r>
          </w:p>
        </w:tc>
        <w:tc>
          <w:tcPr>
            <w:tcW w:w="1331" w:type="dxa"/>
            <w:tcBorders>
              <w:top w:val="single" w:sz="4" w:space="0" w:color="auto"/>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-17.0/10.0</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29.2/6.6</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26.5/37.0</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47.9/8.7</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10.8/2.3</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12.5/8.1</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7.3/10.4</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3.8/6.2</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12.4/38.2</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3.2/8.3</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0.7/2.2</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13.5/8.5</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-17.5/7.9</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9.6/6.1</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31.1/39.4</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23.8/8.0</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-1.1/2.0</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2.2/7.3</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3.6/8.1</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21.9/7.4</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6.5/32.4</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22.0/9.9</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3.7/2.5</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5.6/8.1</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0.9/8.5</w:t>
            </w:r>
          </w:p>
        </w:tc>
      </w:tr>
      <w:tr w:rsidR="00644C52" w:rsidRPr="00724C26" w:rsidTr="00644C52">
        <w:tc>
          <w:tcPr>
            <w:tcW w:w="1665" w:type="dxa"/>
            <w:tcBorders>
              <w:top w:val="nil"/>
              <w:left w:val="nil"/>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-5.8/6.0</w:t>
            </w:r>
          </w:p>
        </w:tc>
        <w:tc>
          <w:tcPr>
            <w:tcW w:w="1206"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16.1/39.9</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-6.9/7.9</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4.3/2.2</w:t>
            </w:r>
          </w:p>
        </w:tc>
        <w:tc>
          <w:tcPr>
            <w:tcW w:w="1205" w:type="dxa"/>
            <w:tcBorders>
              <w:top w:val="nil"/>
              <w:left w:val="single" w:sz="4" w:space="0" w:color="auto"/>
              <w:bottom w:val="nil"/>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11.7/8.6</w:t>
            </w:r>
          </w:p>
        </w:tc>
        <w:tc>
          <w:tcPr>
            <w:tcW w:w="1331" w:type="dxa"/>
            <w:tcBorders>
              <w:top w:val="nil"/>
              <w:left w:val="single" w:sz="4" w:space="0" w:color="auto"/>
              <w:bottom w:val="nil"/>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-10.3/7.9</w:t>
            </w:r>
          </w:p>
        </w:tc>
      </w:tr>
      <w:tr w:rsidR="00644C52" w:rsidRPr="00724C26" w:rsidTr="00644C52">
        <w:tc>
          <w:tcPr>
            <w:tcW w:w="1665" w:type="dxa"/>
            <w:tcBorders>
              <w:top w:val="nil"/>
              <w:left w:val="nil"/>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256"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-7.7/5.6</w:t>
            </w:r>
          </w:p>
        </w:tc>
        <w:tc>
          <w:tcPr>
            <w:tcW w:w="1206"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1.1/40.9</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-16.4/7.4</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-4.6/2.0</w:t>
            </w:r>
          </w:p>
        </w:tc>
        <w:tc>
          <w:tcPr>
            <w:tcW w:w="1205" w:type="dxa"/>
            <w:tcBorders>
              <w:top w:val="nil"/>
              <w:left w:val="single" w:sz="4" w:space="0" w:color="auto"/>
              <w:bottom w:val="single" w:sz="4" w:space="0" w:color="auto"/>
              <w:right w:val="single" w:sz="4" w:space="0" w:color="auto"/>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32.6/9.8</w:t>
            </w:r>
          </w:p>
        </w:tc>
        <w:tc>
          <w:tcPr>
            <w:tcW w:w="1331" w:type="dxa"/>
            <w:tcBorders>
              <w:top w:val="nil"/>
              <w:left w:val="single" w:sz="4" w:space="0" w:color="auto"/>
              <w:bottom w:val="single" w:sz="4" w:space="0" w:color="auto"/>
              <w:right w:val="nil"/>
            </w:tcBorders>
            <w:noWrap/>
            <w:tcMar>
              <w:left w:w="57" w:type="dxa"/>
              <w:right w:w="57" w:type="dxa"/>
            </w:tcMar>
            <w:vAlign w:val="center"/>
          </w:tcPr>
          <w:p w:rsidR="00644C52" w:rsidRPr="00724C26" w:rsidRDefault="00644C52" w:rsidP="00644C52">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-22.5/7.2</w:t>
            </w:r>
          </w:p>
        </w:tc>
      </w:tr>
    </w:tbl>
    <w:p w:rsidR="00644C52" w:rsidRPr="007F2D59" w:rsidRDefault="00644C52" w:rsidP="00644C52">
      <w:pPr>
        <w:widowControl/>
        <w:spacing w:line="260" w:lineRule="exact"/>
        <w:rPr>
          <w:rFonts w:eastAsia="標楷體"/>
          <w:color w:val="000000" w:themeColor="text1"/>
          <w:kern w:val="0"/>
          <w:sz w:val="20"/>
          <w:szCs w:val="20"/>
        </w:rPr>
      </w:pPr>
      <w:proofErr w:type="gramStart"/>
      <w:r w:rsidRPr="007F2D59">
        <w:rPr>
          <w:rFonts w:eastAsia="標楷體"/>
          <w:color w:val="000000" w:themeColor="text1"/>
          <w:kern w:val="0"/>
          <w:sz w:val="20"/>
          <w:szCs w:val="20"/>
        </w:rPr>
        <w:t>註</w:t>
      </w:r>
      <w:proofErr w:type="gramEnd"/>
      <w:r w:rsidRPr="007F2D59">
        <w:rPr>
          <w:rFonts w:eastAsia="標楷體"/>
          <w:color w:val="000000" w:themeColor="text1"/>
          <w:kern w:val="0"/>
          <w:sz w:val="20"/>
          <w:szCs w:val="20"/>
        </w:rPr>
        <w:t>：年</w:t>
      </w:r>
      <w:proofErr w:type="gramStart"/>
      <w:r w:rsidRPr="007F2D59">
        <w:rPr>
          <w:rFonts w:eastAsia="標楷體"/>
          <w:color w:val="000000" w:themeColor="text1"/>
          <w:kern w:val="0"/>
          <w:sz w:val="20"/>
          <w:szCs w:val="20"/>
        </w:rPr>
        <w:t>增率係指</w:t>
      </w:r>
      <w:proofErr w:type="gramEnd"/>
      <w:r w:rsidRPr="007F2D59">
        <w:rPr>
          <w:rFonts w:eastAsia="標楷體"/>
          <w:color w:val="000000" w:themeColor="text1"/>
          <w:kern w:val="0"/>
          <w:sz w:val="20"/>
          <w:szCs w:val="20"/>
        </w:rPr>
        <w:t>較上年或上年同期增減比率。</w:t>
      </w:r>
    </w:p>
    <w:p w:rsidR="00644C52" w:rsidRPr="007F2D59" w:rsidRDefault="00644C52" w:rsidP="00644C52">
      <w:pPr>
        <w:widowControl/>
        <w:spacing w:line="260" w:lineRule="exact"/>
        <w:rPr>
          <w:rFonts w:ascii="標楷體" w:eastAsia="標楷體" w:hAnsi="標楷體"/>
          <w:color w:val="000000" w:themeColor="text1"/>
        </w:rPr>
      </w:pPr>
      <w:r w:rsidRPr="007F2D59">
        <w:rPr>
          <w:rFonts w:ascii="標楷體" w:eastAsia="標楷體" w:hAnsi="標楷體" w:hint="eastAsia"/>
          <w:color w:val="000000" w:themeColor="text1"/>
          <w:kern w:val="0"/>
          <w:sz w:val="20"/>
          <w:szCs w:val="20"/>
        </w:rPr>
        <w:t>資料來源：財政部海關統計。</w:t>
      </w:r>
    </w:p>
    <w:p w:rsidR="00E55A04" w:rsidRDefault="00E55A04" w:rsidP="00E55A04">
      <w:pPr>
        <w:rPr>
          <w:rFonts w:eastAsia="標楷體"/>
          <w:sz w:val="28"/>
        </w:rPr>
        <w:sectPr w:rsidR="00E55A04">
          <w:footerReference w:type="even" r:id="rId29"/>
          <w:footerReference w:type="default" r:id="rId30"/>
          <w:pgSz w:w="11906" w:h="16838"/>
          <w:pgMar w:top="1440" w:right="1800" w:bottom="1440" w:left="1800" w:header="851" w:footer="992" w:gutter="0"/>
          <w:cols w:space="425"/>
          <w:docGrid w:type="lines" w:linePitch="360"/>
        </w:sectPr>
      </w:pPr>
    </w:p>
    <w:p w:rsidR="00E55A04" w:rsidRDefault="00E55A04" w:rsidP="00E55A04">
      <w:pPr>
        <w:rPr>
          <w:rFonts w:eastAsia="標楷體"/>
          <w:sz w:val="28"/>
        </w:rPr>
      </w:pPr>
    </w:p>
    <w:p w:rsidR="00E55A04" w:rsidRDefault="00E55A04">
      <w:pPr>
        <w:widowControl/>
        <w:rPr>
          <w:rFonts w:eastAsia="標楷體"/>
          <w:sz w:val="28"/>
        </w:rPr>
      </w:pPr>
      <w:r>
        <w:rPr>
          <w:rFonts w:eastAsia="標楷體"/>
          <w:sz w:val="28"/>
        </w:rPr>
        <w:br w:type="page"/>
      </w:r>
    </w:p>
    <w:p w:rsidR="00E55A04" w:rsidRPr="00B40A71" w:rsidRDefault="00E55A04" w:rsidP="00E55A04">
      <w:pPr>
        <w:pageBreakBefore/>
        <w:widowControl/>
        <w:tabs>
          <w:tab w:val="center" w:pos="4251"/>
        </w:tabs>
        <w:spacing w:line="440" w:lineRule="exact"/>
        <w:ind w:left="-540" w:firstLine="538"/>
        <w:jc w:val="center"/>
        <w:rPr>
          <w:rFonts w:ascii="Times New Roman" w:eastAsia="標楷體" w:hAnsi="Times New Roman" w:cs="Times New Roman"/>
          <w:b/>
          <w:color w:val="000000" w:themeColor="text1"/>
          <w:kern w:val="0"/>
          <w:sz w:val="28"/>
          <w:szCs w:val="32"/>
        </w:rPr>
      </w:pPr>
      <w:r w:rsidRPr="00B40A71">
        <w:rPr>
          <w:rFonts w:ascii="Times New Roman" w:eastAsia="標楷體" w:hAnsi="Times New Roman" w:cs="Times New Roman"/>
          <w:b/>
          <w:color w:val="000000" w:themeColor="text1"/>
          <w:kern w:val="0"/>
          <w:sz w:val="28"/>
          <w:szCs w:val="32"/>
        </w:rPr>
        <w:lastRenderedPageBreak/>
        <w:t>表</w:t>
      </w:r>
      <w:r w:rsidRPr="00B40A71">
        <w:rPr>
          <w:rFonts w:ascii="Times New Roman" w:eastAsia="標楷體" w:hAnsi="Times New Roman" w:cs="Times New Roman"/>
          <w:b/>
          <w:color w:val="000000" w:themeColor="text1"/>
          <w:kern w:val="0"/>
          <w:sz w:val="28"/>
          <w:szCs w:val="32"/>
        </w:rPr>
        <w:t>2-7</w:t>
      </w:r>
      <w:r w:rsidRPr="00B40A71">
        <w:rPr>
          <w:rFonts w:ascii="Times New Roman" w:eastAsia="標楷體" w:hAnsi="Times New Roman" w:cs="Times New Roman"/>
          <w:b/>
          <w:color w:val="000000" w:themeColor="text1"/>
          <w:kern w:val="0"/>
          <w:sz w:val="28"/>
          <w:szCs w:val="32"/>
        </w:rPr>
        <w:t xml:space="preserve">　臺灣自中國大陸主要進口貨品</w:t>
      </w:r>
    </w:p>
    <w:p w:rsidR="00E55A04" w:rsidRPr="006E7090" w:rsidRDefault="00E55A04" w:rsidP="00E55A04">
      <w:pPr>
        <w:widowControl/>
        <w:wordWrap w:val="0"/>
        <w:spacing w:line="240" w:lineRule="exact"/>
        <w:jc w:val="right"/>
        <w:rPr>
          <w:rFonts w:eastAsia="標楷體"/>
          <w:color w:val="000000" w:themeColor="text1"/>
          <w:kern w:val="0"/>
          <w:sz w:val="20"/>
        </w:rPr>
      </w:pPr>
      <w:r w:rsidRPr="006E7090">
        <w:rPr>
          <w:rFonts w:eastAsia="標楷體"/>
          <w:color w:val="000000" w:themeColor="text1"/>
          <w:kern w:val="0"/>
          <w:sz w:val="20"/>
        </w:rPr>
        <w:t xml:space="preserve">    </w:t>
      </w:r>
      <w:r w:rsidRPr="006E7090">
        <w:rPr>
          <w:rFonts w:eastAsia="標楷體"/>
          <w:color w:val="000000" w:themeColor="text1"/>
          <w:kern w:val="0"/>
          <w:sz w:val="20"/>
        </w:rPr>
        <w:t>單位：百萬美元；</w:t>
      </w:r>
      <w:r w:rsidRPr="00942361">
        <w:rPr>
          <w:rFonts w:eastAsia="標楷體" w:hint="eastAsia"/>
          <w:color w:val="000000" w:themeColor="text1"/>
          <w:kern w:val="0"/>
          <w:sz w:val="20"/>
        </w:rPr>
        <w:t>%</w:t>
      </w:r>
    </w:p>
    <w:tbl>
      <w:tblPr>
        <w:tblW w:w="871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450"/>
        <w:gridCol w:w="1451"/>
        <w:gridCol w:w="1450"/>
        <w:gridCol w:w="1451"/>
        <w:gridCol w:w="1451"/>
      </w:tblGrid>
      <w:tr w:rsidR="00E55A04" w:rsidRPr="00724C26" w:rsidTr="007E3448">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color w:val="000000" w:themeColor="text1"/>
                <w:kern w:val="0"/>
                <w:sz w:val="20"/>
              </w:rPr>
            </w:pPr>
            <w:r w:rsidRPr="00724C26">
              <w:rPr>
                <w:rFonts w:ascii="Times New Roman" w:eastAsia="標楷體" w:hAnsi="Times New Roman" w:cs="Times New Roman"/>
                <w:b/>
                <w:color w:val="000000" w:themeColor="text1"/>
                <w:kern w:val="0"/>
                <w:sz w:val="20"/>
              </w:rPr>
              <w:t>年</w:t>
            </w:r>
            <w:r w:rsidRPr="00724C26">
              <w:rPr>
                <w:rFonts w:ascii="Times New Roman" w:eastAsia="標楷體" w:hAnsi="Times New Roman" w:cs="Times New Roman"/>
                <w:b/>
                <w:color w:val="000000" w:themeColor="text1"/>
                <w:kern w:val="0"/>
                <w:sz w:val="20"/>
              </w:rPr>
              <w:t xml:space="preserve">  </w:t>
            </w:r>
            <w:r w:rsidRPr="00724C26">
              <w:rPr>
                <w:rFonts w:ascii="Times New Roman" w:eastAsia="標楷體" w:hAnsi="Times New Roman" w:cs="Times New Roman"/>
                <w:b/>
                <w:color w:val="000000" w:themeColor="text1"/>
                <w:kern w:val="0"/>
                <w:sz w:val="20"/>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總計</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化學品</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塑膠製品</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紡織品</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基本金屬</w:t>
            </w:r>
          </w:p>
        </w:tc>
      </w:tr>
      <w:tr w:rsidR="00E55A04" w:rsidRPr="00724C26" w:rsidTr="007E3448">
        <w:trPr>
          <w:jc w:val="center"/>
        </w:trPr>
        <w:tc>
          <w:tcPr>
            <w:tcW w:w="8717" w:type="dxa"/>
            <w:gridSpan w:val="6"/>
            <w:tcBorders>
              <w:top w:val="single" w:sz="4" w:space="0" w:color="auto"/>
              <w:left w:val="nil"/>
              <w:bottom w:val="single" w:sz="4" w:space="0" w:color="auto"/>
              <w:right w:val="nil"/>
            </w:tcBorders>
            <w:noWrap/>
            <w:tcMar>
              <w:left w:w="57" w:type="dxa"/>
              <w:right w:w="57" w:type="dxa"/>
            </w:tcMa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color w:val="000000" w:themeColor="text1"/>
                <w:kern w:val="0"/>
                <w:sz w:val="20"/>
              </w:rPr>
            </w:pPr>
            <w:r w:rsidRPr="00724C26">
              <w:rPr>
                <w:rFonts w:ascii="Times New Roman" w:eastAsia="標楷體" w:hAnsi="Times New Roman" w:cs="Times New Roman"/>
                <w:color w:val="000000" w:themeColor="text1"/>
                <w:kern w:val="0"/>
                <w:sz w:val="20"/>
              </w:rPr>
              <w:t>金額</w:t>
            </w:r>
          </w:p>
        </w:tc>
      </w:tr>
      <w:tr w:rsidR="00E55A04" w:rsidRPr="00724C26" w:rsidTr="007E3448">
        <w:trPr>
          <w:jc w:val="center"/>
        </w:trPr>
        <w:tc>
          <w:tcPr>
            <w:tcW w:w="1464" w:type="dxa"/>
            <w:tcBorders>
              <w:top w:val="single" w:sz="4" w:space="0" w:color="auto"/>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450"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43,997</w:t>
            </w:r>
          </w:p>
        </w:tc>
        <w:tc>
          <w:tcPr>
            <w:tcW w:w="1451"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4,387</w:t>
            </w:r>
          </w:p>
        </w:tc>
        <w:tc>
          <w:tcPr>
            <w:tcW w:w="1450"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710</w:t>
            </w:r>
          </w:p>
        </w:tc>
        <w:tc>
          <w:tcPr>
            <w:tcW w:w="1451"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1,436</w:t>
            </w:r>
          </w:p>
        </w:tc>
        <w:tc>
          <w:tcPr>
            <w:tcW w:w="1451" w:type="dxa"/>
            <w:tcBorders>
              <w:top w:val="single" w:sz="4" w:space="0" w:color="auto"/>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4,092</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50,045</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4,356</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779</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1,446</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4,604</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53,799</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4,487</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1,729</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1,564</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4,385</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12,655</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1,169</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201</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347</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1,135</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13,495</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1,228</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227</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359</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1,315</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13,542</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1,088</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235</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403</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972</w:t>
            </w:r>
          </w:p>
        </w:tc>
      </w:tr>
      <w:tr w:rsidR="00E55A04" w:rsidRPr="00724C26" w:rsidTr="007E3448">
        <w:trPr>
          <w:jc w:val="center"/>
        </w:trPr>
        <w:tc>
          <w:tcPr>
            <w:tcW w:w="1464" w:type="dxa"/>
            <w:tcBorders>
              <w:top w:val="nil"/>
              <w:left w:val="nil"/>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14,107</w:t>
            </w:r>
          </w:p>
        </w:tc>
        <w:tc>
          <w:tcPr>
            <w:tcW w:w="1451"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1,002</w:t>
            </w:r>
          </w:p>
        </w:tc>
        <w:tc>
          <w:tcPr>
            <w:tcW w:w="1450"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428</w:t>
            </w:r>
          </w:p>
        </w:tc>
        <w:tc>
          <w:tcPr>
            <w:tcW w:w="1451"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455</w:t>
            </w:r>
          </w:p>
        </w:tc>
        <w:tc>
          <w:tcPr>
            <w:tcW w:w="1451" w:type="dxa"/>
            <w:tcBorders>
              <w:top w:val="nil"/>
              <w:left w:val="single" w:sz="4" w:space="0" w:color="auto"/>
              <w:bottom w:val="single" w:sz="4" w:space="0" w:color="auto"/>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963</w:t>
            </w:r>
          </w:p>
        </w:tc>
      </w:tr>
      <w:tr w:rsidR="00E55A04" w:rsidRPr="00724C26" w:rsidTr="007E3448">
        <w:trPr>
          <w:jc w:val="center"/>
        </w:trPr>
        <w:tc>
          <w:tcPr>
            <w:tcW w:w="8717" w:type="dxa"/>
            <w:gridSpan w:val="6"/>
            <w:tcBorders>
              <w:top w:val="single" w:sz="4" w:space="0" w:color="auto"/>
              <w:left w:val="nil"/>
              <w:bottom w:val="single" w:sz="4" w:space="0" w:color="auto"/>
              <w:right w:val="nil"/>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color w:val="000000" w:themeColor="text1"/>
                <w:kern w:val="0"/>
                <w:sz w:val="20"/>
              </w:rPr>
            </w:pPr>
            <w:r w:rsidRPr="00724C26">
              <w:rPr>
                <w:rFonts w:ascii="Times New Roman" w:eastAsia="標楷體" w:hAnsi="Times New Roman" w:cs="Times New Roman"/>
                <w:color w:val="000000" w:themeColor="text1"/>
                <w:kern w:val="0"/>
                <w:sz w:val="20"/>
              </w:rPr>
              <w:t>年增率</w:t>
            </w:r>
            <w:r w:rsidRPr="00724C26">
              <w:rPr>
                <w:rFonts w:ascii="Times New Roman" w:eastAsia="標楷體" w:hAnsi="Times New Roman" w:cs="Times New Roman"/>
                <w:color w:val="000000" w:themeColor="text1"/>
                <w:kern w:val="0"/>
                <w:sz w:val="20"/>
              </w:rPr>
              <w:t>/</w:t>
            </w:r>
            <w:r w:rsidRPr="00724C26">
              <w:rPr>
                <w:rFonts w:ascii="Times New Roman" w:eastAsia="標楷體" w:hAnsi="Times New Roman" w:cs="Times New Roman"/>
                <w:color w:val="000000" w:themeColor="text1"/>
                <w:kern w:val="0"/>
                <w:sz w:val="20"/>
              </w:rPr>
              <w:t>占比</w:t>
            </w:r>
          </w:p>
        </w:tc>
      </w:tr>
      <w:tr w:rsidR="00E55A04" w:rsidRPr="00724C26" w:rsidTr="007E3448">
        <w:trPr>
          <w:jc w:val="center"/>
        </w:trPr>
        <w:tc>
          <w:tcPr>
            <w:tcW w:w="1464" w:type="dxa"/>
            <w:tcBorders>
              <w:top w:val="single" w:sz="4" w:space="0" w:color="auto"/>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450"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-2.8/85.3</w:t>
            </w:r>
          </w:p>
        </w:tc>
        <w:tc>
          <w:tcPr>
            <w:tcW w:w="1451"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-4.1/10.0</w:t>
            </w:r>
          </w:p>
        </w:tc>
        <w:tc>
          <w:tcPr>
            <w:tcW w:w="1450"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-2.8/1.6</w:t>
            </w:r>
          </w:p>
        </w:tc>
        <w:tc>
          <w:tcPr>
            <w:tcW w:w="1451"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-5.9/3.3</w:t>
            </w:r>
          </w:p>
        </w:tc>
        <w:tc>
          <w:tcPr>
            <w:tcW w:w="1451" w:type="dxa"/>
            <w:tcBorders>
              <w:top w:val="single" w:sz="4" w:space="0" w:color="auto"/>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-5.9/9.3</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13.8/86.1</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-0.7/8.7</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9.7/1.6</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0.7/2.9</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12.5/9.2</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7.5/86.1</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3.0/8.7</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122.0/1.6</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8.2/2.9</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-4.8/9.2</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14.7/86.1</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14.8/9.2</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17.8/1.6</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11.8/2.7</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5.8/9.0</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11.6/85.6</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15.7/9.1</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14.9/1.7</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9.6/2.7</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9.9/9.7</w:t>
            </w:r>
          </w:p>
        </w:tc>
      </w:tr>
      <w:tr w:rsidR="00E55A04" w:rsidRPr="00724C26" w:rsidTr="007E3448">
        <w:trPr>
          <w:jc w:val="center"/>
        </w:trPr>
        <w:tc>
          <w:tcPr>
            <w:tcW w:w="1464"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3.6/86.7</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-2.9/8.0</w:t>
            </w:r>
          </w:p>
        </w:tc>
        <w:tc>
          <w:tcPr>
            <w:tcW w:w="1450"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16.2/1.7</w:t>
            </w:r>
          </w:p>
        </w:tc>
        <w:tc>
          <w:tcPr>
            <w:tcW w:w="1451"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7.6/3.0</w:t>
            </w:r>
          </w:p>
        </w:tc>
        <w:tc>
          <w:tcPr>
            <w:tcW w:w="1451"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-13.1/7.2</w:t>
            </w:r>
          </w:p>
        </w:tc>
      </w:tr>
      <w:tr w:rsidR="00E55A04" w:rsidRPr="00724C26" w:rsidTr="007E3448">
        <w:trPr>
          <w:jc w:val="center"/>
        </w:trPr>
        <w:tc>
          <w:tcPr>
            <w:tcW w:w="1464" w:type="dxa"/>
            <w:tcBorders>
              <w:top w:val="nil"/>
              <w:left w:val="nil"/>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450"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2.0/87.0</w:t>
            </w:r>
          </w:p>
        </w:tc>
        <w:tc>
          <w:tcPr>
            <w:tcW w:w="1451"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13.3/7.1</w:t>
            </w:r>
          </w:p>
        </w:tc>
        <w:tc>
          <w:tcPr>
            <w:tcW w:w="1450"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104.7/3.0</w:t>
            </w:r>
          </w:p>
        </w:tc>
        <w:tc>
          <w:tcPr>
            <w:tcW w:w="1451"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4.8/3.2</w:t>
            </w:r>
          </w:p>
        </w:tc>
        <w:tc>
          <w:tcPr>
            <w:tcW w:w="1451" w:type="dxa"/>
            <w:tcBorders>
              <w:top w:val="nil"/>
              <w:left w:val="single" w:sz="4" w:space="0" w:color="auto"/>
              <w:bottom w:val="single" w:sz="4" w:space="0" w:color="auto"/>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50" w:right="12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-20.8/6.8</w:t>
            </w:r>
          </w:p>
        </w:tc>
      </w:tr>
    </w:tbl>
    <w:p w:rsidR="00E55A04" w:rsidRPr="006E7090" w:rsidRDefault="00E55A04" w:rsidP="00E55A04">
      <w:pPr>
        <w:widowControl/>
        <w:spacing w:line="240" w:lineRule="atLeast"/>
        <w:rPr>
          <w:rFonts w:eastAsia="標楷體"/>
          <w:color w:val="000000" w:themeColor="text1"/>
          <w:kern w:val="0"/>
          <w:sz w:val="10"/>
          <w:szCs w:val="10"/>
        </w:rPr>
      </w:pPr>
    </w:p>
    <w:tbl>
      <w:tblPr>
        <w:tblW w:w="8720" w:type="dxa"/>
        <w:tblInd w:w="-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069"/>
        <w:gridCol w:w="1207"/>
        <w:gridCol w:w="1207"/>
        <w:gridCol w:w="1206"/>
        <w:gridCol w:w="1207"/>
        <w:gridCol w:w="1207"/>
      </w:tblGrid>
      <w:tr w:rsidR="00E55A04" w:rsidRPr="00724C26" w:rsidTr="007E3448">
        <w:tc>
          <w:tcPr>
            <w:tcW w:w="1617"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color w:val="000000" w:themeColor="text1"/>
                <w:kern w:val="0"/>
                <w:sz w:val="20"/>
              </w:rPr>
            </w:pPr>
            <w:r w:rsidRPr="00724C26">
              <w:rPr>
                <w:rFonts w:ascii="Times New Roman" w:eastAsia="標楷體" w:hAnsi="Times New Roman" w:cs="Times New Roman"/>
                <w:b/>
                <w:color w:val="000000" w:themeColor="text1"/>
                <w:kern w:val="0"/>
                <w:sz w:val="20"/>
              </w:rPr>
              <w:t>年</w:t>
            </w:r>
            <w:r w:rsidRPr="00724C26">
              <w:rPr>
                <w:rFonts w:ascii="Times New Roman" w:eastAsia="標楷體" w:hAnsi="Times New Roman" w:cs="Times New Roman"/>
                <w:b/>
                <w:color w:val="000000" w:themeColor="text1"/>
                <w:kern w:val="0"/>
                <w:sz w:val="20"/>
              </w:rPr>
              <w:t xml:space="preserve">  </w:t>
            </w:r>
            <w:r w:rsidRPr="00724C26">
              <w:rPr>
                <w:rFonts w:ascii="Times New Roman" w:eastAsia="標楷體" w:hAnsi="Times New Roman" w:cs="Times New Roman"/>
                <w:b/>
                <w:color w:val="000000" w:themeColor="text1"/>
                <w:kern w:val="0"/>
                <w:sz w:val="20"/>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電子產品</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機械</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電機產品</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資通產品</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運輸設備</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b/>
                <w:bCs/>
                <w:color w:val="000000" w:themeColor="text1"/>
                <w:kern w:val="0"/>
                <w:sz w:val="22"/>
              </w:rPr>
            </w:pPr>
            <w:r w:rsidRPr="00724C26">
              <w:rPr>
                <w:rFonts w:ascii="Times New Roman" w:eastAsia="標楷體" w:hAnsi="Times New Roman" w:cs="Times New Roman"/>
                <w:b/>
                <w:bCs/>
                <w:color w:val="000000" w:themeColor="text1"/>
                <w:kern w:val="0"/>
                <w:sz w:val="22"/>
              </w:rPr>
              <w:t>光學器材</w:t>
            </w:r>
          </w:p>
        </w:tc>
      </w:tr>
      <w:tr w:rsidR="00E55A04" w:rsidRPr="00724C26" w:rsidTr="007E3448">
        <w:tc>
          <w:tcPr>
            <w:tcW w:w="8720" w:type="dxa"/>
            <w:gridSpan w:val="7"/>
            <w:tcBorders>
              <w:top w:val="single" w:sz="4" w:space="0" w:color="auto"/>
              <w:left w:val="nil"/>
              <w:bottom w:val="single" w:sz="4" w:space="0" w:color="auto"/>
              <w:right w:val="nil"/>
            </w:tcBorders>
            <w:noWrap/>
            <w:tcMar>
              <w:left w:w="57" w:type="dxa"/>
              <w:right w:w="57" w:type="dxa"/>
            </w:tcMa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color w:val="000000" w:themeColor="text1"/>
                <w:kern w:val="0"/>
                <w:sz w:val="20"/>
              </w:rPr>
            </w:pPr>
            <w:r w:rsidRPr="00724C26">
              <w:rPr>
                <w:rFonts w:ascii="Times New Roman" w:eastAsia="標楷體" w:hAnsi="Times New Roman" w:cs="Times New Roman"/>
                <w:color w:val="000000" w:themeColor="text1"/>
                <w:kern w:val="0"/>
                <w:sz w:val="20"/>
              </w:rPr>
              <w:t>金額</w:t>
            </w:r>
          </w:p>
        </w:tc>
      </w:tr>
      <w:tr w:rsidR="00E55A04" w:rsidRPr="00724C26" w:rsidTr="007E3448">
        <w:tc>
          <w:tcPr>
            <w:tcW w:w="1617" w:type="dxa"/>
            <w:tcBorders>
              <w:top w:val="single" w:sz="4" w:space="0" w:color="auto"/>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069"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9,231</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3,329</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3,047</w:t>
            </w:r>
          </w:p>
        </w:tc>
        <w:tc>
          <w:tcPr>
            <w:tcW w:w="1206"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8,637</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1,022</w:t>
            </w:r>
          </w:p>
        </w:tc>
        <w:tc>
          <w:tcPr>
            <w:tcW w:w="1207" w:type="dxa"/>
            <w:tcBorders>
              <w:top w:val="single" w:sz="4" w:space="0" w:color="auto"/>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1,626</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12,050</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3,345</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3,328</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10,642</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968</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1,558</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leftChars="20" w:left="48"/>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14,178</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3,866</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3,792</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10,353</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1,038</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1,704</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3,278</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892</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863</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2,344</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256</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409</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3,423</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1,027</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963</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2,347</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262</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406</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3,589</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1,000</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974</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2,727</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260</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488</w:t>
            </w:r>
          </w:p>
        </w:tc>
      </w:tr>
      <w:tr w:rsidR="00E55A04" w:rsidRPr="00724C26" w:rsidTr="007E3448">
        <w:tc>
          <w:tcPr>
            <w:tcW w:w="1617" w:type="dxa"/>
            <w:tcBorders>
              <w:top w:val="nil"/>
              <w:left w:val="nil"/>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3,888</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947</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992</w:t>
            </w:r>
          </w:p>
        </w:tc>
        <w:tc>
          <w:tcPr>
            <w:tcW w:w="1206"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2,935</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260</w:t>
            </w:r>
          </w:p>
        </w:tc>
        <w:tc>
          <w:tcPr>
            <w:tcW w:w="1207" w:type="dxa"/>
            <w:tcBorders>
              <w:top w:val="nil"/>
              <w:left w:val="single" w:sz="4" w:space="0" w:color="auto"/>
              <w:bottom w:val="single" w:sz="4" w:space="0" w:color="auto"/>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ind w:rightChars="100" w:right="240"/>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401</w:t>
            </w:r>
          </w:p>
        </w:tc>
      </w:tr>
      <w:tr w:rsidR="00E55A04" w:rsidRPr="00724C26" w:rsidTr="007E3448">
        <w:tc>
          <w:tcPr>
            <w:tcW w:w="8720" w:type="dxa"/>
            <w:gridSpan w:val="7"/>
            <w:tcBorders>
              <w:top w:val="single" w:sz="4" w:space="0" w:color="auto"/>
              <w:left w:val="nil"/>
              <w:bottom w:val="single" w:sz="4" w:space="0" w:color="auto"/>
              <w:right w:val="nil"/>
            </w:tcBorders>
            <w:noWrap/>
            <w:tcMar>
              <w:left w:w="57" w:type="dxa"/>
              <w:right w:w="57" w:type="dxa"/>
            </w:tcMar>
            <w:vAlign w:val="center"/>
            <w:hideMark/>
          </w:tcPr>
          <w:p w:rsidR="00E55A04" w:rsidRPr="00724C26" w:rsidRDefault="00E55A04" w:rsidP="007E3448">
            <w:pPr>
              <w:widowControl/>
              <w:adjustRightInd w:val="0"/>
              <w:snapToGrid w:val="0"/>
              <w:spacing w:line="120" w:lineRule="atLeast"/>
              <w:jc w:val="center"/>
              <w:rPr>
                <w:rFonts w:ascii="Times New Roman" w:eastAsia="標楷體" w:hAnsi="Times New Roman" w:cs="Times New Roman"/>
                <w:color w:val="000000" w:themeColor="text1"/>
                <w:kern w:val="0"/>
                <w:sz w:val="20"/>
              </w:rPr>
            </w:pPr>
            <w:r w:rsidRPr="00724C26">
              <w:rPr>
                <w:rFonts w:ascii="Times New Roman" w:eastAsia="標楷體" w:hAnsi="Times New Roman" w:cs="Times New Roman"/>
                <w:color w:val="000000" w:themeColor="text1"/>
                <w:kern w:val="0"/>
                <w:sz w:val="20"/>
              </w:rPr>
              <w:t>年增率</w:t>
            </w:r>
            <w:r w:rsidRPr="00724C26">
              <w:rPr>
                <w:rFonts w:ascii="Times New Roman" w:eastAsia="標楷體" w:hAnsi="Times New Roman" w:cs="Times New Roman"/>
                <w:color w:val="000000" w:themeColor="text1"/>
                <w:kern w:val="0"/>
                <w:sz w:val="20"/>
              </w:rPr>
              <w:t>/</w:t>
            </w:r>
            <w:r w:rsidRPr="00724C26">
              <w:rPr>
                <w:rFonts w:ascii="Times New Roman" w:eastAsia="標楷體" w:hAnsi="Times New Roman" w:cs="Times New Roman"/>
                <w:color w:val="000000" w:themeColor="text1"/>
                <w:kern w:val="0"/>
                <w:sz w:val="20"/>
              </w:rPr>
              <w:t>占比</w:t>
            </w:r>
          </w:p>
        </w:tc>
      </w:tr>
      <w:tr w:rsidR="00E55A04" w:rsidRPr="00724C26" w:rsidTr="007E3448">
        <w:tc>
          <w:tcPr>
            <w:tcW w:w="1617" w:type="dxa"/>
            <w:tcBorders>
              <w:top w:val="single" w:sz="4" w:space="0" w:color="auto"/>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2016</w:t>
            </w:r>
          </w:p>
        </w:tc>
        <w:tc>
          <w:tcPr>
            <w:tcW w:w="1069"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5.5/21.0</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7.6/7.6</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-5.8/6.9</w:t>
            </w:r>
          </w:p>
        </w:tc>
        <w:tc>
          <w:tcPr>
            <w:tcW w:w="1206"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-6.1/19.6</w:t>
            </w:r>
          </w:p>
        </w:tc>
        <w:tc>
          <w:tcPr>
            <w:tcW w:w="1207" w:type="dxa"/>
            <w:tcBorders>
              <w:top w:val="single" w:sz="4" w:space="0" w:color="auto"/>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-8.4/2.3</w:t>
            </w:r>
          </w:p>
        </w:tc>
        <w:tc>
          <w:tcPr>
            <w:tcW w:w="1207" w:type="dxa"/>
            <w:tcBorders>
              <w:top w:val="single" w:sz="4" w:space="0" w:color="auto"/>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-12.5/3.7</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2017</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30.5/24.1</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0.5/6.7</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9.2/6.7</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23.2/21.3</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-5.3/1.9</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-4.2/3.1</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ind w:leftChars="20" w:left="48"/>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2018   </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17.7/24.1</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15.6/6.7</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13.9/6.7</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-2.7/21.3</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7.2/1.9</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9.4/3.1</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1</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24.2/25.9</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23.7/7.0</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15.6/6.8</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6.7/18.5</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25.9/2.0</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-3.6/3.2</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 xml:space="preserve">   </w:t>
            </w: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2</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20.2/25.4</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21.2/7.6</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14.2/7.1</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3.5/17.4</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3.1/1.9</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-13.6/3.0</w:t>
            </w:r>
          </w:p>
        </w:tc>
      </w:tr>
      <w:tr w:rsidR="00E55A04" w:rsidRPr="00724C26" w:rsidTr="007E3448">
        <w:tc>
          <w:tcPr>
            <w:tcW w:w="1617" w:type="dxa"/>
            <w:tcBorders>
              <w:top w:val="nil"/>
              <w:left w:val="nil"/>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3</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10.3/26.5</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17.0/7.4</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10.3/7.2</w:t>
            </w:r>
          </w:p>
        </w:tc>
        <w:tc>
          <w:tcPr>
            <w:tcW w:w="1206"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-6.0/20.1</w:t>
            </w:r>
          </w:p>
        </w:tc>
        <w:tc>
          <w:tcPr>
            <w:tcW w:w="1207" w:type="dxa"/>
            <w:tcBorders>
              <w:top w:val="nil"/>
              <w:left w:val="single" w:sz="4" w:space="0" w:color="auto"/>
              <w:bottom w:val="nil"/>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5.3/1.9</w:t>
            </w:r>
          </w:p>
        </w:tc>
        <w:tc>
          <w:tcPr>
            <w:tcW w:w="1207" w:type="dxa"/>
            <w:tcBorders>
              <w:top w:val="nil"/>
              <w:left w:val="single" w:sz="4" w:space="0" w:color="auto"/>
              <w:bottom w:val="nil"/>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39.0/3.6</w:t>
            </w:r>
          </w:p>
        </w:tc>
      </w:tr>
      <w:tr w:rsidR="00E55A04" w:rsidRPr="00724C26" w:rsidTr="007E3448">
        <w:tc>
          <w:tcPr>
            <w:tcW w:w="1617" w:type="dxa"/>
            <w:tcBorders>
              <w:top w:val="nil"/>
              <w:left w:val="nil"/>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2"/>
              </w:rPr>
            </w:pPr>
            <w:r w:rsidRPr="00724C26">
              <w:rPr>
                <w:rFonts w:ascii="Times New Roman" w:eastAsia="標楷體" w:hAnsi="Times New Roman" w:cs="Times New Roman"/>
                <w:color w:val="000000" w:themeColor="text1"/>
                <w:kern w:val="0"/>
                <w:sz w:val="22"/>
              </w:rPr>
              <w:t>第</w:t>
            </w:r>
            <w:r w:rsidRPr="00724C26">
              <w:rPr>
                <w:rFonts w:ascii="Times New Roman" w:eastAsia="標楷體" w:hAnsi="Times New Roman" w:cs="Times New Roman"/>
                <w:color w:val="000000" w:themeColor="text1"/>
                <w:kern w:val="0"/>
                <w:sz w:val="22"/>
              </w:rPr>
              <w:t>4</w:t>
            </w:r>
            <w:r w:rsidRPr="00724C26">
              <w:rPr>
                <w:rFonts w:ascii="Times New Roman" w:eastAsia="標楷體" w:hAnsi="Times New Roman" w:cs="Times New Roman"/>
                <w:color w:val="000000" w:themeColor="text1"/>
                <w:kern w:val="0"/>
                <w:sz w:val="22"/>
              </w:rPr>
              <w:t>季</w:t>
            </w:r>
          </w:p>
        </w:tc>
        <w:tc>
          <w:tcPr>
            <w:tcW w:w="1069"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17.5/27.6</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2.8/6.7</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16.2/7.0</w:t>
            </w:r>
          </w:p>
        </w:tc>
        <w:tc>
          <w:tcPr>
            <w:tcW w:w="1206"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-10.5/20.8</w:t>
            </w:r>
          </w:p>
        </w:tc>
        <w:tc>
          <w:tcPr>
            <w:tcW w:w="1207" w:type="dxa"/>
            <w:tcBorders>
              <w:top w:val="nil"/>
              <w:left w:val="single" w:sz="4" w:space="0" w:color="auto"/>
              <w:bottom w:val="single" w:sz="4" w:space="0" w:color="auto"/>
              <w:right w:val="single" w:sz="4" w:space="0" w:color="auto"/>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-0.6/1.9</w:t>
            </w:r>
          </w:p>
        </w:tc>
        <w:tc>
          <w:tcPr>
            <w:tcW w:w="1207" w:type="dxa"/>
            <w:tcBorders>
              <w:top w:val="nil"/>
              <w:left w:val="single" w:sz="4" w:space="0" w:color="auto"/>
              <w:bottom w:val="single" w:sz="4" w:space="0" w:color="auto"/>
              <w:right w:val="nil"/>
            </w:tcBorders>
            <w:noWrap/>
            <w:tcMar>
              <w:left w:w="57" w:type="dxa"/>
              <w:right w:w="57" w:type="dxa"/>
            </w:tcMar>
            <w:vAlign w:val="center"/>
          </w:tcPr>
          <w:p w:rsidR="00E55A04" w:rsidRPr="00724C26" w:rsidRDefault="00E55A04" w:rsidP="007E3448">
            <w:pPr>
              <w:widowControl/>
              <w:adjustRightInd w:val="0"/>
              <w:snapToGrid w:val="0"/>
              <w:spacing w:line="120" w:lineRule="atLeast"/>
              <w:jc w:val="right"/>
              <w:rPr>
                <w:rFonts w:ascii="Times New Roman" w:eastAsia="標楷體" w:hAnsi="Times New Roman" w:cs="Times New Roman"/>
                <w:color w:val="000000" w:themeColor="text1"/>
                <w:kern w:val="0"/>
                <w:sz w:val="20"/>
                <w:szCs w:val="20"/>
              </w:rPr>
            </w:pPr>
            <w:r w:rsidRPr="00724C26">
              <w:rPr>
                <w:rFonts w:ascii="Times New Roman" w:eastAsia="標楷體" w:hAnsi="Times New Roman" w:cs="Times New Roman"/>
                <w:color w:val="000000" w:themeColor="text1"/>
                <w:kern w:val="0"/>
                <w:sz w:val="20"/>
                <w:szCs w:val="20"/>
              </w:rPr>
              <w:t>27.8/2.8</w:t>
            </w:r>
          </w:p>
        </w:tc>
      </w:tr>
    </w:tbl>
    <w:p w:rsidR="00E55A04" w:rsidRPr="007F2D59" w:rsidRDefault="00E55A04" w:rsidP="00E55A04">
      <w:pPr>
        <w:widowControl/>
        <w:spacing w:line="260" w:lineRule="exact"/>
        <w:rPr>
          <w:rFonts w:ascii="標楷體" w:eastAsia="標楷體" w:hAnsi="標楷體"/>
          <w:color w:val="000000" w:themeColor="text1"/>
          <w:kern w:val="0"/>
          <w:sz w:val="20"/>
          <w:szCs w:val="20"/>
        </w:rPr>
      </w:pPr>
      <w:proofErr w:type="gramStart"/>
      <w:r w:rsidRPr="007F2D59">
        <w:rPr>
          <w:rFonts w:ascii="標楷體" w:eastAsia="標楷體" w:hAnsi="標楷體" w:hint="eastAsia"/>
          <w:color w:val="000000" w:themeColor="text1"/>
          <w:kern w:val="0"/>
          <w:sz w:val="20"/>
          <w:szCs w:val="20"/>
        </w:rPr>
        <w:t>註</w:t>
      </w:r>
      <w:proofErr w:type="gramEnd"/>
      <w:r w:rsidRPr="007F2D59">
        <w:rPr>
          <w:rFonts w:ascii="標楷體" w:eastAsia="標楷體" w:hAnsi="標楷體" w:hint="eastAsia"/>
          <w:color w:val="000000" w:themeColor="text1"/>
          <w:kern w:val="0"/>
          <w:sz w:val="20"/>
          <w:szCs w:val="20"/>
        </w:rPr>
        <w:t>：年</w:t>
      </w:r>
      <w:proofErr w:type="gramStart"/>
      <w:r w:rsidRPr="007F2D59">
        <w:rPr>
          <w:rFonts w:ascii="標楷體" w:eastAsia="標楷體" w:hAnsi="標楷體" w:hint="eastAsia"/>
          <w:color w:val="000000" w:themeColor="text1"/>
          <w:kern w:val="0"/>
          <w:sz w:val="20"/>
          <w:szCs w:val="20"/>
        </w:rPr>
        <w:t>增率係指</w:t>
      </w:r>
      <w:proofErr w:type="gramEnd"/>
      <w:r w:rsidRPr="007F2D59">
        <w:rPr>
          <w:rFonts w:ascii="標楷體" w:eastAsia="標楷體" w:hAnsi="標楷體" w:hint="eastAsia"/>
          <w:color w:val="000000" w:themeColor="text1"/>
          <w:kern w:val="0"/>
          <w:sz w:val="20"/>
          <w:szCs w:val="20"/>
        </w:rPr>
        <w:t>較上年或上年同期增減比率。</w:t>
      </w:r>
    </w:p>
    <w:p w:rsidR="00E55A04" w:rsidRPr="00106900" w:rsidRDefault="00E55A04" w:rsidP="00E55A04">
      <w:pPr>
        <w:rPr>
          <w:rFonts w:ascii="標楷體" w:eastAsia="標楷體" w:hAnsi="標楷體"/>
          <w:color w:val="000000" w:themeColor="text1"/>
          <w:kern w:val="0"/>
          <w:sz w:val="20"/>
          <w:szCs w:val="20"/>
        </w:rPr>
        <w:sectPr w:rsidR="00E55A04" w:rsidRPr="00106900" w:rsidSect="00E55A04">
          <w:footerReference w:type="even" r:id="rId31"/>
          <w:footerReference w:type="default" r:id="rId32"/>
          <w:type w:val="continuous"/>
          <w:pgSz w:w="11906" w:h="16838"/>
          <w:pgMar w:top="1440" w:right="1800" w:bottom="1440" w:left="1800" w:header="851" w:footer="283" w:gutter="0"/>
          <w:cols w:space="425"/>
          <w:docGrid w:linePitch="360"/>
        </w:sectPr>
      </w:pPr>
      <w:r>
        <w:rPr>
          <w:rFonts w:ascii="標楷體" w:eastAsia="標楷體" w:hAnsi="標楷體" w:hint="eastAsia"/>
          <w:color w:val="000000" w:themeColor="text1"/>
          <w:kern w:val="0"/>
          <w:sz w:val="20"/>
          <w:szCs w:val="20"/>
        </w:rPr>
        <w:t>資料來源：財政部</w:t>
      </w:r>
    </w:p>
    <w:p w:rsidR="00943E84" w:rsidRPr="006E7090" w:rsidRDefault="00943E84" w:rsidP="00943E84">
      <w:pPr>
        <w:jc w:val="center"/>
        <w:rPr>
          <w:rFonts w:eastAsia="標楷體"/>
          <w:b/>
          <w:bCs/>
          <w:color w:val="000000" w:themeColor="text1"/>
          <w:kern w:val="52"/>
          <w:sz w:val="22"/>
          <w:szCs w:val="52"/>
        </w:rPr>
      </w:pPr>
      <w:bookmarkStart w:id="34" w:name="_Toc466292778"/>
      <w:bookmarkStart w:id="35" w:name="_Toc481769102"/>
      <w:r w:rsidRPr="006E7090">
        <w:rPr>
          <w:rFonts w:eastAsia="標楷體"/>
          <w:b/>
          <w:bCs/>
          <w:color w:val="000000" w:themeColor="text1"/>
          <w:kern w:val="0"/>
          <w:sz w:val="28"/>
          <w:szCs w:val="32"/>
        </w:rPr>
        <w:lastRenderedPageBreak/>
        <w:t>附表</w:t>
      </w:r>
      <w:r w:rsidRPr="006E7090">
        <w:rPr>
          <w:rFonts w:eastAsia="標楷體"/>
          <w:b/>
          <w:bCs/>
          <w:color w:val="000000" w:themeColor="text1"/>
          <w:kern w:val="0"/>
          <w:sz w:val="28"/>
          <w:szCs w:val="32"/>
        </w:rPr>
        <w:t xml:space="preserve">  </w:t>
      </w:r>
      <w:r w:rsidRPr="006E7090">
        <w:rPr>
          <w:rFonts w:eastAsia="標楷體"/>
          <w:b/>
          <w:bCs/>
          <w:color w:val="000000" w:themeColor="text1"/>
          <w:kern w:val="0"/>
          <w:sz w:val="28"/>
          <w:szCs w:val="32"/>
        </w:rPr>
        <w:t>中國大陸重要經濟指標</w:t>
      </w:r>
      <w:bookmarkEnd w:id="34"/>
      <w:bookmarkEnd w:id="35"/>
    </w:p>
    <w:tbl>
      <w:tblPr>
        <w:tblStyle w:val="af3"/>
        <w:tblW w:w="15593" w:type="dxa"/>
        <w:jc w:val="center"/>
        <w:tblInd w:w="-601" w:type="dxa"/>
        <w:tblLook w:val="04A0" w:firstRow="1" w:lastRow="0" w:firstColumn="1" w:lastColumn="0" w:noHBand="0" w:noVBand="1"/>
      </w:tblPr>
      <w:tblGrid>
        <w:gridCol w:w="981"/>
        <w:gridCol w:w="1135"/>
        <w:gridCol w:w="951"/>
        <w:gridCol w:w="1012"/>
        <w:gridCol w:w="889"/>
        <w:gridCol w:w="951"/>
        <w:gridCol w:w="951"/>
        <w:gridCol w:w="951"/>
        <w:gridCol w:w="951"/>
        <w:gridCol w:w="951"/>
        <w:gridCol w:w="1074"/>
        <w:gridCol w:w="1012"/>
        <w:gridCol w:w="931"/>
        <w:gridCol w:w="951"/>
        <w:gridCol w:w="951"/>
        <w:gridCol w:w="951"/>
      </w:tblGrid>
      <w:tr w:rsidR="00943E84" w:rsidRPr="00C0647F" w:rsidTr="00943E84">
        <w:trPr>
          <w:trHeight w:val="1032"/>
          <w:jc w:val="center"/>
        </w:trPr>
        <w:tc>
          <w:tcPr>
            <w:tcW w:w="981" w:type="dxa"/>
            <w:tcBorders>
              <w:left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年</w:t>
            </w:r>
            <w:r w:rsidRPr="00C0647F">
              <w:rPr>
                <w:rFonts w:ascii="Times New Roman" w:eastAsia="標楷體" w:hAnsi="Times New Roman" w:cs="Times New Roman"/>
                <w:color w:val="000000" w:themeColor="text1"/>
                <w:kern w:val="0"/>
                <w:sz w:val="20"/>
                <w:szCs w:val="20"/>
              </w:rPr>
              <w:t xml:space="preserve">  </w:t>
            </w:r>
            <w:r w:rsidRPr="00C0647F">
              <w:rPr>
                <w:rFonts w:ascii="Times New Roman" w:eastAsia="標楷體" w:hAnsi="Times New Roman" w:cs="Times New Roman"/>
                <w:color w:val="000000" w:themeColor="text1"/>
                <w:kern w:val="0"/>
                <w:sz w:val="20"/>
                <w:szCs w:val="20"/>
              </w:rPr>
              <w:t>季</w:t>
            </w:r>
          </w:p>
        </w:tc>
        <w:tc>
          <w:tcPr>
            <w:tcW w:w="1135" w:type="dxa"/>
            <w:vAlign w:val="center"/>
          </w:tcPr>
          <w:p w:rsidR="00943E84" w:rsidRPr="00C0647F" w:rsidRDefault="00943E84" w:rsidP="00943E84">
            <w:pPr>
              <w:widowControl/>
              <w:snapToGrid w:val="0"/>
              <w:spacing w:line="0" w:lineRule="atLeast"/>
              <w:ind w:leftChars="-35" w:left="-8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名目國內生產毛額</w:t>
            </w:r>
          </w:p>
          <w:p w:rsidR="00943E84" w:rsidRPr="00C0647F" w:rsidRDefault="00943E84" w:rsidP="00943E84">
            <w:pPr>
              <w:widowControl/>
              <w:snapToGrid w:val="0"/>
              <w:spacing w:line="0" w:lineRule="atLeast"/>
              <w:ind w:leftChars="-50" w:left="-120"/>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（人民幣億元）</w:t>
            </w:r>
          </w:p>
        </w:tc>
        <w:tc>
          <w:tcPr>
            <w:tcW w:w="951" w:type="dxa"/>
            <w:vAlign w:val="center"/>
          </w:tcPr>
          <w:p w:rsidR="00943E84" w:rsidRPr="00C0647F" w:rsidRDefault="00943E84" w:rsidP="00943E84">
            <w:pPr>
              <w:widowControl/>
              <w:snapToGrid w:val="0"/>
              <w:spacing w:line="0" w:lineRule="atLeast"/>
              <w:ind w:leftChars="-40" w:left="-96"/>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實質國內生產毛額</w:t>
            </w:r>
          </w:p>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成長率</w:t>
            </w:r>
          </w:p>
        </w:tc>
        <w:tc>
          <w:tcPr>
            <w:tcW w:w="1012" w:type="dxa"/>
            <w:vAlign w:val="center"/>
          </w:tcPr>
          <w:p w:rsidR="00943E84" w:rsidRPr="00C0647F" w:rsidRDefault="00943E84" w:rsidP="00943E84">
            <w:pPr>
              <w:widowControl/>
              <w:snapToGrid w:val="0"/>
              <w:spacing w:line="0" w:lineRule="atLeast"/>
              <w:ind w:leftChars="-39" w:left="-9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名目人均</w:t>
            </w:r>
            <w:r w:rsidRPr="00C0647F">
              <w:rPr>
                <w:rFonts w:ascii="Times New Roman" w:eastAsia="標楷體" w:hAnsi="Times New Roman" w:cs="Times New Roman"/>
                <w:color w:val="000000" w:themeColor="text1"/>
                <w:kern w:val="0"/>
                <w:sz w:val="20"/>
                <w:szCs w:val="20"/>
              </w:rPr>
              <w:t>GDP</w:t>
            </w:r>
          </w:p>
          <w:p w:rsidR="00943E84" w:rsidRPr="00C0647F" w:rsidRDefault="00943E84" w:rsidP="00943E84">
            <w:pPr>
              <w:snapToGrid w:val="0"/>
              <w:spacing w:line="0" w:lineRule="atLeast"/>
              <w:ind w:leftChars="-45" w:left="-108"/>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（美元）</w:t>
            </w:r>
          </w:p>
        </w:tc>
        <w:tc>
          <w:tcPr>
            <w:tcW w:w="889" w:type="dxa"/>
            <w:vAlign w:val="center"/>
          </w:tcPr>
          <w:p w:rsidR="00943E84" w:rsidRPr="00C0647F" w:rsidRDefault="00943E84" w:rsidP="00943E84">
            <w:pPr>
              <w:widowControl/>
              <w:snapToGrid w:val="0"/>
              <w:spacing w:line="0" w:lineRule="atLeast"/>
              <w:ind w:leftChars="-21" w:left="-50"/>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一級產業成長率</w:t>
            </w:r>
          </w:p>
        </w:tc>
        <w:tc>
          <w:tcPr>
            <w:tcW w:w="951" w:type="dxa"/>
            <w:vAlign w:val="center"/>
          </w:tcPr>
          <w:p w:rsidR="00943E84" w:rsidRPr="00C0647F" w:rsidRDefault="00943E84" w:rsidP="00943E84">
            <w:pPr>
              <w:widowControl/>
              <w:snapToGrid w:val="0"/>
              <w:spacing w:line="0" w:lineRule="atLeast"/>
              <w:ind w:leftChars="-33" w:left="-79"/>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二級產業</w:t>
            </w:r>
          </w:p>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成長率</w:t>
            </w:r>
            <w:r w:rsidRPr="00C0647F">
              <w:rPr>
                <w:rFonts w:ascii="Times New Roman" w:eastAsia="標楷體" w:hAnsi="Times New Roman" w:cs="Times New Roman"/>
                <w:color w:val="000000" w:themeColor="text1"/>
                <w:kern w:val="0"/>
                <w:sz w:val="20"/>
                <w:szCs w:val="20"/>
              </w:rPr>
              <w:t>*</w:t>
            </w:r>
          </w:p>
        </w:tc>
        <w:tc>
          <w:tcPr>
            <w:tcW w:w="951" w:type="dxa"/>
            <w:vAlign w:val="center"/>
          </w:tcPr>
          <w:p w:rsidR="00943E84" w:rsidRPr="00C0647F" w:rsidRDefault="00943E84" w:rsidP="00943E84">
            <w:pPr>
              <w:widowControl/>
              <w:snapToGrid w:val="0"/>
              <w:spacing w:line="0" w:lineRule="atLeast"/>
              <w:ind w:leftChars="-39" w:left="-9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工業</w:t>
            </w:r>
          </w:p>
          <w:p w:rsidR="00943E84" w:rsidRPr="00C0647F" w:rsidRDefault="00943E84" w:rsidP="00943E84">
            <w:pPr>
              <w:snapToGrid w:val="0"/>
              <w:spacing w:line="0" w:lineRule="atLeast"/>
              <w:ind w:leftChars="-21" w:left="-50"/>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成長率</w:t>
            </w:r>
          </w:p>
        </w:tc>
        <w:tc>
          <w:tcPr>
            <w:tcW w:w="951" w:type="dxa"/>
            <w:vAlign w:val="center"/>
          </w:tcPr>
          <w:p w:rsidR="00943E84" w:rsidRPr="00C0647F" w:rsidRDefault="00943E84" w:rsidP="00943E84">
            <w:pPr>
              <w:widowControl/>
              <w:snapToGrid w:val="0"/>
              <w:spacing w:line="0" w:lineRule="atLeast"/>
              <w:ind w:leftChars="-39" w:left="-9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三級產業</w:t>
            </w:r>
          </w:p>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成長率</w:t>
            </w:r>
          </w:p>
        </w:tc>
        <w:tc>
          <w:tcPr>
            <w:tcW w:w="951" w:type="dxa"/>
            <w:vAlign w:val="center"/>
          </w:tcPr>
          <w:p w:rsidR="00943E84" w:rsidRPr="00C0647F" w:rsidRDefault="00943E84" w:rsidP="00943E84">
            <w:pPr>
              <w:widowControl/>
              <w:snapToGrid w:val="0"/>
              <w:spacing w:line="0" w:lineRule="atLeast"/>
              <w:ind w:leftChars="-56" w:left="-13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spacing w:val="-8"/>
                <w:kern w:val="0"/>
                <w:sz w:val="20"/>
                <w:szCs w:val="20"/>
              </w:rPr>
              <w:t>M1</w:t>
            </w:r>
            <w:r w:rsidRPr="00C0647F">
              <w:rPr>
                <w:rFonts w:ascii="Times New Roman" w:eastAsia="標楷體" w:hAnsi="Times New Roman" w:cs="Times New Roman"/>
                <w:color w:val="000000" w:themeColor="text1"/>
                <w:spacing w:val="-8"/>
                <w:kern w:val="0"/>
                <w:sz w:val="20"/>
                <w:szCs w:val="20"/>
              </w:rPr>
              <w:t>貨幣供給</w:t>
            </w:r>
            <w:r w:rsidRPr="00C0647F">
              <w:rPr>
                <w:rFonts w:ascii="Times New Roman" w:eastAsia="標楷體" w:hAnsi="Times New Roman" w:cs="Times New Roman"/>
                <w:color w:val="000000" w:themeColor="text1"/>
                <w:kern w:val="0"/>
                <w:sz w:val="20"/>
                <w:szCs w:val="20"/>
              </w:rPr>
              <w:t>額增加率</w:t>
            </w:r>
          </w:p>
          <w:p w:rsidR="00943E84" w:rsidRPr="00C0647F" w:rsidRDefault="00943E84" w:rsidP="00943E84">
            <w:pPr>
              <w:widowControl/>
              <w:snapToGrid w:val="0"/>
              <w:spacing w:line="0" w:lineRule="atLeast"/>
              <w:ind w:leftChars="-56" w:left="-134"/>
              <w:jc w:val="center"/>
              <w:rPr>
                <w:rFonts w:ascii="Times New Roman" w:eastAsia="標楷體" w:hAnsi="Times New Roman" w:cs="Times New Roman"/>
                <w:color w:val="000000" w:themeColor="text1"/>
                <w:spacing w:val="-8"/>
                <w:w w:val="90"/>
                <w:kern w:val="0"/>
                <w:sz w:val="20"/>
                <w:szCs w:val="20"/>
              </w:rPr>
            </w:pPr>
            <w:r w:rsidRPr="00C0647F">
              <w:rPr>
                <w:rFonts w:ascii="Times New Roman" w:eastAsia="標楷體" w:hAnsi="Times New Roman" w:cs="Times New Roman"/>
                <w:color w:val="000000" w:themeColor="text1"/>
                <w:w w:val="90"/>
                <w:kern w:val="0"/>
                <w:sz w:val="20"/>
                <w:szCs w:val="20"/>
              </w:rPr>
              <w:t>（期底數）</w:t>
            </w:r>
          </w:p>
        </w:tc>
        <w:tc>
          <w:tcPr>
            <w:tcW w:w="951" w:type="dxa"/>
            <w:vAlign w:val="center"/>
          </w:tcPr>
          <w:p w:rsidR="00943E84" w:rsidRPr="00C0647F" w:rsidRDefault="00943E84" w:rsidP="00943E84">
            <w:pPr>
              <w:widowControl/>
              <w:snapToGrid w:val="0"/>
              <w:spacing w:line="0" w:lineRule="atLeast"/>
              <w:ind w:leftChars="-39" w:left="-9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spacing w:val="-8"/>
                <w:kern w:val="0"/>
                <w:sz w:val="20"/>
                <w:szCs w:val="20"/>
              </w:rPr>
              <w:t>M2</w:t>
            </w:r>
            <w:r w:rsidRPr="00C0647F">
              <w:rPr>
                <w:rFonts w:ascii="Times New Roman" w:eastAsia="標楷體" w:hAnsi="Times New Roman" w:cs="Times New Roman"/>
                <w:color w:val="000000" w:themeColor="text1"/>
                <w:spacing w:val="-8"/>
                <w:kern w:val="0"/>
                <w:sz w:val="20"/>
                <w:szCs w:val="20"/>
              </w:rPr>
              <w:t>貨幣供給</w:t>
            </w:r>
            <w:r w:rsidRPr="00C0647F">
              <w:rPr>
                <w:rFonts w:ascii="Times New Roman" w:eastAsia="標楷體" w:hAnsi="Times New Roman" w:cs="Times New Roman"/>
                <w:color w:val="000000" w:themeColor="text1"/>
                <w:kern w:val="0"/>
                <w:sz w:val="20"/>
                <w:szCs w:val="20"/>
              </w:rPr>
              <w:t>額增加率</w:t>
            </w:r>
          </w:p>
          <w:p w:rsidR="00943E84" w:rsidRPr="00C0647F" w:rsidRDefault="00943E84" w:rsidP="00943E84">
            <w:pPr>
              <w:widowControl/>
              <w:snapToGrid w:val="0"/>
              <w:spacing w:line="0" w:lineRule="atLeast"/>
              <w:ind w:leftChars="-56" w:left="-134"/>
              <w:jc w:val="center"/>
              <w:rPr>
                <w:rFonts w:ascii="Times New Roman" w:eastAsia="標楷體" w:hAnsi="Times New Roman" w:cs="Times New Roman"/>
                <w:color w:val="000000" w:themeColor="text1"/>
                <w:spacing w:val="-8"/>
                <w:kern w:val="0"/>
                <w:sz w:val="20"/>
                <w:szCs w:val="20"/>
              </w:rPr>
            </w:pPr>
            <w:r w:rsidRPr="00C0647F">
              <w:rPr>
                <w:rFonts w:ascii="Times New Roman" w:eastAsia="標楷體" w:hAnsi="Times New Roman" w:cs="Times New Roman"/>
                <w:color w:val="000000" w:themeColor="text1"/>
                <w:w w:val="90"/>
                <w:kern w:val="0"/>
                <w:sz w:val="20"/>
                <w:szCs w:val="20"/>
              </w:rPr>
              <w:t>（期底數）</w:t>
            </w:r>
          </w:p>
        </w:tc>
        <w:tc>
          <w:tcPr>
            <w:tcW w:w="1074" w:type="dxa"/>
            <w:vAlign w:val="center"/>
          </w:tcPr>
          <w:p w:rsidR="00943E84" w:rsidRPr="00C0647F" w:rsidRDefault="00943E84" w:rsidP="00943E84">
            <w:pPr>
              <w:widowControl/>
              <w:snapToGrid w:val="0"/>
              <w:spacing w:line="0" w:lineRule="atLeast"/>
              <w:ind w:leftChars="-33" w:left="-79"/>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外匯</w:t>
            </w:r>
          </w:p>
          <w:p w:rsidR="00943E84" w:rsidRPr="00C0647F" w:rsidRDefault="00943E84" w:rsidP="00943E84">
            <w:pPr>
              <w:widowControl/>
              <w:snapToGrid w:val="0"/>
              <w:spacing w:line="0" w:lineRule="atLeast"/>
              <w:ind w:leftChars="-74" w:left="-178"/>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（億美元）</w:t>
            </w:r>
          </w:p>
          <w:p w:rsidR="00943E84" w:rsidRPr="00C0647F" w:rsidRDefault="00943E84" w:rsidP="00943E84">
            <w:pPr>
              <w:snapToGrid w:val="0"/>
              <w:spacing w:line="0" w:lineRule="atLeast"/>
              <w:ind w:leftChars="-56" w:left="-134"/>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（期底數）</w:t>
            </w:r>
          </w:p>
        </w:tc>
        <w:tc>
          <w:tcPr>
            <w:tcW w:w="1012" w:type="dxa"/>
            <w:vAlign w:val="center"/>
          </w:tcPr>
          <w:p w:rsidR="00943E84" w:rsidRPr="00C0647F" w:rsidRDefault="00943E84" w:rsidP="00943E84">
            <w:pPr>
              <w:widowControl/>
              <w:snapToGrid w:val="0"/>
              <w:spacing w:line="0" w:lineRule="atLeast"/>
              <w:ind w:leftChars="-45" w:left="-108"/>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人民幣兌美元匯率（人民幣</w:t>
            </w:r>
            <w:r w:rsidRPr="00C0647F">
              <w:rPr>
                <w:rFonts w:ascii="Times New Roman" w:eastAsia="標楷體" w:hAnsi="Times New Roman" w:cs="Times New Roman"/>
                <w:color w:val="000000" w:themeColor="text1"/>
                <w:kern w:val="0"/>
                <w:sz w:val="20"/>
                <w:szCs w:val="20"/>
              </w:rPr>
              <w:t>/</w:t>
            </w:r>
            <w:r w:rsidRPr="00C0647F">
              <w:rPr>
                <w:rFonts w:ascii="Times New Roman" w:eastAsia="標楷體" w:hAnsi="Times New Roman" w:cs="Times New Roman"/>
                <w:color w:val="000000" w:themeColor="text1"/>
                <w:kern w:val="0"/>
                <w:sz w:val="20"/>
                <w:szCs w:val="20"/>
              </w:rPr>
              <w:t>美元）</w:t>
            </w:r>
          </w:p>
        </w:tc>
        <w:tc>
          <w:tcPr>
            <w:tcW w:w="931" w:type="dxa"/>
            <w:vAlign w:val="center"/>
          </w:tcPr>
          <w:p w:rsidR="00943E84" w:rsidRPr="00C0647F" w:rsidRDefault="00943E84" w:rsidP="00943E84">
            <w:pPr>
              <w:widowControl/>
              <w:snapToGrid w:val="0"/>
              <w:spacing w:line="0" w:lineRule="atLeast"/>
              <w:ind w:leftChars="-45" w:left="-108"/>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名目居民消費物價</w:t>
            </w:r>
          </w:p>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上漲率</w:t>
            </w:r>
          </w:p>
        </w:tc>
        <w:tc>
          <w:tcPr>
            <w:tcW w:w="951" w:type="dxa"/>
            <w:vAlign w:val="center"/>
          </w:tcPr>
          <w:p w:rsidR="00943E84" w:rsidRPr="00C0647F" w:rsidRDefault="00943E84" w:rsidP="00943E84">
            <w:pPr>
              <w:widowControl/>
              <w:snapToGrid w:val="0"/>
              <w:spacing w:line="0" w:lineRule="atLeast"/>
              <w:ind w:leftChars="-45" w:left="-108"/>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名目固定資產投資增加率</w:t>
            </w:r>
          </w:p>
        </w:tc>
        <w:tc>
          <w:tcPr>
            <w:tcW w:w="951" w:type="dxa"/>
            <w:vAlign w:val="center"/>
          </w:tcPr>
          <w:p w:rsidR="00943E84" w:rsidRPr="00C0647F" w:rsidRDefault="00943E84" w:rsidP="00943E84">
            <w:pPr>
              <w:widowControl/>
              <w:snapToGrid w:val="0"/>
              <w:spacing w:line="0" w:lineRule="atLeast"/>
              <w:ind w:leftChars="-50" w:left="-120"/>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名目社會消費品零售總額增加率</w:t>
            </w:r>
          </w:p>
        </w:tc>
        <w:tc>
          <w:tcPr>
            <w:tcW w:w="951" w:type="dxa"/>
            <w:tcBorders>
              <w:right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城鎮失</w:t>
            </w:r>
          </w:p>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0"/>
                <w:szCs w:val="20"/>
              </w:rPr>
            </w:pPr>
            <w:r w:rsidRPr="00C0647F">
              <w:rPr>
                <w:rFonts w:ascii="Times New Roman" w:eastAsia="標楷體" w:hAnsi="Times New Roman" w:cs="Times New Roman"/>
                <w:color w:val="000000" w:themeColor="text1"/>
                <w:kern w:val="0"/>
                <w:sz w:val="20"/>
                <w:szCs w:val="20"/>
              </w:rPr>
              <w:t>業率</w:t>
            </w:r>
          </w:p>
        </w:tc>
      </w:tr>
      <w:tr w:rsidR="00943E84" w:rsidRPr="00C0647F" w:rsidTr="00943E84">
        <w:trPr>
          <w:trHeight w:val="340"/>
          <w:jc w:val="center"/>
        </w:trPr>
        <w:tc>
          <w:tcPr>
            <w:tcW w:w="981" w:type="dxa"/>
            <w:tcBorders>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2007</w:t>
            </w:r>
            <w:r w:rsidRPr="00C0647F">
              <w:rPr>
                <w:rFonts w:ascii="Times New Roman" w:eastAsia="標楷體" w:hAnsi="Times New Roman" w:cs="Times New Roman"/>
                <w:color w:val="000000" w:themeColor="text1"/>
                <w:kern w:val="0"/>
                <w:sz w:val="22"/>
              </w:rPr>
              <w:t>年</w:t>
            </w:r>
          </w:p>
        </w:tc>
        <w:tc>
          <w:tcPr>
            <w:tcW w:w="1135" w:type="dxa"/>
            <w:tcBorders>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270</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092</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14.2</w:t>
            </w:r>
          </w:p>
        </w:tc>
        <w:tc>
          <w:tcPr>
            <w:tcW w:w="1012" w:type="dxa"/>
            <w:tcBorders>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2,694</w:t>
            </w:r>
          </w:p>
        </w:tc>
        <w:tc>
          <w:tcPr>
            <w:tcW w:w="889"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3.7</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15.1</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14.9</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16.0</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21.0</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16.7</w:t>
            </w:r>
          </w:p>
        </w:tc>
        <w:tc>
          <w:tcPr>
            <w:tcW w:w="1074"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15,282</w:t>
            </w:r>
          </w:p>
        </w:tc>
        <w:tc>
          <w:tcPr>
            <w:tcW w:w="1012"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7.305</w:t>
            </w:r>
          </w:p>
        </w:tc>
        <w:tc>
          <w:tcPr>
            <w:tcW w:w="93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4.8</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24.8</w:t>
            </w:r>
          </w:p>
        </w:tc>
        <w:tc>
          <w:tcPr>
            <w:tcW w:w="951" w:type="dxa"/>
            <w:tcBorders>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16.8</w:t>
            </w:r>
          </w:p>
        </w:tc>
        <w:tc>
          <w:tcPr>
            <w:tcW w:w="951" w:type="dxa"/>
            <w:tcBorders>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4.0</w:t>
            </w:r>
          </w:p>
        </w:tc>
      </w:tr>
      <w:tr w:rsidR="00943E84" w:rsidRPr="00C0647F" w:rsidTr="00943E84">
        <w:trPr>
          <w:trHeight w:val="206"/>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2008</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319</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244</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9.</w:t>
            </w:r>
            <w:r>
              <w:rPr>
                <w:rFonts w:ascii="Times New Roman" w:eastAsia="標楷體" w:hAnsi="Times New Roman" w:cs="Times New Roman" w:hint="eastAsia"/>
                <w:color w:val="000000" w:themeColor="text1"/>
                <w:kern w:val="0"/>
                <w:sz w:val="22"/>
              </w:rPr>
              <w:t>7</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3,469</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17.8</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19,460</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6.835</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25.9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21.6</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4.2</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2009</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348</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517</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9.</w:t>
            </w:r>
            <w:r>
              <w:rPr>
                <w:rFonts w:ascii="Times New Roman" w:eastAsia="標楷體" w:hAnsi="Times New Roman" w:cs="Times New Roman" w:hint="eastAsia"/>
                <w:color w:val="000000" w:themeColor="text1"/>
                <w:kern w:val="0"/>
                <w:sz w:val="22"/>
              </w:rPr>
              <w:t>4</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3,833</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4.2</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8.7</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9.6</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32.4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27.7</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23,992</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6.828</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-0.7</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15.5</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4.3</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2010</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412</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119</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10.</w:t>
            </w:r>
            <w:r>
              <w:rPr>
                <w:rFonts w:ascii="Times New Roman" w:eastAsia="標楷體" w:hAnsi="Times New Roman" w:cs="Times New Roman" w:hint="eastAsia"/>
                <w:color w:val="000000" w:themeColor="text1"/>
                <w:kern w:val="0"/>
                <w:sz w:val="22"/>
              </w:rPr>
              <w:t>6</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4,551</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12.3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15.7</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9.8</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21.2</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19.7</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28,473</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6.662</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23.8</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18.4</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2011</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487</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940</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9.</w:t>
            </w:r>
            <w:r>
              <w:rPr>
                <w:rFonts w:ascii="Times New Roman" w:eastAsia="標楷體" w:hAnsi="Times New Roman" w:cs="Times New Roman" w:hint="eastAsia"/>
                <w:color w:val="000000" w:themeColor="text1"/>
                <w:kern w:val="0"/>
                <w:sz w:val="22"/>
              </w:rPr>
              <w:t>6</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5,617</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13.9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13.6</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31,811</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6.328</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23.8</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17.1</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2012</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538</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580</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7.</w:t>
            </w:r>
            <w:r>
              <w:rPr>
                <w:rFonts w:ascii="Times New Roman" w:eastAsia="標楷體" w:hAnsi="Times New Roman" w:cs="Times New Roman" w:hint="eastAsia"/>
                <w:color w:val="000000" w:themeColor="text1"/>
                <w:kern w:val="0"/>
                <w:sz w:val="22"/>
              </w:rPr>
              <w:t>9</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6,321</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4.5</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7.9</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10.0</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6.5</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13.8</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33,116</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6.312</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2.6</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20.6</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14.3</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2013</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592</w:t>
            </w:r>
            <w:r>
              <w:rPr>
                <w:rFonts w:ascii="Times New Roman" w:eastAsia="標楷體" w:hAnsi="Times New Roman" w:cs="Times New Roman" w:hint="eastAsia"/>
                <w:color w:val="000000" w:themeColor="text1"/>
                <w:kern w:val="0"/>
                <w:sz w:val="22"/>
              </w:rPr>
              <w:t>,</w:t>
            </w:r>
            <w:r>
              <w:rPr>
                <w:rFonts w:ascii="Times New Roman" w:eastAsia="標楷體" w:hAnsi="Times New Roman" w:cs="Times New Roman"/>
                <w:color w:val="000000" w:themeColor="text1"/>
                <w:kern w:val="0"/>
                <w:sz w:val="22"/>
              </w:rPr>
              <w:t>963</w:t>
            </w:r>
          </w:p>
        </w:tc>
        <w:tc>
          <w:tcPr>
            <w:tcW w:w="951" w:type="dxa"/>
            <w:tcBorders>
              <w:top w:val="single" w:sz="4" w:space="0" w:color="FFFFFF" w:themeColor="background1"/>
              <w:bottom w:val="single" w:sz="4" w:space="0" w:color="FFFFFF" w:themeColor="background1"/>
            </w:tcBorders>
            <w:vAlign w:val="center"/>
          </w:tcPr>
          <w:p w:rsidR="00943E84" w:rsidRPr="00C0647F" w:rsidRDefault="00AF26E2"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7.</w:t>
            </w:r>
            <w:r>
              <w:rPr>
                <w:rFonts w:ascii="Times New Roman" w:eastAsia="標楷體" w:hAnsi="Times New Roman" w:cs="Times New Roman" w:hint="eastAsia"/>
                <w:color w:val="000000" w:themeColor="text1"/>
                <w:kern w:val="0"/>
                <w:sz w:val="22"/>
              </w:rPr>
              <w:t>8</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7,105</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4.0</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7.8</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9.7</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13.6</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38,213</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6.196</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2.6</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19.6</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13.1</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r>
      <w:tr w:rsidR="00943E84" w:rsidRPr="00C0647F" w:rsidTr="00943E84">
        <w:trPr>
          <w:trHeight w:val="34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2014</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D61E66"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6</w:t>
            </w:r>
            <w:r>
              <w:rPr>
                <w:rFonts w:ascii="Times New Roman" w:eastAsia="標楷體" w:hAnsi="Times New Roman" w:cs="Times New Roman" w:hint="eastAsia"/>
                <w:color w:val="000000" w:themeColor="text1"/>
                <w:kern w:val="0"/>
                <w:sz w:val="22"/>
              </w:rPr>
              <w:t>41,281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7.3</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7,630</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3.2</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12.2</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38,430</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6.119</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15.7</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12.0</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4.1</w:t>
            </w:r>
          </w:p>
        </w:tc>
      </w:tr>
      <w:tr w:rsidR="00943E84" w:rsidRPr="00C0647F" w:rsidTr="00943E84">
        <w:trPr>
          <w:trHeight w:val="184"/>
          <w:jc w:val="center"/>
        </w:trPr>
        <w:tc>
          <w:tcPr>
            <w:tcW w:w="981" w:type="dxa"/>
            <w:tcBorders>
              <w:top w:val="single" w:sz="4" w:space="0" w:color="FFFFFF" w:themeColor="background1"/>
              <w:left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center"/>
              <w:rPr>
                <w:rFonts w:ascii="Times New Roman" w:eastAsia="標楷體" w:hAnsi="Times New Roman" w:cs="Times New Roman"/>
                <w:color w:val="000000" w:themeColor="text1"/>
                <w:sz w:val="22"/>
              </w:rPr>
            </w:pPr>
            <w:r w:rsidRPr="00C0647F">
              <w:rPr>
                <w:rFonts w:ascii="Times New Roman" w:eastAsia="標楷體" w:hAnsi="Times New Roman" w:cs="Times New Roman"/>
                <w:color w:val="000000" w:themeColor="text1"/>
                <w:kern w:val="0"/>
                <w:sz w:val="22"/>
              </w:rPr>
              <w:t>2015</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tcPr>
          <w:p w:rsidR="00943E84" w:rsidRPr="00C0647F" w:rsidRDefault="00D61E66"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6</w:t>
            </w:r>
            <w:r>
              <w:rPr>
                <w:rFonts w:ascii="Times New Roman" w:eastAsia="標楷體" w:hAnsi="Times New Roman" w:cs="Times New Roman" w:hint="eastAsia"/>
                <w:color w:val="000000" w:themeColor="text1"/>
                <w:kern w:val="0"/>
                <w:sz w:val="22"/>
              </w:rPr>
              <w:t>85,993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6.9</w:t>
            </w:r>
          </w:p>
        </w:tc>
        <w:tc>
          <w:tcPr>
            <w:tcW w:w="1012" w:type="dxa"/>
            <w:tcBorders>
              <w:top w:val="single" w:sz="4" w:space="0" w:color="FFFFFF" w:themeColor="background1"/>
              <w:bottom w:val="single" w:sz="4" w:space="0" w:color="FFFFFF" w:themeColor="background1"/>
            </w:tcBorders>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7,962</w:t>
            </w:r>
          </w:p>
        </w:tc>
        <w:tc>
          <w:tcPr>
            <w:tcW w:w="889"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6.1</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15.2</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12.6</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33,303</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6.453</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1.4</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10.7</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5.0</w:t>
            </w:r>
          </w:p>
        </w:tc>
      </w:tr>
      <w:tr w:rsidR="00943E84" w:rsidRPr="00C0647F" w:rsidTr="00943E84">
        <w:trPr>
          <w:trHeight w:val="26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2016</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vAlign w:val="center"/>
          </w:tcPr>
          <w:p w:rsidR="00943E84" w:rsidRPr="00C0647F" w:rsidRDefault="00D61E66" w:rsidP="00943E84">
            <w:pPr>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740,061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6.7</w:t>
            </w:r>
          </w:p>
        </w:tc>
        <w:tc>
          <w:tcPr>
            <w:tcW w:w="1012" w:type="dxa"/>
            <w:tcBorders>
              <w:top w:val="single" w:sz="4" w:space="0" w:color="FFFFFF" w:themeColor="background1"/>
              <w:bottom w:val="single" w:sz="4" w:space="0" w:color="FFFFFF" w:themeColor="background1"/>
            </w:tcBorders>
            <w:vAlign w:val="center"/>
          </w:tcPr>
          <w:p w:rsidR="00943E84" w:rsidRPr="00C0647F" w:rsidRDefault="00ED3D60" w:rsidP="00943E84">
            <w:pPr>
              <w:widowControl/>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8,082</w:t>
            </w:r>
          </w:p>
        </w:tc>
        <w:tc>
          <w:tcPr>
            <w:tcW w:w="889"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3.3</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6.0</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7.8</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21.4</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11.3</w:t>
            </w:r>
          </w:p>
        </w:tc>
        <w:tc>
          <w:tcPr>
            <w:tcW w:w="1074"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30,105</w:t>
            </w:r>
          </w:p>
        </w:tc>
        <w:tc>
          <w:tcPr>
            <w:tcW w:w="1012"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6.922</w:t>
            </w:r>
          </w:p>
        </w:tc>
        <w:tc>
          <w:tcPr>
            <w:tcW w:w="93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951" w:type="dxa"/>
            <w:tcBorders>
              <w:top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10.4</w:t>
            </w:r>
          </w:p>
        </w:tc>
        <w:tc>
          <w:tcPr>
            <w:tcW w:w="951" w:type="dxa"/>
            <w:tcBorders>
              <w:top w:val="single" w:sz="4" w:space="0" w:color="FFFFFF" w:themeColor="background1"/>
              <w:bottom w:val="single" w:sz="4" w:space="0" w:color="FFFFFF" w:themeColor="background1"/>
              <w:right w:val="single" w:sz="4" w:space="0" w:color="FFFFFF" w:themeColor="background1"/>
            </w:tcBorders>
            <w:vAlign w:val="center"/>
          </w:tcPr>
          <w:p w:rsidR="00943E84" w:rsidRPr="00C0647F" w:rsidRDefault="00943E84" w:rsidP="00943E84">
            <w:pPr>
              <w:widowControl/>
              <w:snapToGrid w:val="0"/>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4.9</w:t>
            </w:r>
          </w:p>
        </w:tc>
      </w:tr>
      <w:tr w:rsidR="00943E84" w:rsidRPr="00C0647F" w:rsidTr="00943E84">
        <w:trPr>
          <w:trHeight w:val="6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2017</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tcPr>
          <w:p w:rsidR="00943E84" w:rsidRPr="00C0647F" w:rsidRDefault="00D61E66" w:rsidP="00943E84">
            <w:pPr>
              <w:snapToGrid w:val="0"/>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8</w:t>
            </w:r>
            <w:r>
              <w:rPr>
                <w:rFonts w:ascii="Times New Roman" w:eastAsia="標楷體" w:hAnsi="Times New Roman" w:cs="Times New Roman" w:hint="eastAsia"/>
                <w:color w:val="000000" w:themeColor="text1"/>
                <w:kern w:val="0"/>
                <w:sz w:val="22"/>
              </w:rPr>
              <w:t>20,754</w:t>
            </w:r>
          </w:p>
        </w:tc>
        <w:tc>
          <w:tcPr>
            <w:tcW w:w="951" w:type="dxa"/>
            <w:tcBorders>
              <w:top w:val="single" w:sz="4" w:space="0" w:color="FFFFFF" w:themeColor="background1"/>
              <w:bottom w:val="single" w:sz="4" w:space="0" w:color="FFFFFF" w:themeColor="background1"/>
            </w:tcBorders>
          </w:tcPr>
          <w:p w:rsidR="00943E84" w:rsidRPr="00C0647F" w:rsidRDefault="00D61E66" w:rsidP="00943E84">
            <w:pPr>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color w:val="000000" w:themeColor="text1"/>
                <w:kern w:val="0"/>
                <w:sz w:val="22"/>
              </w:rPr>
              <w:t>6.</w:t>
            </w:r>
            <w:r>
              <w:rPr>
                <w:rFonts w:ascii="Times New Roman" w:eastAsia="標楷體" w:hAnsi="Times New Roman" w:cs="Times New Roman" w:hint="eastAsia"/>
                <w:color w:val="000000" w:themeColor="text1"/>
                <w:kern w:val="0"/>
                <w:sz w:val="22"/>
              </w:rPr>
              <w:t>8</w:t>
            </w:r>
          </w:p>
        </w:tc>
        <w:tc>
          <w:tcPr>
            <w:tcW w:w="1012" w:type="dxa"/>
            <w:tcBorders>
              <w:top w:val="single" w:sz="4" w:space="0" w:color="FFFFFF" w:themeColor="background1"/>
              <w:bottom w:val="single" w:sz="4" w:space="0" w:color="FFFFFF" w:themeColor="background1"/>
            </w:tcBorders>
          </w:tcPr>
          <w:p w:rsidR="00943E84" w:rsidRPr="00C0647F" w:rsidRDefault="00ED3D60" w:rsidP="00943E84">
            <w:pPr>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8,762</w:t>
            </w:r>
          </w:p>
        </w:tc>
        <w:tc>
          <w:tcPr>
            <w:tcW w:w="889"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6.1</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11.8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30,105</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6.534</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7.2</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10.2</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4.9</w:t>
            </w:r>
          </w:p>
        </w:tc>
      </w:tr>
      <w:tr w:rsidR="00943E84" w:rsidRPr="00C0647F" w:rsidTr="00943E84">
        <w:trPr>
          <w:trHeight w:val="305"/>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2018</w:t>
            </w:r>
            <w:r w:rsidRPr="00C0647F">
              <w:rPr>
                <w:rFonts w:ascii="Times New Roman" w:eastAsia="標楷體" w:hAnsi="Times New Roman" w:cs="Times New Roman"/>
                <w:color w:val="000000" w:themeColor="text1"/>
                <w:kern w:val="0"/>
                <w:sz w:val="22"/>
              </w:rPr>
              <w:t>年</w:t>
            </w:r>
          </w:p>
        </w:tc>
        <w:tc>
          <w:tcPr>
            <w:tcW w:w="1135"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900,309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w:t>
            </w:r>
          </w:p>
        </w:tc>
        <w:tc>
          <w:tcPr>
            <w:tcW w:w="1012" w:type="dxa"/>
            <w:tcBorders>
              <w:top w:val="single" w:sz="4" w:space="0" w:color="FFFFFF" w:themeColor="background1"/>
              <w:bottom w:val="single" w:sz="4" w:space="0" w:color="FFFFFF" w:themeColor="background1"/>
            </w:tcBorders>
          </w:tcPr>
          <w:p w:rsidR="00943E84" w:rsidRPr="00C0647F" w:rsidRDefault="00ED3D60" w:rsidP="00943E84">
            <w:pPr>
              <w:spacing w:line="0" w:lineRule="atLeast"/>
              <w:jc w:val="right"/>
              <w:rPr>
                <w:rFonts w:ascii="Times New Roman" w:eastAsia="標楷體" w:hAnsi="Times New Roman" w:cs="Times New Roman"/>
                <w:color w:val="000000" w:themeColor="text1"/>
                <w:kern w:val="0"/>
                <w:sz w:val="22"/>
              </w:rPr>
            </w:pPr>
            <w:r>
              <w:rPr>
                <w:rFonts w:ascii="Times New Roman" w:eastAsia="標楷體" w:hAnsi="Times New Roman" w:cs="Times New Roman" w:hint="eastAsia"/>
                <w:color w:val="000000" w:themeColor="text1"/>
                <w:kern w:val="0"/>
                <w:sz w:val="22"/>
              </w:rPr>
              <w:t>9,776</w:t>
            </w:r>
          </w:p>
        </w:tc>
        <w:tc>
          <w:tcPr>
            <w:tcW w:w="889"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3.5</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6.2</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30,727</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6.863</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9.0</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4.9</w:t>
            </w:r>
          </w:p>
        </w:tc>
      </w:tr>
      <w:tr w:rsidR="00943E84" w:rsidRPr="00C0647F" w:rsidTr="00943E84">
        <w:trPr>
          <w:trHeight w:val="200"/>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第</w:t>
            </w:r>
            <w:r w:rsidRPr="00C0647F">
              <w:rPr>
                <w:rFonts w:ascii="Times New Roman" w:eastAsia="標楷體" w:hAnsi="Times New Roman" w:cs="Times New Roman"/>
                <w:color w:val="000000" w:themeColor="text1"/>
                <w:kern w:val="0"/>
                <w:sz w:val="22"/>
              </w:rPr>
              <w:t>1</w:t>
            </w:r>
            <w:r w:rsidRPr="00C0647F">
              <w:rPr>
                <w:rFonts w:ascii="Times New Roman" w:eastAsia="標楷體" w:hAnsi="Times New Roman" w:cs="Times New Roman"/>
                <w:color w:val="000000" w:themeColor="text1"/>
                <w:kern w:val="0"/>
                <w:sz w:val="22"/>
              </w:rPr>
              <w:t>季</w:t>
            </w:r>
          </w:p>
        </w:tc>
        <w:tc>
          <w:tcPr>
            <w:tcW w:w="1135"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198,783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bookmarkStart w:id="36" w:name="_GoBack"/>
            <w:bookmarkEnd w:id="36"/>
          </w:p>
        </w:tc>
        <w:tc>
          <w:tcPr>
            <w:tcW w:w="889"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3.2</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7.5</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7.1</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8.2</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31,428</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6.288</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2.1</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7.5</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9.8</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5.0</w:t>
            </w:r>
          </w:p>
        </w:tc>
      </w:tr>
      <w:tr w:rsidR="00943E84" w:rsidRPr="00C0647F" w:rsidTr="00943E84">
        <w:trPr>
          <w:trHeight w:val="179"/>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第</w:t>
            </w:r>
            <w:r w:rsidRPr="00C0647F">
              <w:rPr>
                <w:rFonts w:ascii="Times New Roman" w:eastAsia="標楷體" w:hAnsi="Times New Roman" w:cs="Times New Roman"/>
                <w:color w:val="000000" w:themeColor="text1"/>
                <w:kern w:val="0"/>
                <w:sz w:val="22"/>
              </w:rPr>
              <w:t>2</w:t>
            </w:r>
            <w:r w:rsidRPr="00C0647F">
              <w:rPr>
                <w:rFonts w:ascii="Times New Roman" w:eastAsia="標楷體" w:hAnsi="Times New Roman" w:cs="Times New Roman"/>
                <w:color w:val="000000" w:themeColor="text1"/>
                <w:kern w:val="0"/>
                <w:sz w:val="22"/>
              </w:rPr>
              <w:t>季</w:t>
            </w:r>
          </w:p>
        </w:tc>
        <w:tc>
          <w:tcPr>
            <w:tcW w:w="1135"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220,178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6.7</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p>
        </w:tc>
        <w:tc>
          <w:tcPr>
            <w:tcW w:w="889"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3.2</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8.0</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31,121</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6.617</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4.5</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9.0</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4.8</w:t>
            </w:r>
          </w:p>
        </w:tc>
      </w:tr>
      <w:tr w:rsidR="00943E84" w:rsidRPr="00C0647F" w:rsidTr="00943E84">
        <w:trPr>
          <w:trHeight w:val="226"/>
          <w:jc w:val="center"/>
        </w:trPr>
        <w:tc>
          <w:tcPr>
            <w:tcW w:w="981" w:type="dxa"/>
            <w:tcBorders>
              <w:top w:val="single" w:sz="4" w:space="0" w:color="FFFFFF" w:themeColor="background1"/>
              <w:left w:val="single" w:sz="4" w:space="0" w:color="FFFFFF" w:themeColor="background1"/>
              <w:bottom w:val="single" w:sz="4" w:space="0" w:color="FFFFFF" w:themeColor="background1"/>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第</w:t>
            </w:r>
            <w:r w:rsidRPr="00C0647F">
              <w:rPr>
                <w:rFonts w:ascii="Times New Roman" w:eastAsia="標楷體" w:hAnsi="Times New Roman" w:cs="Times New Roman"/>
                <w:color w:val="000000" w:themeColor="text1"/>
                <w:kern w:val="0"/>
                <w:sz w:val="22"/>
              </w:rPr>
              <w:t>3</w:t>
            </w:r>
            <w:r w:rsidRPr="00C0647F">
              <w:rPr>
                <w:rFonts w:ascii="Times New Roman" w:eastAsia="標楷體" w:hAnsi="Times New Roman" w:cs="Times New Roman"/>
                <w:color w:val="000000" w:themeColor="text1"/>
                <w:kern w:val="0"/>
                <w:sz w:val="22"/>
              </w:rPr>
              <w:t>季</w:t>
            </w:r>
          </w:p>
        </w:tc>
        <w:tc>
          <w:tcPr>
            <w:tcW w:w="1135"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231,938</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6.5</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p>
        </w:tc>
        <w:tc>
          <w:tcPr>
            <w:tcW w:w="889"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3.6</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7.9</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4.0</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8.3</w:t>
            </w:r>
          </w:p>
        </w:tc>
        <w:tc>
          <w:tcPr>
            <w:tcW w:w="1074"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30,870</w:t>
            </w:r>
          </w:p>
        </w:tc>
        <w:tc>
          <w:tcPr>
            <w:tcW w:w="1012"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6.879</w:t>
            </w:r>
          </w:p>
        </w:tc>
        <w:tc>
          <w:tcPr>
            <w:tcW w:w="93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2.3</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5.4</w:t>
            </w:r>
          </w:p>
        </w:tc>
        <w:tc>
          <w:tcPr>
            <w:tcW w:w="951" w:type="dxa"/>
            <w:tcBorders>
              <w:top w:val="single" w:sz="4" w:space="0" w:color="FFFFFF" w:themeColor="background1"/>
              <w:bottom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9.0</w:t>
            </w:r>
          </w:p>
        </w:tc>
        <w:tc>
          <w:tcPr>
            <w:tcW w:w="951" w:type="dxa"/>
            <w:tcBorders>
              <w:top w:val="single" w:sz="4" w:space="0" w:color="FFFFFF" w:themeColor="background1"/>
              <w:bottom w:val="single" w:sz="4" w:space="0" w:color="FFFFFF" w:themeColor="background1"/>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5.0</w:t>
            </w:r>
          </w:p>
        </w:tc>
      </w:tr>
      <w:tr w:rsidR="00943E84" w:rsidRPr="00C0647F" w:rsidTr="00943E84">
        <w:trPr>
          <w:trHeight w:val="60"/>
          <w:jc w:val="center"/>
        </w:trPr>
        <w:tc>
          <w:tcPr>
            <w:tcW w:w="981" w:type="dxa"/>
            <w:tcBorders>
              <w:top w:val="single" w:sz="4" w:space="0" w:color="FFFFFF" w:themeColor="background1"/>
              <w:left w:val="single" w:sz="4" w:space="0" w:color="FFFFFF" w:themeColor="background1"/>
              <w:bottom w:val="single" w:sz="4" w:space="0" w:color="auto"/>
            </w:tcBorders>
            <w:vAlign w:val="center"/>
          </w:tcPr>
          <w:p w:rsidR="00943E84" w:rsidRPr="00C0647F" w:rsidRDefault="00943E84" w:rsidP="00943E84">
            <w:pPr>
              <w:snapToGrid w:val="0"/>
              <w:spacing w:line="0" w:lineRule="atLeast"/>
              <w:jc w:val="center"/>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第</w:t>
            </w:r>
            <w:r w:rsidRPr="00C0647F">
              <w:rPr>
                <w:rFonts w:ascii="Times New Roman" w:eastAsia="標楷體" w:hAnsi="Times New Roman" w:cs="Times New Roman"/>
                <w:color w:val="000000" w:themeColor="text1"/>
                <w:kern w:val="0"/>
                <w:sz w:val="22"/>
              </w:rPr>
              <w:t>4</w:t>
            </w:r>
            <w:r w:rsidRPr="00C0647F">
              <w:rPr>
                <w:rFonts w:ascii="Times New Roman" w:eastAsia="標楷體" w:hAnsi="Times New Roman" w:cs="Times New Roman"/>
                <w:color w:val="000000" w:themeColor="text1"/>
                <w:kern w:val="0"/>
                <w:sz w:val="22"/>
              </w:rPr>
              <w:t>季</w:t>
            </w:r>
          </w:p>
        </w:tc>
        <w:tc>
          <w:tcPr>
            <w:tcW w:w="1135"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253,599</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6.4</w:t>
            </w:r>
          </w:p>
        </w:tc>
        <w:tc>
          <w:tcPr>
            <w:tcW w:w="1012"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p>
        </w:tc>
        <w:tc>
          <w:tcPr>
            <w:tcW w:w="889"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3.5</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5.8</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5.4</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7.4</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1.5</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8.1</w:t>
            </w:r>
          </w:p>
        </w:tc>
        <w:tc>
          <w:tcPr>
            <w:tcW w:w="1074"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30,727</w:t>
            </w:r>
          </w:p>
        </w:tc>
        <w:tc>
          <w:tcPr>
            <w:tcW w:w="1012"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6.863</w:t>
            </w:r>
          </w:p>
        </w:tc>
        <w:tc>
          <w:tcPr>
            <w:tcW w:w="93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2.2</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5.9</w:t>
            </w:r>
          </w:p>
        </w:tc>
        <w:tc>
          <w:tcPr>
            <w:tcW w:w="951" w:type="dxa"/>
            <w:tcBorders>
              <w:top w:val="single" w:sz="4" w:space="0" w:color="FFFFFF" w:themeColor="background1"/>
              <w:bottom w:val="single" w:sz="4" w:space="0" w:color="auto"/>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8.2</w:t>
            </w:r>
          </w:p>
        </w:tc>
        <w:tc>
          <w:tcPr>
            <w:tcW w:w="951" w:type="dxa"/>
            <w:tcBorders>
              <w:top w:val="single" w:sz="4" w:space="0" w:color="FFFFFF" w:themeColor="background1"/>
              <w:bottom w:val="single" w:sz="4" w:space="0" w:color="auto"/>
              <w:right w:val="single" w:sz="4" w:space="0" w:color="FFFFFF" w:themeColor="background1"/>
            </w:tcBorders>
          </w:tcPr>
          <w:p w:rsidR="00943E84" w:rsidRPr="00C0647F" w:rsidRDefault="00943E84" w:rsidP="00943E84">
            <w:pPr>
              <w:spacing w:line="0" w:lineRule="atLeast"/>
              <w:jc w:val="right"/>
              <w:rPr>
                <w:rFonts w:ascii="Times New Roman" w:eastAsia="標楷體" w:hAnsi="Times New Roman" w:cs="Times New Roman"/>
                <w:color w:val="000000" w:themeColor="text1"/>
                <w:kern w:val="0"/>
                <w:sz w:val="22"/>
              </w:rPr>
            </w:pPr>
            <w:r w:rsidRPr="00C0647F">
              <w:rPr>
                <w:rFonts w:ascii="Times New Roman" w:eastAsia="標楷體" w:hAnsi="Times New Roman" w:cs="Times New Roman"/>
                <w:color w:val="000000" w:themeColor="text1"/>
                <w:kern w:val="0"/>
                <w:sz w:val="22"/>
              </w:rPr>
              <w:t>4.9</w:t>
            </w:r>
          </w:p>
        </w:tc>
      </w:tr>
    </w:tbl>
    <w:p w:rsidR="00943E84" w:rsidRPr="006E7090" w:rsidRDefault="00943E84" w:rsidP="00943E84">
      <w:pPr>
        <w:widowControl/>
        <w:spacing w:line="240" w:lineRule="exact"/>
        <w:ind w:leftChars="-295" w:left="-708"/>
        <w:jc w:val="both"/>
        <w:rPr>
          <w:rFonts w:eastAsia="標楷體"/>
          <w:color w:val="000000" w:themeColor="text1"/>
          <w:kern w:val="0"/>
          <w:sz w:val="18"/>
          <w:szCs w:val="16"/>
        </w:rPr>
      </w:pPr>
      <w:proofErr w:type="gramStart"/>
      <w:r w:rsidRPr="006E7090">
        <w:rPr>
          <w:rFonts w:eastAsia="標楷體"/>
          <w:color w:val="000000" w:themeColor="text1"/>
          <w:kern w:val="0"/>
          <w:sz w:val="18"/>
          <w:szCs w:val="16"/>
        </w:rPr>
        <w:t>註</w:t>
      </w:r>
      <w:proofErr w:type="gramEnd"/>
      <w:r w:rsidRPr="006E7090">
        <w:rPr>
          <w:rFonts w:eastAsia="標楷體"/>
          <w:color w:val="000000" w:themeColor="text1"/>
          <w:kern w:val="0"/>
          <w:sz w:val="18"/>
          <w:szCs w:val="16"/>
        </w:rPr>
        <w:t>：</w:t>
      </w:r>
      <w:r w:rsidRPr="006E7090">
        <w:rPr>
          <w:rFonts w:eastAsia="標楷體"/>
          <w:color w:val="000000" w:themeColor="text1"/>
          <w:kern w:val="0"/>
          <w:sz w:val="18"/>
          <w:szCs w:val="16"/>
        </w:rPr>
        <w:t>1. *</w:t>
      </w:r>
      <w:r w:rsidRPr="006E7090">
        <w:rPr>
          <w:rFonts w:eastAsia="標楷體"/>
          <w:color w:val="000000" w:themeColor="text1"/>
          <w:kern w:val="0"/>
          <w:sz w:val="18"/>
          <w:szCs w:val="16"/>
        </w:rPr>
        <w:t>中國的二級產業包括工業與建築業，但臺灣的二級產業就是指工業，而工業則包含建築業。</w:t>
      </w:r>
    </w:p>
    <w:p w:rsidR="00943E84" w:rsidRPr="006E7090" w:rsidRDefault="00943E84" w:rsidP="00943E84">
      <w:pPr>
        <w:widowControl/>
        <w:spacing w:line="240" w:lineRule="exact"/>
        <w:ind w:leftChars="-297" w:left="-713"/>
        <w:jc w:val="both"/>
        <w:rPr>
          <w:rFonts w:eastAsia="標楷體"/>
          <w:color w:val="000000" w:themeColor="text1"/>
          <w:kern w:val="0"/>
          <w:sz w:val="18"/>
          <w:szCs w:val="16"/>
        </w:rPr>
      </w:pPr>
      <w:r w:rsidRPr="006E7090">
        <w:rPr>
          <w:rFonts w:eastAsia="標楷體"/>
          <w:color w:val="000000" w:themeColor="text1"/>
          <w:kern w:val="0"/>
          <w:sz w:val="18"/>
          <w:szCs w:val="16"/>
        </w:rPr>
        <w:t xml:space="preserve">    2. </w:t>
      </w:r>
      <w:r w:rsidRPr="006E7090">
        <w:rPr>
          <w:rFonts w:eastAsia="標楷體"/>
          <w:color w:val="000000" w:themeColor="text1"/>
          <w:kern w:val="0"/>
          <w:sz w:val="18"/>
          <w:szCs w:val="16"/>
        </w:rPr>
        <w:t>工業成長率即全國規模以上工業增加值成長率。人民幣兌美元匯率為平均數。</w:t>
      </w:r>
    </w:p>
    <w:p w:rsidR="00943E84" w:rsidRPr="00943E84" w:rsidRDefault="00943E84" w:rsidP="00943E84">
      <w:pPr>
        <w:widowControl/>
        <w:spacing w:line="240" w:lineRule="exact"/>
        <w:ind w:leftChars="-297" w:left="-713"/>
        <w:jc w:val="both"/>
        <w:rPr>
          <w:rFonts w:eastAsia="標楷體"/>
          <w:color w:val="000000" w:themeColor="text1"/>
          <w:kern w:val="0"/>
          <w:sz w:val="18"/>
          <w:szCs w:val="16"/>
        </w:rPr>
      </w:pPr>
      <w:r w:rsidRPr="006E7090">
        <w:rPr>
          <w:rFonts w:eastAsia="標楷體"/>
          <w:color w:val="000000" w:themeColor="text1"/>
          <w:kern w:val="0"/>
          <w:sz w:val="18"/>
          <w:szCs w:val="16"/>
        </w:rPr>
        <w:t xml:space="preserve">    3.</w:t>
      </w:r>
      <w:r w:rsidRPr="006E7090">
        <w:rPr>
          <w:rFonts w:eastAsia="標楷體"/>
          <w:color w:val="000000" w:themeColor="text1"/>
          <w:kern w:val="0"/>
          <w:sz w:val="18"/>
          <w:szCs w:val="20"/>
        </w:rPr>
        <w:t xml:space="preserve"> </w:t>
      </w:r>
      <w:r w:rsidRPr="006E7090">
        <w:rPr>
          <w:rFonts w:eastAsia="標楷體"/>
          <w:color w:val="000000" w:themeColor="text1"/>
          <w:kern w:val="0"/>
          <w:sz w:val="18"/>
          <w:szCs w:val="16"/>
        </w:rPr>
        <w:t>城鎮失業率</w:t>
      </w:r>
      <w:r w:rsidRPr="006E7090">
        <w:rPr>
          <w:rFonts w:eastAsia="標楷體"/>
          <w:color w:val="000000" w:themeColor="text1"/>
          <w:kern w:val="0"/>
          <w:sz w:val="18"/>
          <w:szCs w:val="16"/>
        </w:rPr>
        <w:t>2015</w:t>
      </w:r>
      <w:r w:rsidRPr="006E7090">
        <w:rPr>
          <w:rFonts w:eastAsia="標楷體"/>
          <w:color w:val="000000" w:themeColor="text1"/>
          <w:kern w:val="0"/>
          <w:sz w:val="18"/>
          <w:szCs w:val="16"/>
        </w:rPr>
        <w:t>年後改</w:t>
      </w:r>
      <w:proofErr w:type="gramStart"/>
      <w:r w:rsidRPr="006E7090">
        <w:rPr>
          <w:rFonts w:eastAsia="標楷體"/>
          <w:color w:val="000000" w:themeColor="text1"/>
          <w:kern w:val="0"/>
          <w:sz w:val="18"/>
          <w:szCs w:val="16"/>
        </w:rPr>
        <w:t>採</w:t>
      </w:r>
      <w:proofErr w:type="gramEnd"/>
      <w:r w:rsidRPr="006E7090">
        <w:rPr>
          <w:rFonts w:eastAsia="標楷體"/>
          <w:color w:val="000000" w:themeColor="text1"/>
          <w:kern w:val="0"/>
          <w:sz w:val="18"/>
          <w:szCs w:val="16"/>
        </w:rPr>
        <w:t>31</w:t>
      </w:r>
      <w:r w:rsidRPr="006E7090">
        <w:rPr>
          <w:rFonts w:eastAsia="標楷體"/>
          <w:color w:val="000000" w:themeColor="text1"/>
          <w:kern w:val="0"/>
          <w:sz w:val="18"/>
          <w:szCs w:val="16"/>
        </w:rPr>
        <w:t>個城市調查失業率。</w:t>
      </w:r>
      <w:r>
        <w:rPr>
          <w:rFonts w:eastAsia="標楷體"/>
          <w:color w:val="000000" w:themeColor="text1"/>
          <w:kern w:val="0"/>
          <w:sz w:val="18"/>
          <w:szCs w:val="16"/>
        </w:rPr>
        <w:br/>
      </w:r>
      <w:r w:rsidRPr="006E7090">
        <w:rPr>
          <w:rFonts w:eastAsia="標楷體"/>
          <w:color w:val="000000" w:themeColor="text1"/>
          <w:kern w:val="0"/>
          <w:sz w:val="18"/>
          <w:szCs w:val="16"/>
        </w:rPr>
        <w:t>資料來源：中國大陸國家統計局、</w:t>
      </w:r>
      <w:r w:rsidRPr="006E7090">
        <w:rPr>
          <w:rFonts w:eastAsia="標楷體"/>
          <w:color w:val="000000" w:themeColor="text1"/>
          <w:kern w:val="0"/>
          <w:sz w:val="18"/>
          <w:szCs w:val="16"/>
        </w:rPr>
        <w:t>CEIC</w:t>
      </w:r>
      <w:r w:rsidRPr="006E7090">
        <w:rPr>
          <w:rFonts w:eastAsia="標楷體"/>
          <w:color w:val="000000" w:themeColor="text1"/>
          <w:kern w:val="0"/>
          <w:sz w:val="18"/>
          <w:szCs w:val="16"/>
        </w:rPr>
        <w:t>資料</w:t>
      </w:r>
      <w:r>
        <w:rPr>
          <w:rFonts w:eastAsia="標楷體" w:hint="eastAsia"/>
          <w:color w:val="000000" w:themeColor="text1"/>
          <w:kern w:val="0"/>
          <w:sz w:val="18"/>
          <w:szCs w:val="16"/>
        </w:rPr>
        <w:t>庫</w:t>
      </w:r>
      <w:r w:rsidRPr="006E7090">
        <w:rPr>
          <w:rFonts w:eastAsia="標楷體"/>
          <w:color w:val="000000" w:themeColor="text1"/>
          <w:kern w:val="0"/>
          <w:sz w:val="18"/>
          <w:szCs w:val="16"/>
        </w:rPr>
        <w:t>。</w:t>
      </w:r>
    </w:p>
    <w:sectPr w:rsidR="00943E84" w:rsidRPr="00943E84" w:rsidSect="00943E84">
      <w:pgSz w:w="16838" w:h="11906" w:orient="landscape"/>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2" w:rsidRDefault="00AF26E2" w:rsidP="00532040">
      <w:r>
        <w:separator/>
      </w:r>
    </w:p>
  </w:endnote>
  <w:endnote w:type="continuationSeparator" w:id="0">
    <w:p w:rsidR="00AF26E2" w:rsidRDefault="00AF26E2" w:rsidP="0053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文鼎中楷">
    <w:altName w:val="細明體"/>
    <w:charset w:val="88"/>
    <w:family w:val="modern"/>
    <w:pitch w:val="fixed"/>
    <w:sig w:usb0="00000003" w:usb1="28880000" w:usb2="00000016" w:usb3="00000000" w:csb0="00100000" w:csb1="00000000"/>
  </w:font>
  <w:font w:name="Clarendon Condense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7E3448">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F26E2" w:rsidRDefault="00AF26E2">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00393"/>
      <w:docPartObj>
        <w:docPartGallery w:val="Page Numbers (Bottom of Page)"/>
        <w:docPartUnique/>
      </w:docPartObj>
    </w:sdtPr>
    <w:sdtContent>
      <w:p w:rsidR="00AF26E2" w:rsidRDefault="00AF26E2">
        <w:pPr>
          <w:pStyle w:val="af1"/>
          <w:jc w:val="center"/>
        </w:pPr>
        <w:r>
          <w:fldChar w:fldCharType="begin"/>
        </w:r>
        <w:r>
          <w:instrText>PAGE   \* MERGEFORMAT</w:instrText>
        </w:r>
        <w:r>
          <w:fldChar w:fldCharType="separate"/>
        </w:r>
        <w:r w:rsidR="00ED3D60" w:rsidRPr="00ED3D60">
          <w:rPr>
            <w:noProof/>
            <w:lang w:val="zh-TW"/>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265099"/>
      <w:docPartObj>
        <w:docPartGallery w:val="Page Numbers (Bottom of Page)"/>
        <w:docPartUnique/>
      </w:docPartObj>
    </w:sdtPr>
    <w:sdtContent>
      <w:p w:rsidR="00AF26E2" w:rsidRDefault="00AF26E2">
        <w:pPr>
          <w:pStyle w:val="af1"/>
          <w:jc w:val="center"/>
        </w:pPr>
      </w:p>
      <w:p w:rsidR="00AF26E2" w:rsidRDefault="00AF26E2">
        <w:pPr>
          <w:pStyle w:val="af1"/>
          <w:jc w:val="center"/>
        </w:pPr>
      </w:p>
    </w:sdtContent>
  </w:sdt>
  <w:p w:rsidR="00AF26E2" w:rsidRDefault="00AF26E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50681"/>
      <w:docPartObj>
        <w:docPartGallery w:val="Page Numbers (Bottom of Page)"/>
        <w:docPartUnique/>
      </w:docPartObj>
    </w:sdtPr>
    <w:sdtContent>
      <w:p w:rsidR="00AF26E2" w:rsidRDefault="00AF26E2">
        <w:pPr>
          <w:pStyle w:val="af1"/>
          <w:jc w:val="center"/>
        </w:pPr>
        <w:r>
          <w:fldChar w:fldCharType="begin"/>
        </w:r>
        <w:r>
          <w:instrText>PAGE   \* MERGEFORMAT</w:instrText>
        </w:r>
        <w:r>
          <w:fldChar w:fldCharType="separate"/>
        </w:r>
        <w:r w:rsidR="008C5B5A" w:rsidRPr="008C5B5A">
          <w:rPr>
            <w:noProof/>
            <w:lang w:val="zh-TW"/>
          </w:rPr>
          <w:t>iv</w:t>
        </w:r>
        <w:r>
          <w:fldChar w:fldCharType="end"/>
        </w:r>
      </w:p>
    </w:sdtContent>
  </w:sdt>
  <w:p w:rsidR="00AF26E2" w:rsidRDefault="00AF26E2">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36216"/>
      <w:docPartObj>
        <w:docPartGallery w:val="Page Numbers (Bottom of Page)"/>
        <w:docPartUnique/>
      </w:docPartObj>
    </w:sdtPr>
    <w:sdtContent>
      <w:p w:rsidR="00AF26E2" w:rsidRDefault="00AF26E2">
        <w:pPr>
          <w:pStyle w:val="af1"/>
          <w:jc w:val="center"/>
        </w:pPr>
        <w:r>
          <w:fldChar w:fldCharType="begin"/>
        </w:r>
        <w:r>
          <w:instrText>PAGE   \* MERGEFORMAT</w:instrText>
        </w:r>
        <w:r>
          <w:fldChar w:fldCharType="separate"/>
        </w:r>
        <w:r w:rsidR="008C5B5A" w:rsidRPr="008C5B5A">
          <w:rPr>
            <w:noProof/>
            <w:lang w:val="zh-TW"/>
          </w:rPr>
          <w:t>22</w:t>
        </w:r>
        <w:r>
          <w:fldChar w:fldCharType="end"/>
        </w:r>
      </w:p>
    </w:sdtContent>
  </w:sdt>
  <w:p w:rsidR="00AF26E2" w:rsidRDefault="00AF26E2">
    <w:pPr>
      <w:pStyle w:val="af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5560"/>
      <w:docPartObj>
        <w:docPartGallery w:val="Page Numbers (Bottom of Page)"/>
        <w:docPartUnique/>
      </w:docPartObj>
    </w:sdtPr>
    <w:sdtContent>
      <w:p w:rsidR="00AF26E2" w:rsidRDefault="00AF26E2">
        <w:pPr>
          <w:pStyle w:val="af1"/>
          <w:jc w:val="center"/>
        </w:pPr>
        <w:r>
          <w:fldChar w:fldCharType="begin"/>
        </w:r>
        <w:r>
          <w:instrText>PAGE   \* MERGEFORMAT</w:instrText>
        </w:r>
        <w:r>
          <w:fldChar w:fldCharType="separate"/>
        </w:r>
        <w:r w:rsidRPr="00DD0711">
          <w:rPr>
            <w:noProof/>
            <w:lang w:val="zh-TW"/>
          </w:rPr>
          <w:t>i</w:t>
        </w:r>
        <w:r>
          <w:fldChar w:fldCharType="end"/>
        </w:r>
      </w:p>
    </w:sdtContent>
  </w:sdt>
  <w:p w:rsidR="00AF26E2" w:rsidRDefault="00AF26E2">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644C52">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F26E2" w:rsidRDefault="00AF26E2">
    <w:pPr>
      <w:pStyle w:val="af1"/>
    </w:pPr>
  </w:p>
  <w:p w:rsidR="00AF26E2" w:rsidRDefault="00AF26E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644C52">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F26E2" w:rsidRDefault="00AF26E2">
    <w:pPr>
      <w:pStyle w:val="af1"/>
    </w:pPr>
  </w:p>
  <w:p w:rsidR="00AF26E2" w:rsidRDefault="00AF26E2"/>
  <w:p w:rsidR="00AF26E2" w:rsidRDefault="00AF26E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28790"/>
      <w:docPartObj>
        <w:docPartGallery w:val="Page Numbers (Bottom of Page)"/>
        <w:docPartUnique/>
      </w:docPartObj>
    </w:sdtPr>
    <w:sdtContent>
      <w:p w:rsidR="00AF26E2" w:rsidRDefault="00AF26E2">
        <w:pPr>
          <w:pStyle w:val="af1"/>
          <w:jc w:val="center"/>
        </w:pPr>
        <w:r>
          <w:fldChar w:fldCharType="begin"/>
        </w:r>
        <w:r>
          <w:instrText>PAGE   \* MERGEFORMAT</w:instrText>
        </w:r>
        <w:r>
          <w:fldChar w:fldCharType="separate"/>
        </w:r>
        <w:r w:rsidR="008C5B5A" w:rsidRPr="008C5B5A">
          <w:rPr>
            <w:noProof/>
            <w:lang w:val="zh-TW"/>
          </w:rPr>
          <w:t>23</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644C52">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F26E2" w:rsidRDefault="00AF26E2">
    <w:pPr>
      <w:pStyle w:val="af1"/>
    </w:pPr>
  </w:p>
  <w:p w:rsidR="00AF26E2" w:rsidRDefault="00AF26E2"/>
  <w:p w:rsidR="00AF26E2" w:rsidRDefault="00AF2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2" w:rsidRDefault="00AF26E2" w:rsidP="00532040">
      <w:r>
        <w:separator/>
      </w:r>
    </w:p>
  </w:footnote>
  <w:footnote w:type="continuationSeparator" w:id="0">
    <w:p w:rsidR="00AF26E2" w:rsidRDefault="00AF26E2" w:rsidP="00532040">
      <w:r>
        <w:continuationSeparator/>
      </w:r>
    </w:p>
  </w:footnote>
  <w:footnote w:id="1">
    <w:p w:rsidR="00AF26E2" w:rsidRPr="00614047" w:rsidRDefault="00AF26E2" w:rsidP="007E3448">
      <w:pPr>
        <w:pStyle w:val="ac"/>
        <w:rPr>
          <w:rFonts w:ascii="標楷體" w:eastAsia="標楷體" w:hAnsi="標楷體"/>
        </w:rPr>
      </w:pPr>
      <w:r w:rsidRPr="00614047">
        <w:rPr>
          <w:rStyle w:val="ae"/>
          <w:rFonts w:ascii="標楷體" w:eastAsia="標楷體" w:hAnsi="標楷體"/>
        </w:rPr>
        <w:footnoteRef/>
      </w:r>
      <w:r w:rsidRPr="00614047">
        <w:rPr>
          <w:rFonts w:ascii="標楷體" w:eastAsia="標楷體" w:hAnsi="標楷體" w:hint="eastAsia"/>
          <w:sz w:val="18"/>
          <w:szCs w:val="18"/>
        </w:rPr>
        <w:t>基礎設施不含電力、熱力、燃氣及水生產和供應業。</w:t>
      </w:r>
    </w:p>
  </w:footnote>
  <w:footnote w:id="2">
    <w:p w:rsidR="00AF26E2" w:rsidRPr="008C368F" w:rsidRDefault="00AF26E2">
      <w:pPr>
        <w:pStyle w:val="ac"/>
      </w:pPr>
      <w:r>
        <w:rPr>
          <w:rStyle w:val="ae"/>
        </w:rPr>
        <w:footnoteRef/>
      </w:r>
      <w:r w:rsidRPr="00614047">
        <w:rPr>
          <w:rFonts w:ascii="標楷體" w:eastAsia="標楷體" w:hAnsi="標楷體" w:hint="eastAsia"/>
          <w:sz w:val="18"/>
          <w:szCs w:val="18"/>
        </w:rPr>
        <w:t>規模以上：年營收</w:t>
      </w:r>
      <w:r w:rsidRPr="00ED1F17">
        <w:rPr>
          <w:rFonts w:eastAsia="標楷體"/>
          <w:sz w:val="18"/>
          <w:szCs w:val="18"/>
        </w:rPr>
        <w:t>大於</w:t>
      </w:r>
      <w:r w:rsidRPr="00ED1F17">
        <w:rPr>
          <w:rFonts w:eastAsia="標楷體"/>
          <w:sz w:val="18"/>
          <w:szCs w:val="18"/>
        </w:rPr>
        <w:t>2,000</w:t>
      </w:r>
      <w:r w:rsidRPr="00ED1F17">
        <w:rPr>
          <w:rFonts w:eastAsia="標楷體"/>
          <w:sz w:val="18"/>
          <w:szCs w:val="18"/>
        </w:rPr>
        <w:t>萬人民幣的工業企業或國有工業企業；工業增加值：企業於生產過程中所新增加的價值，即工業生產總值扣除中間投入後的餘額。</w:t>
      </w:r>
    </w:p>
  </w:footnote>
  <w:footnote w:id="3">
    <w:p w:rsidR="00AF26E2" w:rsidRPr="00784003" w:rsidRDefault="00AF26E2">
      <w:pPr>
        <w:pStyle w:val="ac"/>
        <w:rPr>
          <w:rFonts w:ascii="Times New Roman" w:eastAsia="標楷體" w:hAnsi="Times New Roman" w:cs="Times New Roman"/>
        </w:rPr>
      </w:pPr>
      <w:r w:rsidRPr="00784003">
        <w:rPr>
          <w:rStyle w:val="ae"/>
          <w:rFonts w:ascii="Times New Roman" w:eastAsia="標楷體" w:hAnsi="Times New Roman" w:cs="Times New Roman"/>
        </w:rPr>
        <w:footnoteRef/>
      </w:r>
      <w:proofErr w:type="gramStart"/>
      <w:r w:rsidRPr="00784003">
        <w:rPr>
          <w:rFonts w:ascii="Times New Roman" w:eastAsia="標楷體" w:hAnsi="Times New Roman" w:cs="Times New Roman"/>
        </w:rPr>
        <w:t>舉如</w:t>
      </w:r>
      <w:proofErr w:type="gramEnd"/>
      <w:r w:rsidRPr="00784003">
        <w:rPr>
          <w:rFonts w:ascii="Times New Roman" w:eastAsia="標楷體" w:hAnsi="Times New Roman" w:cs="Times New Roman"/>
        </w:rPr>
        <w:t>：</w:t>
      </w:r>
      <w:r w:rsidRPr="00784003">
        <w:rPr>
          <w:rFonts w:ascii="Times New Roman" w:eastAsia="標楷體" w:hAnsi="Times New Roman" w:cs="Times New Roman"/>
        </w:rPr>
        <w:t>2018</w:t>
      </w:r>
      <w:r w:rsidRPr="00784003">
        <w:rPr>
          <w:rFonts w:ascii="Times New Roman" w:eastAsia="標楷體" w:hAnsi="Times New Roman" w:cs="Times New Roman"/>
        </w:rPr>
        <w:t>年</w:t>
      </w:r>
      <w:r w:rsidRPr="00784003">
        <w:rPr>
          <w:rFonts w:ascii="Times New Roman" w:eastAsia="標楷體" w:hAnsi="Times New Roman" w:cs="Times New Roman"/>
        </w:rPr>
        <w:t>1</w:t>
      </w:r>
      <w:r w:rsidRPr="00784003">
        <w:rPr>
          <w:rFonts w:ascii="Times New Roman" w:eastAsia="標楷體" w:hAnsi="Times New Roman" w:cs="Times New Roman"/>
        </w:rPr>
        <w:t>月公布「商業銀行委託貸款管理辦法」，明定商業銀行作為受託人，不得提供各種形式的擔保，並對委託貸款的資金來源、資金用途等進行規範；</w:t>
      </w:r>
      <w:r w:rsidRPr="00784003">
        <w:rPr>
          <w:rFonts w:ascii="Times New Roman" w:eastAsia="標楷體" w:hAnsi="Times New Roman" w:cs="Times New Roman"/>
        </w:rPr>
        <w:t>2018</w:t>
      </w:r>
      <w:r w:rsidRPr="00784003">
        <w:rPr>
          <w:rFonts w:ascii="Times New Roman" w:eastAsia="標楷體" w:hAnsi="Times New Roman" w:cs="Times New Roman"/>
        </w:rPr>
        <w:t>年</w:t>
      </w:r>
      <w:r w:rsidRPr="00784003">
        <w:rPr>
          <w:rFonts w:ascii="Times New Roman" w:eastAsia="標楷體" w:hAnsi="Times New Roman" w:cs="Times New Roman"/>
        </w:rPr>
        <w:t>7</w:t>
      </w:r>
      <w:r w:rsidRPr="00784003">
        <w:rPr>
          <w:rFonts w:ascii="Times New Roman" w:eastAsia="標楷體" w:hAnsi="Times New Roman" w:cs="Times New Roman"/>
        </w:rPr>
        <w:t>月公布「商業銀行理財業務監督管理辦法」，針對理財產品實行</w:t>
      </w:r>
      <w:proofErr w:type="gramStart"/>
      <w:r w:rsidRPr="00784003">
        <w:rPr>
          <w:rFonts w:ascii="Times New Roman" w:eastAsia="標楷體" w:hAnsi="Times New Roman" w:cs="Times New Roman"/>
        </w:rPr>
        <w:t>公募及</w:t>
      </w:r>
      <w:proofErr w:type="gramEnd"/>
      <w:r w:rsidRPr="00784003">
        <w:rPr>
          <w:rFonts w:ascii="Times New Roman" w:eastAsia="標楷體" w:hAnsi="Times New Roman" w:cs="Times New Roman"/>
        </w:rPr>
        <w:t>私募的「分類管理」。</w:t>
      </w:r>
    </w:p>
  </w:footnote>
  <w:footnote w:id="4">
    <w:p w:rsidR="00AF26E2" w:rsidRPr="00784003" w:rsidRDefault="00AF26E2">
      <w:pPr>
        <w:pStyle w:val="ac"/>
        <w:rPr>
          <w:rFonts w:ascii="Times New Roman" w:eastAsia="標楷體" w:hAnsi="Times New Roman" w:cs="Times New Roman"/>
        </w:rPr>
      </w:pPr>
      <w:r w:rsidRPr="00784003">
        <w:rPr>
          <w:rStyle w:val="ae"/>
          <w:rFonts w:ascii="Times New Roman" w:eastAsia="標楷體" w:hAnsi="Times New Roman" w:cs="Times New Roman"/>
        </w:rPr>
        <w:footnoteRef/>
      </w:r>
      <w:r w:rsidRPr="00784003">
        <w:rPr>
          <w:rFonts w:ascii="Times New Roman" w:eastAsia="標楷體" w:hAnsi="Times New Roman" w:cs="Times New Roman"/>
        </w:rPr>
        <w:t>由中共中央和國務院聯合召開，每年召開一次，時間一般在</w:t>
      </w:r>
      <w:r w:rsidRPr="00784003">
        <w:rPr>
          <w:rFonts w:ascii="Times New Roman" w:eastAsia="標楷體" w:hAnsi="Times New Roman" w:cs="Times New Roman"/>
        </w:rPr>
        <w:t>12</w:t>
      </w:r>
      <w:r w:rsidRPr="00784003">
        <w:rPr>
          <w:rFonts w:ascii="Times New Roman" w:eastAsia="標楷體" w:hAnsi="Times New Roman" w:cs="Times New Roman"/>
        </w:rPr>
        <w:t>月，目標為來年的中國大陸經濟發展作出部署。</w:t>
      </w:r>
    </w:p>
  </w:footnote>
  <w:footnote w:id="5">
    <w:p w:rsidR="00AF26E2" w:rsidRPr="00CE7159" w:rsidRDefault="00AF26E2" w:rsidP="00644C52">
      <w:pPr>
        <w:pStyle w:val="ac"/>
      </w:pPr>
      <w:r w:rsidRPr="00784003">
        <w:rPr>
          <w:rStyle w:val="ae"/>
          <w:rFonts w:ascii="Times New Roman" w:eastAsia="標楷體" w:hAnsi="Times New Roman" w:cs="Times New Roman"/>
        </w:rPr>
        <w:footnoteRef/>
      </w:r>
      <w:r w:rsidRPr="00784003">
        <w:rPr>
          <w:rFonts w:ascii="Times New Roman" w:eastAsia="標楷體" w:hAnsi="Times New Roman" w:cs="Times New Roman"/>
        </w:rPr>
        <w:t xml:space="preserve"> EIU</w:t>
      </w:r>
      <w:r w:rsidRPr="00784003">
        <w:rPr>
          <w:rFonts w:ascii="Times New Roman" w:eastAsia="標楷體" w:hAnsi="Times New Roman" w:cs="Times New Roman"/>
        </w:rPr>
        <w:t>表示，中國大陸希望在</w:t>
      </w:r>
      <w:r w:rsidRPr="00784003">
        <w:rPr>
          <w:rFonts w:ascii="Times New Roman" w:eastAsia="標楷體" w:hAnsi="Times New Roman" w:cs="Times New Roman"/>
        </w:rPr>
        <w:t>2020</w:t>
      </w:r>
      <w:r w:rsidRPr="00784003">
        <w:rPr>
          <w:rFonts w:ascii="Times New Roman" w:eastAsia="標楷體" w:hAnsi="Times New Roman" w:cs="Times New Roman"/>
        </w:rPr>
        <w:t>年</w:t>
      </w:r>
      <w:r w:rsidRPr="00784003">
        <w:rPr>
          <w:rFonts w:ascii="Times New Roman" w:eastAsia="標楷體" w:hAnsi="Times New Roman" w:cs="Times New Roman"/>
        </w:rPr>
        <w:t>GDP</w:t>
      </w:r>
      <w:r>
        <w:rPr>
          <w:rFonts w:ascii="Times New Roman" w:eastAsia="標楷體" w:hAnsi="Times New Roman" w:cs="Times New Roman" w:hint="eastAsia"/>
        </w:rPr>
        <w:t>總量為</w:t>
      </w:r>
      <w:r w:rsidRPr="00784003">
        <w:rPr>
          <w:rFonts w:ascii="Times New Roman" w:eastAsia="標楷體" w:hAnsi="Times New Roman" w:cs="Times New Roman"/>
        </w:rPr>
        <w:t>2010</w:t>
      </w:r>
      <w:r w:rsidRPr="00784003">
        <w:rPr>
          <w:rFonts w:ascii="Times New Roman" w:eastAsia="標楷體" w:hAnsi="Times New Roman" w:cs="Times New Roman"/>
        </w:rPr>
        <w:t>年的兩倍，為實現這項目標，預計</w:t>
      </w:r>
      <w:r w:rsidRPr="00784003">
        <w:rPr>
          <w:rFonts w:ascii="Times New Roman" w:eastAsia="標楷體" w:hAnsi="Times New Roman" w:cs="Times New Roman"/>
        </w:rPr>
        <w:t>2018</w:t>
      </w:r>
      <w:r w:rsidRPr="00784003">
        <w:rPr>
          <w:rFonts w:ascii="Times New Roman" w:eastAsia="標楷體" w:hAnsi="Times New Roman" w:cs="Times New Roman"/>
        </w:rPr>
        <w:t>至</w:t>
      </w:r>
      <w:r w:rsidRPr="00784003">
        <w:rPr>
          <w:rFonts w:ascii="Times New Roman" w:eastAsia="標楷體" w:hAnsi="Times New Roman" w:cs="Times New Roman"/>
        </w:rPr>
        <w:t>2020</w:t>
      </w:r>
      <w:r w:rsidRPr="00784003">
        <w:rPr>
          <w:rFonts w:ascii="Times New Roman" w:eastAsia="標楷體" w:hAnsi="Times New Roman" w:cs="Times New Roman"/>
        </w:rPr>
        <w:t>年每年平均</w:t>
      </w:r>
      <w:r w:rsidRPr="00784003">
        <w:rPr>
          <w:rFonts w:ascii="Times New Roman" w:eastAsia="標楷體" w:hAnsi="Times New Roman" w:cs="Times New Roman"/>
        </w:rPr>
        <w:t>GDP</w:t>
      </w:r>
      <w:r>
        <w:rPr>
          <w:rFonts w:ascii="Times New Roman" w:eastAsia="標楷體" w:hAnsi="Times New Roman" w:cs="Times New Roman"/>
        </w:rPr>
        <w:t>大約</w:t>
      </w:r>
      <w:r>
        <w:rPr>
          <w:rFonts w:ascii="Times New Roman" w:eastAsia="標楷體" w:hAnsi="Times New Roman" w:cs="Times New Roman" w:hint="eastAsia"/>
        </w:rPr>
        <w:t>需成</w:t>
      </w:r>
      <w:r w:rsidRPr="00784003">
        <w:rPr>
          <w:rFonts w:ascii="Times New Roman" w:eastAsia="標楷體" w:hAnsi="Times New Roman" w:cs="Times New Roman"/>
        </w:rPr>
        <w:t>長</w:t>
      </w:r>
      <w:r w:rsidRPr="00784003">
        <w:rPr>
          <w:rFonts w:ascii="Times New Roman" w:eastAsia="標楷體" w:hAnsi="Times New Roman" w:cs="Times New Roman"/>
        </w:rPr>
        <w:t>6.3</w:t>
      </w:r>
      <w:r w:rsidRPr="00784003">
        <w:rPr>
          <w:rFonts w:ascii="Times New Roman" w:eastAsia="標楷體" w:hAnsi="Times New Roman" w:cs="Times New Roman"/>
        </w:rPr>
        <w:t>％。</w:t>
      </w:r>
    </w:p>
  </w:footnote>
  <w:footnote w:id="6">
    <w:p w:rsidR="00AF26E2" w:rsidRPr="00C9125E" w:rsidRDefault="00AF26E2">
      <w:pPr>
        <w:pStyle w:val="ac"/>
        <w:rPr>
          <w:rFonts w:ascii="Times New Roman" w:eastAsia="標楷體" w:hAnsi="Times New Roman" w:cs="Times New Roman"/>
        </w:rPr>
      </w:pPr>
      <w:r w:rsidRPr="00C9125E">
        <w:rPr>
          <w:rStyle w:val="ae"/>
          <w:rFonts w:ascii="Times New Roman" w:eastAsia="標楷體" w:hAnsi="Times New Roman" w:cs="Times New Roman"/>
        </w:rPr>
        <w:footnoteRef/>
      </w:r>
      <w:r w:rsidRPr="00C9125E">
        <w:rPr>
          <w:rFonts w:ascii="Times New Roman" w:eastAsia="標楷體" w:hAnsi="Times New Roman" w:cs="Times New Roman"/>
        </w:rPr>
        <w:t>United Nations ESCAP</w:t>
      </w:r>
      <w:r w:rsidRPr="00C9125E">
        <w:rPr>
          <w:rFonts w:ascii="Times New Roman" w:eastAsia="標楷體" w:hAnsi="Times New Roman" w:cs="Times New Roman"/>
        </w:rPr>
        <w:t>，</w:t>
      </w:r>
      <w:r w:rsidRPr="00C9125E">
        <w:rPr>
          <w:rFonts w:ascii="Times New Roman" w:eastAsia="標楷體" w:hAnsi="Times New Roman" w:cs="Times New Roman"/>
        </w:rPr>
        <w:t xml:space="preserve">“ Asia-Pacific Trade and Investment Report 2018: Recent Trends and   </w:t>
      </w:r>
    </w:p>
    <w:p w:rsidR="00AF26E2" w:rsidRPr="00C9125E" w:rsidRDefault="00AF26E2">
      <w:pPr>
        <w:pStyle w:val="ac"/>
        <w:rPr>
          <w:rFonts w:ascii="Times New Roman" w:eastAsia="標楷體" w:hAnsi="Times New Roman" w:cs="Times New Roman"/>
        </w:rPr>
      </w:pPr>
      <w:r w:rsidRPr="00C9125E">
        <w:rPr>
          <w:rFonts w:ascii="Times New Roman" w:eastAsia="標楷體" w:hAnsi="Times New Roman" w:cs="Times New Roman"/>
        </w:rPr>
        <w:t xml:space="preserve"> Developments</w:t>
      </w:r>
      <w:proofErr w:type="gramStart"/>
      <w:r w:rsidRPr="00C9125E">
        <w:rPr>
          <w:rFonts w:ascii="Times New Roman" w:eastAsia="標楷體" w:hAnsi="Times New Roman" w:cs="Times New Roman"/>
        </w:rPr>
        <w:t>”</w:t>
      </w:r>
      <w:proofErr w:type="gramEnd"/>
      <w:r w:rsidRPr="00C9125E">
        <w:rPr>
          <w:rFonts w:ascii="Times New Roman" w:eastAsia="標楷體" w:hAnsi="Times New Roman" w:cs="Times New Roman"/>
        </w:rPr>
        <w:t>，</w:t>
      </w:r>
      <w:r w:rsidRPr="00C9125E">
        <w:rPr>
          <w:rFonts w:ascii="Times New Roman" w:eastAsia="標楷體" w:hAnsi="Times New Roman" w:cs="Times New Roman"/>
        </w:rPr>
        <w:t>12 Dec 2018</w:t>
      </w:r>
      <w:r w:rsidRPr="00C9125E">
        <w:rPr>
          <w:rFonts w:ascii="Times New Roman" w:eastAsia="標楷體" w:hAnsi="Times New Roman" w:cs="Times New Roman"/>
        </w:rPr>
        <w:t>。</w:t>
      </w:r>
    </w:p>
  </w:footnote>
  <w:footnote w:id="7">
    <w:p w:rsidR="00AF26E2" w:rsidRPr="009D7256" w:rsidRDefault="00AF26E2">
      <w:pPr>
        <w:pStyle w:val="ac"/>
      </w:pPr>
      <w:r>
        <w:rPr>
          <w:rStyle w:val="ae"/>
        </w:rPr>
        <w:footnoteRef/>
      </w:r>
      <w:proofErr w:type="gramStart"/>
      <w:r w:rsidRPr="00C9125E">
        <w:rPr>
          <w:rFonts w:ascii="Times New Roman" w:eastAsia="標楷體" w:hAnsi="Times New Roman" w:cs="Times New Roman"/>
        </w:rPr>
        <w:t>惠</w:t>
      </w:r>
      <w:r>
        <w:rPr>
          <w:rFonts w:ascii="Times New Roman" w:eastAsia="標楷體" w:hAnsi="Times New Roman" w:cs="Times New Roman" w:hint="eastAsia"/>
        </w:rPr>
        <w:t>譽</w:t>
      </w:r>
      <w:r w:rsidRPr="00C9125E">
        <w:rPr>
          <w:rFonts w:ascii="Times New Roman" w:eastAsia="標楷體" w:hAnsi="Times New Roman" w:cs="Times New Roman"/>
        </w:rPr>
        <w:t>新聞稿</w:t>
      </w:r>
      <w:proofErr w:type="gramEnd"/>
      <w:r w:rsidRPr="00C9125E">
        <w:rPr>
          <w:rFonts w:ascii="Times New Roman" w:eastAsia="標楷體" w:hAnsi="Times New Roman" w:cs="Times New Roman"/>
        </w:rPr>
        <w:t>，「</w:t>
      </w:r>
      <w:r w:rsidRPr="00C9125E">
        <w:rPr>
          <w:rFonts w:ascii="Times New Roman" w:eastAsia="標楷體" w:hAnsi="Times New Roman" w:cs="Times New Roman"/>
        </w:rPr>
        <w:t>2019</w:t>
      </w:r>
      <w:r w:rsidRPr="00C9125E">
        <w:rPr>
          <w:rFonts w:ascii="Times New Roman" w:eastAsia="標楷體" w:hAnsi="Times New Roman" w:cs="Times New Roman"/>
        </w:rPr>
        <w:t>年中國的債券違約仍將上升，雖然政策有所寬鬆」，</w:t>
      </w:r>
      <w:r w:rsidRPr="00C9125E">
        <w:rPr>
          <w:rFonts w:ascii="Times New Roman" w:eastAsia="標楷體" w:hAnsi="Times New Roman" w:cs="Times New Roman"/>
        </w:rPr>
        <w:t>2018</w:t>
      </w:r>
      <w:r w:rsidRPr="00C9125E">
        <w:rPr>
          <w:rFonts w:ascii="Times New Roman" w:eastAsia="標楷體" w:hAnsi="Times New Roman" w:cs="Times New Roman"/>
        </w:rPr>
        <w:t>年</w:t>
      </w:r>
      <w:r w:rsidRPr="00C9125E">
        <w:rPr>
          <w:rFonts w:ascii="Times New Roman" w:eastAsia="標楷體" w:hAnsi="Times New Roman" w:cs="Times New Roman"/>
        </w:rPr>
        <w:t>10</w:t>
      </w:r>
      <w:r w:rsidRPr="00C9125E">
        <w:rPr>
          <w:rFonts w:ascii="Times New Roman" w:eastAsia="標楷體" w:hAnsi="Times New Roman" w:cs="Times New Roman"/>
        </w:rPr>
        <w:t>月</w:t>
      </w:r>
      <w:r w:rsidRPr="00C9125E">
        <w:rPr>
          <w:rFonts w:ascii="Times New Roman" w:eastAsia="標楷體" w:hAnsi="Times New Roman" w:cs="Times New Roman"/>
        </w:rPr>
        <w:t>17</w:t>
      </w:r>
      <w:r w:rsidRPr="00C9125E">
        <w:rPr>
          <w:rFonts w:ascii="Times New Roman" w:eastAsia="標楷體" w:hAnsi="Times New Roman" w:cs="Times New Roman"/>
        </w:rPr>
        <w:t>日。</w:t>
      </w:r>
    </w:p>
  </w:footnote>
  <w:footnote w:id="8">
    <w:p w:rsidR="00AF26E2" w:rsidRPr="00737E41" w:rsidRDefault="00AF26E2">
      <w:pPr>
        <w:pStyle w:val="ac"/>
      </w:pPr>
      <w:r w:rsidRPr="00C9125E">
        <w:rPr>
          <w:rStyle w:val="ae"/>
          <w:rFonts w:ascii="Times New Roman" w:eastAsia="標楷體" w:hAnsi="Times New Roman" w:cs="Times New Roman"/>
        </w:rPr>
        <w:footnoteRef/>
      </w:r>
      <w:r w:rsidRPr="00C9125E">
        <w:rPr>
          <w:rFonts w:ascii="Times New Roman" w:eastAsia="標楷體" w:hAnsi="Times New Roman" w:cs="Times New Roman"/>
        </w:rPr>
        <w:t>包括：</w:t>
      </w:r>
      <w:r w:rsidRPr="00C9125E">
        <w:rPr>
          <w:rFonts w:ascii="Times New Roman" w:eastAsia="標楷體" w:hAnsi="Times New Roman" w:cs="Times New Roman"/>
        </w:rPr>
        <w:t>4</w:t>
      </w:r>
      <w:r w:rsidRPr="00C9125E">
        <w:rPr>
          <w:rFonts w:ascii="Times New Roman" w:eastAsia="標楷體" w:hAnsi="Times New Roman" w:cs="Times New Roman"/>
        </w:rPr>
        <w:t>月推出支持創業、創新和小型企業發展等</w:t>
      </w:r>
      <w:r w:rsidRPr="00C9125E">
        <w:rPr>
          <w:rFonts w:ascii="Times New Roman" w:eastAsia="標楷體" w:hAnsi="Times New Roman" w:cs="Times New Roman"/>
        </w:rPr>
        <w:t>7</w:t>
      </w:r>
      <w:r w:rsidRPr="00C9125E">
        <w:rPr>
          <w:rFonts w:ascii="Times New Roman" w:eastAsia="標楷體" w:hAnsi="Times New Roman" w:cs="Times New Roman"/>
        </w:rPr>
        <w:t>項減稅措施、</w:t>
      </w:r>
      <w:r w:rsidRPr="00C9125E">
        <w:rPr>
          <w:rFonts w:ascii="Times New Roman" w:eastAsia="標楷體" w:hAnsi="Times New Roman" w:cs="Times New Roman"/>
        </w:rPr>
        <w:t>9</w:t>
      </w:r>
      <w:r w:rsidRPr="00C9125E">
        <w:rPr>
          <w:rFonts w:ascii="Times New Roman" w:eastAsia="標楷體" w:hAnsi="Times New Roman" w:cs="Times New Roman"/>
        </w:rPr>
        <w:t>月對</w:t>
      </w:r>
      <w:proofErr w:type="gramStart"/>
      <w:r w:rsidRPr="00C9125E">
        <w:rPr>
          <w:rFonts w:ascii="Times New Roman" w:eastAsia="標楷體" w:hAnsi="Times New Roman" w:cs="Times New Roman"/>
        </w:rPr>
        <w:t>跨境電商</w:t>
      </w:r>
      <w:proofErr w:type="gramEnd"/>
      <w:r w:rsidRPr="00C9125E">
        <w:rPr>
          <w:rFonts w:ascii="Times New Roman" w:eastAsia="標楷體" w:hAnsi="Times New Roman" w:cs="Times New Roman"/>
        </w:rPr>
        <w:t>出口試行增值稅、消費稅免稅、</w:t>
      </w:r>
      <w:r w:rsidRPr="00C9125E">
        <w:rPr>
          <w:rFonts w:ascii="Times New Roman" w:eastAsia="標楷體" w:hAnsi="Times New Roman" w:cs="Times New Roman"/>
        </w:rPr>
        <w:t>11</w:t>
      </w:r>
      <w:r w:rsidRPr="00C9125E">
        <w:rPr>
          <w:rFonts w:ascii="Times New Roman" w:eastAsia="標楷體" w:hAnsi="Times New Roman" w:cs="Times New Roman"/>
        </w:rPr>
        <w:t>月調降</w:t>
      </w:r>
      <w:r w:rsidRPr="00C9125E">
        <w:rPr>
          <w:rFonts w:ascii="Times New Roman" w:eastAsia="標楷體" w:hAnsi="Times New Roman" w:cs="Times New Roman"/>
        </w:rPr>
        <w:t>1585</w:t>
      </w:r>
      <w:r w:rsidRPr="00C9125E">
        <w:rPr>
          <w:rFonts w:ascii="Times New Roman" w:eastAsia="標楷體" w:hAnsi="Times New Roman" w:cs="Times New Roman"/>
        </w:rPr>
        <w:t>個工業品進口關稅及出口退稅率、</w:t>
      </w:r>
      <w:r w:rsidRPr="00C9125E">
        <w:rPr>
          <w:rFonts w:ascii="Times New Roman" w:eastAsia="標楷體" w:hAnsi="Times New Roman" w:cs="Times New Roman"/>
        </w:rPr>
        <w:t>10</w:t>
      </w:r>
      <w:r w:rsidRPr="00C9125E">
        <w:rPr>
          <w:rFonts w:ascii="Times New Roman" w:eastAsia="標楷體" w:hAnsi="Times New Roman" w:cs="Times New Roman"/>
        </w:rPr>
        <w:t>月公布個人所得稅法實施條例（修訂草案徵求意見稿）。</w:t>
      </w:r>
    </w:p>
  </w:footnote>
  <w:footnote w:id="9">
    <w:p w:rsidR="00AF26E2" w:rsidRPr="00D74201" w:rsidRDefault="00AF26E2" w:rsidP="00737E41">
      <w:pPr>
        <w:pStyle w:val="ac"/>
      </w:pPr>
      <w:r>
        <w:rPr>
          <w:rStyle w:val="ae"/>
        </w:rPr>
        <w:footnoteRef/>
      </w:r>
      <w:r w:rsidRPr="00D74201">
        <w:rPr>
          <w:rFonts w:hint="eastAsia"/>
        </w:rPr>
        <w:t>歷史經驗顯示，</w:t>
      </w:r>
      <w:r w:rsidRPr="00D74201">
        <w:rPr>
          <w:rFonts w:hint="eastAsia"/>
        </w:rPr>
        <w:t>811</w:t>
      </w:r>
      <w:proofErr w:type="gramStart"/>
      <w:r w:rsidRPr="00D74201">
        <w:rPr>
          <w:rFonts w:hint="eastAsia"/>
        </w:rPr>
        <w:t>匯改後</w:t>
      </w:r>
      <w:proofErr w:type="gramEnd"/>
      <w:r w:rsidRPr="00D74201">
        <w:rPr>
          <w:rFonts w:hint="eastAsia"/>
        </w:rPr>
        <w:t>，人民幣匯率開始大跌，隨後資本外逃。資金持續的外逃，反過來加大匯率貶值速度；更嚴重的是，資本外流從房市、股市中抽走資金，可能引爆房市、股市、債市泡沫，導致經濟危機。</w:t>
      </w:r>
    </w:p>
    <w:p w:rsidR="00AF26E2" w:rsidRPr="00737E41" w:rsidRDefault="00AF26E2">
      <w:pPr>
        <w:pStyle w:val="ac"/>
      </w:pPr>
    </w:p>
  </w:footnote>
  <w:footnote w:id="10">
    <w:p w:rsidR="00AF26E2" w:rsidRDefault="00AF26E2" w:rsidP="00644C52">
      <w:pPr>
        <w:pStyle w:val="ac"/>
      </w:pPr>
      <w:r>
        <w:rPr>
          <w:rStyle w:val="ae"/>
        </w:rPr>
        <w:footnoteRef/>
      </w:r>
      <w:r w:rsidRPr="00CE4B2C">
        <w:rPr>
          <w:rFonts w:ascii="標楷體" w:eastAsia="標楷體" w:hAnsi="標楷體"/>
        </w:rPr>
        <w:t xml:space="preserve"> </w:t>
      </w:r>
      <w:r w:rsidRPr="00CE4B2C">
        <w:rPr>
          <w:rFonts w:ascii="標楷體" w:eastAsia="標楷體" w:hAnsi="標楷體" w:hint="eastAsia"/>
        </w:rPr>
        <w:t>中國大陸於</w:t>
      </w:r>
      <w:r w:rsidRPr="00CE4B2C">
        <w:rPr>
          <w:rFonts w:ascii="標楷體" w:eastAsia="標楷體" w:hAnsi="標楷體"/>
        </w:rPr>
        <w:t>2018</w:t>
      </w:r>
      <w:r w:rsidRPr="00CE4B2C">
        <w:rPr>
          <w:rFonts w:ascii="標楷體" w:eastAsia="標楷體" w:hAnsi="標楷體" w:hint="eastAsia"/>
        </w:rPr>
        <w:t>年</w:t>
      </w:r>
      <w:r w:rsidRPr="00CE4B2C">
        <w:rPr>
          <w:rFonts w:ascii="標楷體" w:eastAsia="標楷體" w:hAnsi="標楷體"/>
        </w:rPr>
        <w:t>3</w:t>
      </w:r>
      <w:r w:rsidRPr="00CE4B2C">
        <w:rPr>
          <w:rFonts w:ascii="標楷體" w:eastAsia="標楷體" w:hAnsi="標楷體" w:hint="eastAsia"/>
        </w:rPr>
        <w:t>月</w:t>
      </w:r>
      <w:r w:rsidRPr="00CE4B2C">
        <w:rPr>
          <w:rFonts w:ascii="標楷體" w:eastAsia="標楷體" w:hAnsi="標楷體"/>
        </w:rPr>
        <w:t>1</w:t>
      </w:r>
      <w:r w:rsidRPr="00CE4B2C">
        <w:rPr>
          <w:rFonts w:ascii="標楷體" w:eastAsia="標楷體" w:hAnsi="標楷體" w:hint="eastAsia"/>
        </w:rPr>
        <w:t>日起正式</w:t>
      </w:r>
      <w:r>
        <w:rPr>
          <w:rFonts w:ascii="標楷體" w:eastAsia="標楷體" w:hAnsi="標楷體" w:hint="eastAsia"/>
        </w:rPr>
        <w:t>實</w:t>
      </w:r>
      <w:r w:rsidRPr="00CE4B2C">
        <w:rPr>
          <w:rFonts w:ascii="標楷體" w:eastAsia="標楷體" w:hAnsi="標楷體" w:hint="eastAsia"/>
        </w:rPr>
        <w:t>施《進口可用作原料的固體廢物環境保護控制標準—廢有色金屬》。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0E136C">
    <w:pPr>
      <w:pStyle w:val="af"/>
    </w:pPr>
  </w:p>
  <w:p w:rsidR="00AF26E2" w:rsidRPr="000E136C" w:rsidRDefault="00AF26E2" w:rsidP="000E136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2" w:rsidRDefault="00AF26E2" w:rsidP="000E136C">
    <w:pPr>
      <w:pStyle w:val="af"/>
    </w:pPr>
  </w:p>
  <w:p w:rsidR="00AF26E2" w:rsidRPr="000E136C" w:rsidRDefault="00AF26E2" w:rsidP="000E136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2BA"/>
    <w:multiLevelType w:val="hybridMultilevel"/>
    <w:tmpl w:val="C55CDAD6"/>
    <w:lvl w:ilvl="0" w:tplc="04090017">
      <w:start w:val="1"/>
      <w:numFmt w:val="ideographLegalTraditional"/>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10596"/>
    <w:multiLevelType w:val="hybridMultilevel"/>
    <w:tmpl w:val="E3C0C410"/>
    <w:lvl w:ilvl="0" w:tplc="18D290D6">
      <w:start w:val="1"/>
      <w:numFmt w:val="decimal"/>
      <w:suff w:val="space"/>
      <w:lvlText w:val="%1."/>
      <w:lvlJc w:val="left"/>
      <w:pPr>
        <w:ind w:left="286" w:firstLine="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
    <w:nsid w:val="09594FFF"/>
    <w:multiLevelType w:val="hybridMultilevel"/>
    <w:tmpl w:val="29309826"/>
    <w:lvl w:ilvl="0" w:tplc="65084C78">
      <w:start w:val="1"/>
      <w:numFmt w:val="bullet"/>
      <w:suff w:val="space"/>
      <w:lvlText w:val=""/>
      <w:lvlJc w:val="left"/>
      <w:pPr>
        <w:ind w:left="0" w:firstLine="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7691B"/>
    <w:multiLevelType w:val="hybridMultilevel"/>
    <w:tmpl w:val="BD96D5F6"/>
    <w:lvl w:ilvl="0" w:tplc="5A943474">
      <w:start w:val="1"/>
      <w:numFmt w:val="bullet"/>
      <w:suff w:val="space"/>
      <w:lvlText w:val="—"/>
      <w:lvlJc w:val="left"/>
      <w:pPr>
        <w:ind w:left="480" w:firstLine="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08978B8"/>
    <w:multiLevelType w:val="hybridMultilevel"/>
    <w:tmpl w:val="B0204112"/>
    <w:lvl w:ilvl="0" w:tplc="28B62EE6">
      <w:start w:val="1"/>
      <w:numFmt w:val="bullet"/>
      <w:suff w:val="space"/>
      <w:lvlText w:val="—"/>
      <w:lvlJc w:val="left"/>
      <w:pPr>
        <w:ind w:left="960" w:firstLine="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13FB2EE3"/>
    <w:multiLevelType w:val="hybridMultilevel"/>
    <w:tmpl w:val="08B8DC70"/>
    <w:lvl w:ilvl="0" w:tplc="E71A5A2E">
      <w:start w:val="1"/>
      <w:numFmt w:val="bullet"/>
      <w:lvlText w:val="—"/>
      <w:lvlJc w:val="left"/>
      <w:pPr>
        <w:ind w:left="766"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A547CD"/>
    <w:multiLevelType w:val="hybridMultilevel"/>
    <w:tmpl w:val="D0587956"/>
    <w:lvl w:ilvl="0" w:tplc="EB604F48">
      <w:start w:val="2"/>
      <w:numFmt w:val="taiwaneseCountingThousand"/>
      <w:suff w:val="space"/>
      <w:lvlText w:val="%1、"/>
      <w:lvlJc w:val="left"/>
      <w:pPr>
        <w:ind w:left="0" w:firstLine="0"/>
      </w:pPr>
      <w:rPr>
        <w:rFonts w:hint="eastAsia"/>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7">
    <w:nsid w:val="1FF001CF"/>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8">
    <w:nsid w:val="20A1658F"/>
    <w:multiLevelType w:val="hybridMultilevel"/>
    <w:tmpl w:val="82045D46"/>
    <w:lvl w:ilvl="0" w:tplc="15BABDD2">
      <w:start w:val="1"/>
      <w:numFmt w:val="taiwaneseCountingThousand"/>
      <w:suff w:val="space"/>
      <w:lvlText w:val="(%1)"/>
      <w:lvlJc w:val="left"/>
      <w:pPr>
        <w:ind w:left="0"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1C771B"/>
    <w:multiLevelType w:val="hybridMultilevel"/>
    <w:tmpl w:val="25709ABE"/>
    <w:lvl w:ilvl="0" w:tplc="65B099A6">
      <w:start w:val="1"/>
      <w:numFmt w:val="bullet"/>
      <w:lvlText w:val="—"/>
      <w:lvlJc w:val="left"/>
      <w:pPr>
        <w:ind w:left="1331" w:hanging="480"/>
      </w:pPr>
      <w:rPr>
        <w:rFonts w:ascii="標楷體" w:eastAsia="標楷體" w:hAnsi="標楷體"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0">
    <w:nsid w:val="241E45EE"/>
    <w:multiLevelType w:val="hybridMultilevel"/>
    <w:tmpl w:val="7B5ABB54"/>
    <w:lvl w:ilvl="0" w:tplc="6EB804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F65F84"/>
    <w:multiLevelType w:val="hybridMultilevel"/>
    <w:tmpl w:val="2A4058D2"/>
    <w:lvl w:ilvl="0" w:tplc="03C03EE8">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328377C4"/>
    <w:multiLevelType w:val="multilevel"/>
    <w:tmpl w:val="C6262BAC"/>
    <w:lvl w:ilvl="0">
      <w:start w:val="1"/>
      <w:numFmt w:val="taiwaneseCountingThousand"/>
      <w:lvlText w:val="%1、"/>
      <w:lvlJc w:val="left"/>
      <w:pPr>
        <w:ind w:left="1430" w:hanging="720"/>
      </w:pPr>
      <w:rPr>
        <w:rFonts w:hint="default"/>
      </w:rPr>
    </w:lvl>
    <w:lvl w:ilvl="1">
      <w:start w:val="1"/>
      <w:numFmt w:val="taiwaneseCountingThousand"/>
      <w:pStyle w:val="2"/>
      <w:lvlText w:val="%2、"/>
      <w:lvlJc w:val="left"/>
      <w:pPr>
        <w:ind w:left="1670" w:hanging="480"/>
      </w:pPr>
      <w:rPr>
        <w:rFonts w:hint="eastAsia"/>
      </w:rPr>
    </w:lvl>
    <w:lvl w:ilvl="2">
      <w:start w:val="1"/>
      <w:numFmt w:val="taiwaneseCountingThousand"/>
      <w:pStyle w:val="3"/>
      <w:lvlText w:val="（%3）"/>
      <w:lvlJc w:val="left"/>
      <w:pPr>
        <w:ind w:left="1383" w:hanging="480"/>
      </w:pPr>
      <w:rPr>
        <w:b w:val="0"/>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30" w:hanging="480"/>
      </w:pPr>
      <w:rPr>
        <w:rFonts w:hint="eastAsia"/>
      </w:rPr>
    </w:lvl>
    <w:lvl w:ilvl="4">
      <w:start w:val="1"/>
      <w:numFmt w:val="ideographTraditional"/>
      <w:lvlText w:val="%5、"/>
      <w:lvlJc w:val="left"/>
      <w:pPr>
        <w:ind w:left="3110" w:hanging="480"/>
      </w:pPr>
      <w:rPr>
        <w:rFonts w:hint="eastAsia"/>
      </w:rPr>
    </w:lvl>
    <w:lvl w:ilvl="5">
      <w:start w:val="1"/>
      <w:numFmt w:val="lowerRoman"/>
      <w:lvlText w:val="%6."/>
      <w:lvlJc w:val="right"/>
      <w:pPr>
        <w:ind w:left="3590" w:hanging="480"/>
      </w:pPr>
      <w:rPr>
        <w:rFonts w:hint="eastAsia"/>
      </w:rPr>
    </w:lvl>
    <w:lvl w:ilvl="6">
      <w:start w:val="1"/>
      <w:numFmt w:val="decimal"/>
      <w:lvlText w:val="%7."/>
      <w:lvlJc w:val="left"/>
      <w:pPr>
        <w:ind w:left="4070" w:hanging="480"/>
      </w:pPr>
      <w:rPr>
        <w:rFonts w:hint="eastAsia"/>
      </w:rPr>
    </w:lvl>
    <w:lvl w:ilvl="7">
      <w:start w:val="1"/>
      <w:numFmt w:val="ideographTraditional"/>
      <w:lvlText w:val="%8、"/>
      <w:lvlJc w:val="left"/>
      <w:pPr>
        <w:ind w:left="4550" w:hanging="480"/>
      </w:pPr>
      <w:rPr>
        <w:rFonts w:hint="eastAsia"/>
      </w:rPr>
    </w:lvl>
    <w:lvl w:ilvl="8">
      <w:start w:val="1"/>
      <w:numFmt w:val="lowerRoman"/>
      <w:lvlText w:val="%9."/>
      <w:lvlJc w:val="right"/>
      <w:pPr>
        <w:ind w:left="5030" w:hanging="480"/>
      </w:pPr>
      <w:rPr>
        <w:rFonts w:hint="eastAsia"/>
      </w:rPr>
    </w:lvl>
  </w:abstractNum>
  <w:abstractNum w:abstractNumId="13">
    <w:nsid w:val="34640EEC"/>
    <w:multiLevelType w:val="hybridMultilevel"/>
    <w:tmpl w:val="AD9CB032"/>
    <w:lvl w:ilvl="0" w:tplc="1CF2F9A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5C2F72"/>
    <w:multiLevelType w:val="hybridMultilevel"/>
    <w:tmpl w:val="6DE6A53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5">
    <w:nsid w:val="3AE351C7"/>
    <w:multiLevelType w:val="hybridMultilevel"/>
    <w:tmpl w:val="132E4BBA"/>
    <w:lvl w:ilvl="0" w:tplc="65B099A6">
      <w:start w:val="1"/>
      <w:numFmt w:val="bullet"/>
      <w:lvlText w:val="—"/>
      <w:lvlJc w:val="left"/>
      <w:pPr>
        <w:ind w:left="0" w:firstLine="0"/>
      </w:pPr>
      <w:rPr>
        <w:rFonts w:ascii="標楷體" w:eastAsia="標楷體" w:hAnsi="標楷體" w:hint="eastAsia"/>
      </w:rPr>
    </w:lvl>
    <w:lvl w:ilvl="1" w:tplc="04090003">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6">
    <w:nsid w:val="4AA97BCA"/>
    <w:multiLevelType w:val="hybridMultilevel"/>
    <w:tmpl w:val="AD68FFB4"/>
    <w:lvl w:ilvl="0" w:tplc="65B099A6">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505E729C"/>
    <w:multiLevelType w:val="hybridMultilevel"/>
    <w:tmpl w:val="831E906A"/>
    <w:lvl w:ilvl="0" w:tplc="1114AAF2">
      <w:start w:val="1"/>
      <w:numFmt w:val="bullet"/>
      <w:suff w:val="space"/>
      <w:lvlText w:val="—"/>
      <w:lvlJc w:val="left"/>
      <w:pPr>
        <w:ind w:left="480" w:firstLine="0"/>
      </w:pPr>
      <w:rPr>
        <w:rFonts w:ascii="標楷體" w:eastAsia="標楷體" w:hAnsi="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nsid w:val="53BA586E"/>
    <w:multiLevelType w:val="hybridMultilevel"/>
    <w:tmpl w:val="FA760B04"/>
    <w:lvl w:ilvl="0" w:tplc="7D7C6292">
      <w:start w:val="1"/>
      <w:numFmt w:val="bullet"/>
      <w:suff w:val="space"/>
      <w:lvlText w:val="—"/>
      <w:lvlJc w:val="left"/>
      <w:pPr>
        <w:ind w:left="960" w:firstLine="0"/>
      </w:pPr>
      <w:rPr>
        <w:rFonts w:ascii="標楷體" w:eastAsia="標楷體" w:hAnsi="標楷體" w:hint="eastAsia"/>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nsid w:val="59F01EB5"/>
    <w:multiLevelType w:val="hybridMultilevel"/>
    <w:tmpl w:val="85A4637A"/>
    <w:lvl w:ilvl="0" w:tplc="03C03EE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ED60CFE"/>
    <w:multiLevelType w:val="hybridMultilevel"/>
    <w:tmpl w:val="5AB0703A"/>
    <w:lvl w:ilvl="0" w:tplc="E5244614">
      <w:start w:val="1"/>
      <w:numFmt w:val="ideographLegalTraditional"/>
      <w:pStyle w:val="1"/>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1">
    <w:nsid w:val="5EFA560C"/>
    <w:multiLevelType w:val="hybridMultilevel"/>
    <w:tmpl w:val="E1724E5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63550CA4"/>
    <w:multiLevelType w:val="hybridMultilevel"/>
    <w:tmpl w:val="CF2676C2"/>
    <w:lvl w:ilvl="0" w:tplc="632274D2">
      <w:start w:val="1"/>
      <w:numFmt w:val="taiwaneseCountingThousand"/>
      <w:lvlText w:val="(%1)"/>
      <w:lvlJc w:val="left"/>
      <w:pPr>
        <w:ind w:left="5159" w:hanging="480"/>
      </w:pPr>
      <w:rPr>
        <w:rFonts w:hint="eastAsia"/>
      </w:rPr>
    </w:lvl>
    <w:lvl w:ilvl="1" w:tplc="04090019" w:tentative="1">
      <w:start w:val="1"/>
      <w:numFmt w:val="ideographTraditional"/>
      <w:lvlText w:val="%2、"/>
      <w:lvlJc w:val="left"/>
      <w:pPr>
        <w:ind w:left="5639" w:hanging="480"/>
      </w:pPr>
    </w:lvl>
    <w:lvl w:ilvl="2" w:tplc="0409001B">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23">
    <w:nsid w:val="7A7934DC"/>
    <w:multiLevelType w:val="hybridMultilevel"/>
    <w:tmpl w:val="FD22CE8A"/>
    <w:lvl w:ilvl="0" w:tplc="0D84C7A4">
      <w:start w:val="1"/>
      <w:numFmt w:val="taiwaneseCountingThousand"/>
      <w:pStyle w:val="10"/>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4">
    <w:nsid w:val="7E5A2113"/>
    <w:multiLevelType w:val="hybridMultilevel"/>
    <w:tmpl w:val="37D2F9F8"/>
    <w:lvl w:ilvl="0" w:tplc="4A9821A4">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17"/>
  </w:num>
  <w:num w:numId="3">
    <w:abstractNumId w:val="3"/>
  </w:num>
  <w:num w:numId="4">
    <w:abstractNumId w:val="6"/>
  </w:num>
  <w:num w:numId="5">
    <w:abstractNumId w:val="21"/>
  </w:num>
  <w:num w:numId="6">
    <w:abstractNumId w:val="15"/>
  </w:num>
  <w:num w:numId="7">
    <w:abstractNumId w:val="2"/>
  </w:num>
  <w:num w:numId="8">
    <w:abstractNumId w:val="10"/>
  </w:num>
  <w:num w:numId="9">
    <w:abstractNumId w:val="1"/>
  </w:num>
  <w:num w:numId="10">
    <w:abstractNumId w:val="9"/>
  </w:num>
  <w:num w:numId="11">
    <w:abstractNumId w:val="18"/>
  </w:num>
  <w:num w:numId="12">
    <w:abstractNumId w:val="4"/>
  </w:num>
  <w:num w:numId="13">
    <w:abstractNumId w:val="23"/>
  </w:num>
  <w:num w:numId="14">
    <w:abstractNumId w:val="20"/>
  </w:num>
  <w:num w:numId="15">
    <w:abstractNumId w:val="12"/>
  </w:num>
  <w:num w:numId="16">
    <w:abstractNumId w:val="1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22"/>
  </w:num>
  <w:num w:numId="22">
    <w:abstractNumId w:val="16"/>
  </w:num>
  <w:num w:numId="23">
    <w:abstractNumId w:val="13"/>
  </w:num>
  <w:num w:numId="24">
    <w:abstractNumId w:val="24"/>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D"/>
    <w:rsid w:val="00004898"/>
    <w:rsid w:val="00005727"/>
    <w:rsid w:val="000144B8"/>
    <w:rsid w:val="00043C0B"/>
    <w:rsid w:val="000638F3"/>
    <w:rsid w:val="00065F25"/>
    <w:rsid w:val="0008290D"/>
    <w:rsid w:val="000954E2"/>
    <w:rsid w:val="000B23D7"/>
    <w:rsid w:val="000C5E7C"/>
    <w:rsid w:val="000E136C"/>
    <w:rsid w:val="000E7DB0"/>
    <w:rsid w:val="00117222"/>
    <w:rsid w:val="0012763A"/>
    <w:rsid w:val="00127C50"/>
    <w:rsid w:val="0013190D"/>
    <w:rsid w:val="00150601"/>
    <w:rsid w:val="00156125"/>
    <w:rsid w:val="0017320C"/>
    <w:rsid w:val="00177414"/>
    <w:rsid w:val="00183D8A"/>
    <w:rsid w:val="001909A9"/>
    <w:rsid w:val="001A66DD"/>
    <w:rsid w:val="001A6D51"/>
    <w:rsid w:val="001B32EA"/>
    <w:rsid w:val="001D2988"/>
    <w:rsid w:val="001D55A3"/>
    <w:rsid w:val="001E59F6"/>
    <w:rsid w:val="001E63C8"/>
    <w:rsid w:val="001F7269"/>
    <w:rsid w:val="00217824"/>
    <w:rsid w:val="00234F95"/>
    <w:rsid w:val="002360A9"/>
    <w:rsid w:val="00244460"/>
    <w:rsid w:val="00257D35"/>
    <w:rsid w:val="002937F4"/>
    <w:rsid w:val="00297092"/>
    <w:rsid w:val="002A4962"/>
    <w:rsid w:val="002C5AF5"/>
    <w:rsid w:val="002D354D"/>
    <w:rsid w:val="002E728D"/>
    <w:rsid w:val="002F6F31"/>
    <w:rsid w:val="0030170D"/>
    <w:rsid w:val="0030334E"/>
    <w:rsid w:val="00316C7B"/>
    <w:rsid w:val="00334BAD"/>
    <w:rsid w:val="00371D65"/>
    <w:rsid w:val="00392FCD"/>
    <w:rsid w:val="003C5E69"/>
    <w:rsid w:val="003E1A02"/>
    <w:rsid w:val="004050E2"/>
    <w:rsid w:val="0041631A"/>
    <w:rsid w:val="004234F4"/>
    <w:rsid w:val="00431C30"/>
    <w:rsid w:val="00441177"/>
    <w:rsid w:val="00466551"/>
    <w:rsid w:val="00485241"/>
    <w:rsid w:val="004975A5"/>
    <w:rsid w:val="004F319E"/>
    <w:rsid w:val="004F38D5"/>
    <w:rsid w:val="00500F8A"/>
    <w:rsid w:val="00505970"/>
    <w:rsid w:val="00512C72"/>
    <w:rsid w:val="00513136"/>
    <w:rsid w:val="00514E88"/>
    <w:rsid w:val="0052700F"/>
    <w:rsid w:val="00532040"/>
    <w:rsid w:val="00544445"/>
    <w:rsid w:val="005476C7"/>
    <w:rsid w:val="00566063"/>
    <w:rsid w:val="0059382A"/>
    <w:rsid w:val="005C0C2C"/>
    <w:rsid w:val="005C5EA5"/>
    <w:rsid w:val="005D2414"/>
    <w:rsid w:val="005D27BC"/>
    <w:rsid w:val="005D5CA3"/>
    <w:rsid w:val="005D747D"/>
    <w:rsid w:val="005E397D"/>
    <w:rsid w:val="005F1747"/>
    <w:rsid w:val="00606F16"/>
    <w:rsid w:val="006422D6"/>
    <w:rsid w:val="00644C52"/>
    <w:rsid w:val="00652F2F"/>
    <w:rsid w:val="00656439"/>
    <w:rsid w:val="00694BD0"/>
    <w:rsid w:val="006B49FB"/>
    <w:rsid w:val="006D4914"/>
    <w:rsid w:val="006F5EA9"/>
    <w:rsid w:val="00724C26"/>
    <w:rsid w:val="00726E4E"/>
    <w:rsid w:val="00737E41"/>
    <w:rsid w:val="00763112"/>
    <w:rsid w:val="00784003"/>
    <w:rsid w:val="007A03B1"/>
    <w:rsid w:val="007B7431"/>
    <w:rsid w:val="007D19E4"/>
    <w:rsid w:val="007E3448"/>
    <w:rsid w:val="007E5E35"/>
    <w:rsid w:val="007F005F"/>
    <w:rsid w:val="008120BD"/>
    <w:rsid w:val="008458B6"/>
    <w:rsid w:val="00861A3E"/>
    <w:rsid w:val="00870463"/>
    <w:rsid w:val="008715C3"/>
    <w:rsid w:val="00880333"/>
    <w:rsid w:val="00894BBC"/>
    <w:rsid w:val="008960A6"/>
    <w:rsid w:val="00897A0D"/>
    <w:rsid w:val="008C0A56"/>
    <w:rsid w:val="008C5B5A"/>
    <w:rsid w:val="008D3B93"/>
    <w:rsid w:val="008D4C5B"/>
    <w:rsid w:val="008E7667"/>
    <w:rsid w:val="00907C53"/>
    <w:rsid w:val="00943E84"/>
    <w:rsid w:val="00953932"/>
    <w:rsid w:val="009748AC"/>
    <w:rsid w:val="009973DD"/>
    <w:rsid w:val="009A7807"/>
    <w:rsid w:val="009D7256"/>
    <w:rsid w:val="009E1F48"/>
    <w:rsid w:val="009E4ECA"/>
    <w:rsid w:val="009F5F58"/>
    <w:rsid w:val="00A1006A"/>
    <w:rsid w:val="00A27A3B"/>
    <w:rsid w:val="00A47141"/>
    <w:rsid w:val="00A64BC8"/>
    <w:rsid w:val="00A66A8F"/>
    <w:rsid w:val="00AA23C7"/>
    <w:rsid w:val="00AC1432"/>
    <w:rsid w:val="00AC255E"/>
    <w:rsid w:val="00AE4C4D"/>
    <w:rsid w:val="00AF26E2"/>
    <w:rsid w:val="00AF7C94"/>
    <w:rsid w:val="00B2122D"/>
    <w:rsid w:val="00B23DC7"/>
    <w:rsid w:val="00B24AF0"/>
    <w:rsid w:val="00B36ED9"/>
    <w:rsid w:val="00B40A71"/>
    <w:rsid w:val="00B47D1F"/>
    <w:rsid w:val="00B75989"/>
    <w:rsid w:val="00BC596C"/>
    <w:rsid w:val="00BD4BAA"/>
    <w:rsid w:val="00BD5E8A"/>
    <w:rsid w:val="00BE54E8"/>
    <w:rsid w:val="00BE6BA8"/>
    <w:rsid w:val="00C0647F"/>
    <w:rsid w:val="00C101E3"/>
    <w:rsid w:val="00C260BD"/>
    <w:rsid w:val="00C5529A"/>
    <w:rsid w:val="00C84EE9"/>
    <w:rsid w:val="00C9125E"/>
    <w:rsid w:val="00D06A6C"/>
    <w:rsid w:val="00D2014B"/>
    <w:rsid w:val="00D22545"/>
    <w:rsid w:val="00D47A32"/>
    <w:rsid w:val="00D61E66"/>
    <w:rsid w:val="00D63AAD"/>
    <w:rsid w:val="00D718A7"/>
    <w:rsid w:val="00D75870"/>
    <w:rsid w:val="00DA565C"/>
    <w:rsid w:val="00DB413F"/>
    <w:rsid w:val="00DE27FB"/>
    <w:rsid w:val="00DF10CA"/>
    <w:rsid w:val="00DF7D43"/>
    <w:rsid w:val="00E1551B"/>
    <w:rsid w:val="00E55A04"/>
    <w:rsid w:val="00E55A5E"/>
    <w:rsid w:val="00E74BCC"/>
    <w:rsid w:val="00E81811"/>
    <w:rsid w:val="00E847ED"/>
    <w:rsid w:val="00E865EE"/>
    <w:rsid w:val="00E9356C"/>
    <w:rsid w:val="00E969F1"/>
    <w:rsid w:val="00EA5448"/>
    <w:rsid w:val="00EA72B6"/>
    <w:rsid w:val="00EB118D"/>
    <w:rsid w:val="00ED3D60"/>
    <w:rsid w:val="00ED65D0"/>
    <w:rsid w:val="00F068F1"/>
    <w:rsid w:val="00F260F7"/>
    <w:rsid w:val="00F40C6F"/>
    <w:rsid w:val="00F57EEC"/>
    <w:rsid w:val="00F677D8"/>
    <w:rsid w:val="00FA182B"/>
    <w:rsid w:val="00FB7A53"/>
    <w:rsid w:val="00FD6A5E"/>
    <w:rsid w:val="00FF3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1">
    <w:name w:val="heading 1"/>
    <w:basedOn w:val="a"/>
    <w:next w:val="a"/>
    <w:link w:val="12"/>
    <w:qFormat/>
    <w:rsid w:val="00644C52"/>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0">
    <w:name w:val="heading 2"/>
    <w:basedOn w:val="a"/>
    <w:next w:val="a"/>
    <w:link w:val="21"/>
    <w:qFormat/>
    <w:rsid w:val="00644C52"/>
    <w:pPr>
      <w:keepNext/>
      <w:spacing w:line="720" w:lineRule="auto"/>
      <w:outlineLvl w:val="1"/>
    </w:pPr>
    <w:rPr>
      <w:rFonts w:ascii="Arial" w:eastAsia="新細明體" w:hAnsi="Arial" w:cs="Times New Roman"/>
      <w:b/>
      <w:bCs/>
      <w:sz w:val="48"/>
      <w:szCs w:val="48"/>
    </w:rPr>
  </w:style>
  <w:style w:type="paragraph" w:styleId="30">
    <w:name w:val="heading 3"/>
    <w:basedOn w:val="a"/>
    <w:next w:val="a"/>
    <w:link w:val="31"/>
    <w:uiPriority w:val="9"/>
    <w:semiHidden/>
    <w:unhideWhenUsed/>
    <w:qFormat/>
    <w:rsid w:val="00644C5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44C5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47ED"/>
    <w:pPr>
      <w:ind w:leftChars="200" w:left="480"/>
    </w:pPr>
    <w:rPr>
      <w:rFonts w:ascii="Times New Roman" w:eastAsia="新細明體" w:hAnsi="Times New Roman" w:cs="Times New Roman"/>
      <w:szCs w:val="24"/>
    </w:rPr>
  </w:style>
  <w:style w:type="character" w:customStyle="1" w:styleId="a4">
    <w:name w:val="清單段落 字元"/>
    <w:basedOn w:val="a0"/>
    <w:link w:val="a3"/>
    <w:uiPriority w:val="34"/>
    <w:rsid w:val="00E847ED"/>
    <w:rPr>
      <w:rFonts w:ascii="Times New Roman" w:eastAsia="新細明體" w:hAnsi="Times New Roman" w:cs="Times New Roman"/>
      <w:szCs w:val="24"/>
    </w:rPr>
  </w:style>
  <w:style w:type="paragraph" w:styleId="a5">
    <w:name w:val="Balloon Text"/>
    <w:basedOn w:val="a"/>
    <w:link w:val="a6"/>
    <w:uiPriority w:val="99"/>
    <w:semiHidden/>
    <w:unhideWhenUsed/>
    <w:rsid w:val="00316C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16C7B"/>
    <w:rPr>
      <w:rFonts w:asciiTheme="majorHAnsi" w:eastAsiaTheme="majorEastAsia" w:hAnsiTheme="majorHAnsi" w:cstheme="majorBidi"/>
      <w:sz w:val="18"/>
      <w:szCs w:val="18"/>
    </w:rPr>
  </w:style>
  <w:style w:type="paragraph" w:styleId="Web">
    <w:name w:val="Normal (Web)"/>
    <w:basedOn w:val="a"/>
    <w:uiPriority w:val="99"/>
    <w:unhideWhenUsed/>
    <w:rsid w:val="007E5E35"/>
    <w:pPr>
      <w:widowControl/>
      <w:spacing w:before="100" w:beforeAutospacing="1" w:after="100" w:afterAutospacing="1"/>
    </w:pPr>
    <w:rPr>
      <w:rFonts w:ascii="新細明體" w:eastAsia="新細明體" w:hAnsi="新細明體" w:cs="新細明體"/>
      <w:kern w:val="0"/>
      <w:szCs w:val="24"/>
    </w:rPr>
  </w:style>
  <w:style w:type="character" w:styleId="a7">
    <w:name w:val="annotation reference"/>
    <w:basedOn w:val="a0"/>
    <w:uiPriority w:val="99"/>
    <w:semiHidden/>
    <w:unhideWhenUsed/>
    <w:rsid w:val="00763112"/>
    <w:rPr>
      <w:sz w:val="18"/>
      <w:szCs w:val="18"/>
    </w:rPr>
  </w:style>
  <w:style w:type="paragraph" w:styleId="a8">
    <w:name w:val="annotation text"/>
    <w:basedOn w:val="a"/>
    <w:link w:val="a9"/>
    <w:uiPriority w:val="99"/>
    <w:semiHidden/>
    <w:unhideWhenUsed/>
    <w:rsid w:val="00763112"/>
  </w:style>
  <w:style w:type="character" w:customStyle="1" w:styleId="a9">
    <w:name w:val="註解文字 字元"/>
    <w:basedOn w:val="a0"/>
    <w:link w:val="a8"/>
    <w:uiPriority w:val="99"/>
    <w:semiHidden/>
    <w:rsid w:val="00763112"/>
  </w:style>
  <w:style w:type="paragraph" w:styleId="aa">
    <w:name w:val="annotation subject"/>
    <w:basedOn w:val="a8"/>
    <w:next w:val="a8"/>
    <w:link w:val="ab"/>
    <w:uiPriority w:val="99"/>
    <w:semiHidden/>
    <w:unhideWhenUsed/>
    <w:rsid w:val="00763112"/>
    <w:rPr>
      <w:b/>
      <w:bCs/>
    </w:rPr>
  </w:style>
  <w:style w:type="character" w:customStyle="1" w:styleId="ab">
    <w:name w:val="註解主旨 字元"/>
    <w:basedOn w:val="a9"/>
    <w:link w:val="aa"/>
    <w:uiPriority w:val="99"/>
    <w:semiHidden/>
    <w:rsid w:val="00763112"/>
    <w:rPr>
      <w:b/>
      <w:bCs/>
    </w:rPr>
  </w:style>
  <w:style w:type="paragraph" w:styleId="ac">
    <w:name w:val="footnote text"/>
    <w:basedOn w:val="a"/>
    <w:link w:val="ad"/>
    <w:uiPriority w:val="99"/>
    <w:unhideWhenUsed/>
    <w:rsid w:val="00532040"/>
    <w:pPr>
      <w:snapToGrid w:val="0"/>
    </w:pPr>
    <w:rPr>
      <w:sz w:val="20"/>
      <w:szCs w:val="20"/>
    </w:rPr>
  </w:style>
  <w:style w:type="character" w:customStyle="1" w:styleId="ad">
    <w:name w:val="註腳文字 字元"/>
    <w:basedOn w:val="a0"/>
    <w:link w:val="ac"/>
    <w:uiPriority w:val="99"/>
    <w:rsid w:val="00532040"/>
    <w:rPr>
      <w:sz w:val="20"/>
      <w:szCs w:val="20"/>
    </w:rPr>
  </w:style>
  <w:style w:type="character" w:styleId="ae">
    <w:name w:val="footnote reference"/>
    <w:basedOn w:val="a0"/>
    <w:uiPriority w:val="99"/>
    <w:semiHidden/>
    <w:unhideWhenUsed/>
    <w:rsid w:val="00532040"/>
    <w:rPr>
      <w:vertAlign w:val="superscript"/>
    </w:rPr>
  </w:style>
  <w:style w:type="paragraph" w:styleId="af">
    <w:name w:val="header"/>
    <w:basedOn w:val="a"/>
    <w:link w:val="af0"/>
    <w:uiPriority w:val="99"/>
    <w:unhideWhenUsed/>
    <w:rsid w:val="00005727"/>
    <w:pPr>
      <w:tabs>
        <w:tab w:val="center" w:pos="4153"/>
        <w:tab w:val="right" w:pos="8306"/>
      </w:tabs>
      <w:snapToGrid w:val="0"/>
    </w:pPr>
    <w:rPr>
      <w:sz w:val="20"/>
      <w:szCs w:val="20"/>
    </w:rPr>
  </w:style>
  <w:style w:type="character" w:customStyle="1" w:styleId="af0">
    <w:name w:val="頁首 字元"/>
    <w:basedOn w:val="a0"/>
    <w:link w:val="af"/>
    <w:uiPriority w:val="99"/>
    <w:rsid w:val="00005727"/>
    <w:rPr>
      <w:sz w:val="20"/>
      <w:szCs w:val="20"/>
    </w:rPr>
  </w:style>
  <w:style w:type="paragraph" w:styleId="af1">
    <w:name w:val="footer"/>
    <w:basedOn w:val="a"/>
    <w:link w:val="af2"/>
    <w:uiPriority w:val="99"/>
    <w:unhideWhenUsed/>
    <w:rsid w:val="00005727"/>
    <w:pPr>
      <w:tabs>
        <w:tab w:val="center" w:pos="4153"/>
        <w:tab w:val="right" w:pos="8306"/>
      </w:tabs>
      <w:snapToGrid w:val="0"/>
    </w:pPr>
    <w:rPr>
      <w:sz w:val="20"/>
      <w:szCs w:val="20"/>
    </w:rPr>
  </w:style>
  <w:style w:type="character" w:customStyle="1" w:styleId="af2">
    <w:name w:val="頁尾 字元"/>
    <w:basedOn w:val="a0"/>
    <w:link w:val="af1"/>
    <w:uiPriority w:val="99"/>
    <w:rsid w:val="00005727"/>
    <w:rPr>
      <w:sz w:val="20"/>
      <w:szCs w:val="20"/>
    </w:rPr>
  </w:style>
  <w:style w:type="table" w:styleId="af3">
    <w:name w:val="Table Grid"/>
    <w:basedOn w:val="a1"/>
    <w:uiPriority w:val="59"/>
    <w:rsid w:val="0008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3"/>
    <w:uiPriority w:val="59"/>
    <w:rsid w:val="0073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644C52"/>
    <w:rPr>
      <w:rFonts w:ascii="Arial" w:eastAsia="新細明體" w:hAnsi="Arial" w:cs="Times New Roman"/>
      <w:b/>
      <w:bCs/>
      <w:kern w:val="52"/>
      <w:sz w:val="52"/>
      <w:szCs w:val="52"/>
    </w:rPr>
  </w:style>
  <w:style w:type="character" w:customStyle="1" w:styleId="21">
    <w:name w:val="標題 2 字元"/>
    <w:basedOn w:val="a0"/>
    <w:link w:val="20"/>
    <w:rsid w:val="00644C52"/>
    <w:rPr>
      <w:rFonts w:ascii="Arial" w:eastAsia="新細明體" w:hAnsi="Arial" w:cs="Times New Roman"/>
      <w:b/>
      <w:bCs/>
      <w:sz w:val="48"/>
      <w:szCs w:val="48"/>
    </w:rPr>
  </w:style>
  <w:style w:type="character" w:customStyle="1" w:styleId="31">
    <w:name w:val="標題 3 字元"/>
    <w:basedOn w:val="a0"/>
    <w:link w:val="30"/>
    <w:uiPriority w:val="9"/>
    <w:semiHidden/>
    <w:rsid w:val="00644C52"/>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44C52"/>
    <w:rPr>
      <w:rFonts w:asciiTheme="majorHAnsi" w:eastAsiaTheme="majorEastAsia" w:hAnsiTheme="majorHAnsi" w:cstheme="majorBidi"/>
      <w:sz w:val="36"/>
      <w:szCs w:val="36"/>
    </w:rPr>
  </w:style>
  <w:style w:type="paragraph" w:customStyle="1" w:styleId="af4">
    <w:name w:val="字元 字元 字元"/>
    <w:basedOn w:val="a"/>
    <w:uiPriority w:val="99"/>
    <w:rsid w:val="00644C52"/>
    <w:pPr>
      <w:widowControl/>
      <w:spacing w:after="160" w:line="240" w:lineRule="exact"/>
    </w:pPr>
    <w:rPr>
      <w:rFonts w:ascii="Arial" w:eastAsia="Times New Roman" w:hAnsi="Arial" w:cs="Arial"/>
      <w:kern w:val="0"/>
      <w:sz w:val="20"/>
      <w:szCs w:val="20"/>
      <w:lang w:eastAsia="en-US"/>
    </w:rPr>
  </w:style>
  <w:style w:type="character" w:styleId="af5">
    <w:name w:val="Hyperlink"/>
    <w:uiPriority w:val="99"/>
    <w:rsid w:val="00644C52"/>
    <w:rPr>
      <w:color w:val="0253B7"/>
      <w:u w:val="single"/>
    </w:rPr>
  </w:style>
  <w:style w:type="character" w:customStyle="1" w:styleId="atime1">
    <w:name w:val="atime1"/>
    <w:rsid w:val="00644C52"/>
    <w:rPr>
      <w:rFonts w:ascii="Times New Roman" w:hAnsi="Times New Roman" w:hint="default"/>
      <w:i/>
      <w:iCs/>
    </w:rPr>
  </w:style>
  <w:style w:type="paragraph" w:customStyle="1" w:styleId="story">
    <w:name w:val="story"/>
    <w:basedOn w:val="a"/>
    <w:uiPriority w:val="99"/>
    <w:rsid w:val="00644C52"/>
    <w:pPr>
      <w:widowControl/>
      <w:spacing w:before="100" w:beforeAutospacing="1" w:after="100" w:afterAutospacing="1" w:line="360" w:lineRule="atLeast"/>
    </w:pPr>
    <w:rPr>
      <w:rFonts w:ascii="Verdana" w:eastAsia="新細明體" w:hAnsi="Verdana" w:cs="新細明體"/>
      <w:color w:val="414141"/>
      <w:kern w:val="0"/>
      <w:sz w:val="22"/>
      <w:lang w:bidi="hi-IN"/>
    </w:rPr>
  </w:style>
  <w:style w:type="character" w:customStyle="1" w:styleId="story1">
    <w:name w:val="story1"/>
    <w:rsid w:val="00644C52"/>
    <w:rPr>
      <w:rFonts w:ascii="Verdana" w:hAnsi="Verdana" w:hint="default"/>
      <w:color w:val="414141"/>
      <w:sz w:val="22"/>
      <w:szCs w:val="22"/>
      <w:bdr w:val="single" w:sz="6" w:space="0" w:color="CBCBCB" w:frame="1"/>
      <w:shd w:val="clear" w:color="auto" w:fill="FDFCE3"/>
    </w:rPr>
  </w:style>
  <w:style w:type="character" w:customStyle="1" w:styleId="author1">
    <w:name w:val="author1"/>
    <w:rsid w:val="00644C52"/>
    <w:rPr>
      <w:rFonts w:ascii="Verdana" w:hAnsi="Verdana" w:hint="default"/>
      <w:color w:val="696969"/>
      <w:sz w:val="17"/>
      <w:szCs w:val="17"/>
      <w:bdr w:val="single" w:sz="6" w:space="0" w:color="CBCBCB" w:frame="1"/>
      <w:shd w:val="clear" w:color="auto" w:fill="FDFCE3"/>
    </w:rPr>
  </w:style>
  <w:style w:type="character" w:customStyle="1" w:styleId="text11">
    <w:name w:val="text11"/>
    <w:rsid w:val="00644C52"/>
    <w:rPr>
      <w:color w:val="000000"/>
      <w:sz w:val="22"/>
      <w:szCs w:val="22"/>
    </w:rPr>
  </w:style>
  <w:style w:type="character" w:styleId="af6">
    <w:name w:val="Strong"/>
    <w:qFormat/>
    <w:rsid w:val="00644C52"/>
    <w:rPr>
      <w:b/>
      <w:bCs/>
    </w:rPr>
  </w:style>
  <w:style w:type="character" w:customStyle="1" w:styleId="yqlink">
    <w:name w:val="yqlink"/>
    <w:basedOn w:val="a0"/>
    <w:rsid w:val="00644C52"/>
  </w:style>
  <w:style w:type="paragraph" w:styleId="z-">
    <w:name w:val="HTML Top of Form"/>
    <w:basedOn w:val="a"/>
    <w:next w:val="a"/>
    <w:link w:val="z-0"/>
    <w:hidden/>
    <w:rsid w:val="00644C52"/>
    <w:pPr>
      <w:widowControl/>
      <w:pBdr>
        <w:bottom w:val="single" w:sz="6" w:space="1" w:color="auto"/>
      </w:pBdr>
      <w:jc w:val="center"/>
    </w:pPr>
    <w:rPr>
      <w:rFonts w:ascii="Arial" w:eastAsia="新細明體" w:hAnsi="Arial" w:cs="新細明體"/>
      <w:vanish/>
      <w:kern w:val="0"/>
      <w:sz w:val="16"/>
      <w:szCs w:val="16"/>
      <w:lang w:bidi="hi-IN"/>
    </w:rPr>
  </w:style>
  <w:style w:type="character" w:customStyle="1" w:styleId="z-0">
    <w:name w:val="z-表單的頂端 字元"/>
    <w:basedOn w:val="a0"/>
    <w:link w:val="z-"/>
    <w:rsid w:val="00644C52"/>
    <w:rPr>
      <w:rFonts w:ascii="Arial" w:eastAsia="新細明體" w:hAnsi="Arial" w:cs="新細明體"/>
      <w:vanish/>
      <w:kern w:val="0"/>
      <w:sz w:val="16"/>
      <w:szCs w:val="16"/>
      <w:lang w:bidi="hi-IN"/>
    </w:rPr>
  </w:style>
  <w:style w:type="paragraph" w:styleId="z-1">
    <w:name w:val="HTML Bottom of Form"/>
    <w:basedOn w:val="a"/>
    <w:next w:val="a"/>
    <w:link w:val="z-2"/>
    <w:hidden/>
    <w:rsid w:val="00644C52"/>
    <w:pPr>
      <w:widowControl/>
      <w:pBdr>
        <w:top w:val="single" w:sz="6" w:space="1" w:color="auto"/>
      </w:pBdr>
      <w:jc w:val="center"/>
    </w:pPr>
    <w:rPr>
      <w:rFonts w:ascii="Arial" w:eastAsia="新細明體" w:hAnsi="Arial" w:cs="新細明體"/>
      <w:vanish/>
      <w:kern w:val="0"/>
      <w:sz w:val="16"/>
      <w:szCs w:val="16"/>
      <w:lang w:bidi="hi-IN"/>
    </w:rPr>
  </w:style>
  <w:style w:type="character" w:customStyle="1" w:styleId="z-2">
    <w:name w:val="z-表單的底部 字元"/>
    <w:basedOn w:val="a0"/>
    <w:link w:val="z-1"/>
    <w:rsid w:val="00644C52"/>
    <w:rPr>
      <w:rFonts w:ascii="Arial" w:eastAsia="新細明體" w:hAnsi="Arial" w:cs="新細明體"/>
      <w:vanish/>
      <w:kern w:val="0"/>
      <w:sz w:val="16"/>
      <w:szCs w:val="16"/>
      <w:lang w:bidi="hi-IN"/>
    </w:rPr>
  </w:style>
  <w:style w:type="character" w:styleId="af7">
    <w:name w:val="page number"/>
    <w:basedOn w:val="a0"/>
    <w:rsid w:val="00644C52"/>
  </w:style>
  <w:style w:type="character" w:customStyle="1" w:styleId="sty2">
    <w:name w:val="sty2"/>
    <w:basedOn w:val="a0"/>
    <w:rsid w:val="00644C52"/>
  </w:style>
  <w:style w:type="character" w:customStyle="1" w:styleId="ttag">
    <w:name w:val="t_tag"/>
    <w:basedOn w:val="a0"/>
    <w:rsid w:val="00644C52"/>
  </w:style>
  <w:style w:type="paragraph" w:customStyle="1" w:styleId="Web45">
    <w:name w:val="內文 (Web)45"/>
    <w:basedOn w:val="a"/>
    <w:uiPriority w:val="99"/>
    <w:rsid w:val="00644C52"/>
    <w:pPr>
      <w:widowControl/>
      <w:spacing w:before="240" w:after="360"/>
    </w:pPr>
    <w:rPr>
      <w:rFonts w:ascii="新細明體" w:eastAsia="新細明體" w:hAnsi="新細明體" w:cs="新細明體"/>
      <w:kern w:val="0"/>
      <w:sz w:val="23"/>
      <w:szCs w:val="23"/>
    </w:rPr>
  </w:style>
  <w:style w:type="paragraph" w:customStyle="1" w:styleId="210">
    <w:name w:val="標題 21"/>
    <w:basedOn w:val="a"/>
    <w:uiPriority w:val="99"/>
    <w:rsid w:val="00644C52"/>
    <w:pPr>
      <w:widowControl/>
      <w:spacing w:before="100" w:beforeAutospacing="1" w:after="100" w:afterAutospacing="1"/>
      <w:outlineLvl w:val="2"/>
    </w:pPr>
    <w:rPr>
      <w:rFonts w:ascii="新細明體" w:eastAsia="新細明體" w:hAnsi="新細明體" w:cs="新細明體"/>
      <w:b/>
      <w:bCs/>
      <w:kern w:val="0"/>
      <w:sz w:val="36"/>
      <w:szCs w:val="36"/>
    </w:rPr>
  </w:style>
  <w:style w:type="paragraph" w:customStyle="1" w:styleId="Web7">
    <w:name w:val="內文 (Web)7"/>
    <w:basedOn w:val="a"/>
    <w:uiPriority w:val="99"/>
    <w:rsid w:val="00644C52"/>
    <w:pPr>
      <w:widowControl/>
      <w:spacing w:line="330" w:lineRule="atLeast"/>
      <w:ind w:left="150" w:right="150"/>
    </w:pPr>
    <w:rPr>
      <w:rFonts w:ascii="新細明體" w:eastAsia="新細明體" w:hAnsi="新細明體" w:cs="新細明體"/>
      <w:kern w:val="0"/>
      <w:szCs w:val="24"/>
    </w:rPr>
  </w:style>
  <w:style w:type="paragraph" w:customStyle="1" w:styleId="32">
    <w:name w:val="字元 字元3 字元 字元 字元"/>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4">
    <w:name w:val="字元 字元 字元1 字元 字元 字元 字元 字元 字元 字元 字元"/>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styleId="af8">
    <w:name w:val="Body Text Indent"/>
    <w:basedOn w:val="a"/>
    <w:link w:val="af9"/>
    <w:uiPriority w:val="99"/>
    <w:rsid w:val="00644C52"/>
    <w:pPr>
      <w:spacing w:after="120"/>
      <w:ind w:leftChars="200" w:left="480"/>
    </w:pPr>
    <w:rPr>
      <w:rFonts w:ascii="Times New Roman" w:eastAsia="新細明體" w:hAnsi="Times New Roman" w:cs="Times New Roman"/>
      <w:szCs w:val="24"/>
    </w:rPr>
  </w:style>
  <w:style w:type="character" w:customStyle="1" w:styleId="af9">
    <w:name w:val="本文縮排 字元"/>
    <w:basedOn w:val="a0"/>
    <w:link w:val="af8"/>
    <w:uiPriority w:val="99"/>
    <w:rsid w:val="00644C52"/>
    <w:rPr>
      <w:rFonts w:ascii="Times New Roman" w:eastAsia="新細明體" w:hAnsi="Times New Roman" w:cs="Times New Roman"/>
      <w:szCs w:val="24"/>
    </w:rPr>
  </w:style>
  <w:style w:type="paragraph" w:styleId="HTML">
    <w:name w:val="HTML Preformatted"/>
    <w:basedOn w:val="a"/>
    <w:link w:val="HTML0"/>
    <w:rsid w:val="00644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lang w:bidi="hi-IN"/>
    </w:rPr>
  </w:style>
  <w:style w:type="character" w:customStyle="1" w:styleId="HTML0">
    <w:name w:val="HTML 預設格式 字元"/>
    <w:basedOn w:val="a0"/>
    <w:link w:val="HTML"/>
    <w:rsid w:val="00644C52"/>
    <w:rPr>
      <w:rFonts w:ascii="細明體" w:eastAsia="細明體" w:hAnsi="細明體" w:cs="細明體"/>
      <w:color w:val="000000"/>
      <w:kern w:val="0"/>
      <w:szCs w:val="24"/>
      <w:lang w:bidi="hi-IN"/>
    </w:rPr>
  </w:style>
  <w:style w:type="paragraph" w:customStyle="1" w:styleId="xl30">
    <w:name w:val="xl30"/>
    <w:basedOn w:val="a"/>
    <w:uiPriority w:val="99"/>
    <w:rsid w:val="00644C52"/>
    <w:pPr>
      <w:widowControl/>
      <w:spacing w:before="100" w:beforeAutospacing="1" w:after="100" w:afterAutospacing="1"/>
      <w:jc w:val="center"/>
      <w:textAlignment w:val="center"/>
    </w:pPr>
    <w:rPr>
      <w:rFonts w:ascii="全真楷書" w:eastAsia="全真楷書" w:hAnsi="Arial Unicode MS" w:cs="Arial Unicode MS" w:hint="eastAsia"/>
      <w:kern w:val="0"/>
      <w:szCs w:val="24"/>
    </w:rPr>
  </w:style>
  <w:style w:type="character" w:styleId="afa">
    <w:name w:val="FollowedHyperlink"/>
    <w:rsid w:val="00644C52"/>
    <w:rPr>
      <w:color w:val="800080"/>
      <w:u w:val="single"/>
    </w:rPr>
  </w:style>
  <w:style w:type="paragraph" w:customStyle="1" w:styleId="15">
    <w:name w:val="字元 字元1"/>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afb">
    <w:name w:val="字元 字元"/>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2">
    <w:name w:val="字元 字元2"/>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character" w:customStyle="1" w:styleId="storytitle1">
    <w:name w:val="story_title1"/>
    <w:rsid w:val="00644C52"/>
    <w:rPr>
      <w:rFonts w:ascii="Verdana" w:hAnsi="Verdana" w:hint="default"/>
      <w:b/>
      <w:bCs/>
      <w:color w:val="FF8000"/>
      <w:sz w:val="19"/>
      <w:szCs w:val="19"/>
    </w:rPr>
  </w:style>
  <w:style w:type="character" w:customStyle="1" w:styleId="storysubtitle1">
    <w:name w:val="story_sub_title1"/>
    <w:rsid w:val="00644C52"/>
    <w:rPr>
      <w:rFonts w:ascii="Verdana" w:hAnsi="Verdana" w:hint="default"/>
      <w:color w:val="FF8000"/>
      <w:sz w:val="19"/>
      <w:szCs w:val="19"/>
    </w:rPr>
  </w:style>
  <w:style w:type="character" w:customStyle="1" w:styleId="16">
    <w:name w:val="超連結1"/>
    <w:rsid w:val="00644C52"/>
    <w:rPr>
      <w:i w:val="0"/>
      <w:iCs w:val="0"/>
      <w:strike w:val="0"/>
      <w:dstrike w:val="0"/>
      <w:color w:val="ED145B"/>
      <w:u w:val="none"/>
      <w:effect w:val="none"/>
    </w:rPr>
  </w:style>
  <w:style w:type="paragraph" w:customStyle="1" w:styleId="t1">
    <w:name w:val="t1"/>
    <w:basedOn w:val="a"/>
    <w:uiPriority w:val="99"/>
    <w:rsid w:val="00644C52"/>
    <w:pPr>
      <w:widowControl/>
      <w:spacing w:before="100" w:beforeAutospacing="1" w:after="100" w:afterAutospacing="1"/>
    </w:pPr>
    <w:rPr>
      <w:rFonts w:ascii="新細明體" w:eastAsia="新細明體" w:hAnsi="新細明體" w:cs="新細明體"/>
      <w:b/>
      <w:bCs/>
      <w:color w:val="3271D0"/>
      <w:kern w:val="0"/>
      <w:sz w:val="18"/>
      <w:szCs w:val="18"/>
    </w:rPr>
  </w:style>
  <w:style w:type="paragraph" w:customStyle="1" w:styleId="17">
    <w:name w:val="內文1"/>
    <w:basedOn w:val="a"/>
    <w:uiPriority w:val="99"/>
    <w:rsid w:val="00644C52"/>
    <w:pPr>
      <w:widowControl/>
      <w:spacing w:line="330" w:lineRule="atLeast"/>
      <w:ind w:left="150" w:right="150"/>
    </w:pPr>
    <w:rPr>
      <w:rFonts w:ascii="新細明體" w:eastAsia="新細明體" w:hAnsi="新細明體" w:cs="新細明體"/>
      <w:kern w:val="0"/>
      <w:szCs w:val="24"/>
      <w:lang w:bidi="hi-IN"/>
    </w:rPr>
  </w:style>
  <w:style w:type="paragraph" w:styleId="afc">
    <w:name w:val="Date"/>
    <w:basedOn w:val="a"/>
    <w:next w:val="a"/>
    <w:link w:val="afd"/>
    <w:uiPriority w:val="99"/>
    <w:rsid w:val="00644C52"/>
    <w:pPr>
      <w:jc w:val="right"/>
    </w:pPr>
    <w:rPr>
      <w:rFonts w:ascii="Times New Roman" w:eastAsia="新細明體" w:hAnsi="Times New Roman" w:cs="Times New Roman"/>
      <w:szCs w:val="24"/>
    </w:rPr>
  </w:style>
  <w:style w:type="character" w:customStyle="1" w:styleId="afd">
    <w:name w:val="日期 字元"/>
    <w:basedOn w:val="a0"/>
    <w:link w:val="afc"/>
    <w:uiPriority w:val="99"/>
    <w:rsid w:val="00644C52"/>
    <w:rPr>
      <w:rFonts w:ascii="Times New Roman" w:eastAsia="新細明體" w:hAnsi="Times New Roman" w:cs="Times New Roman"/>
      <w:szCs w:val="24"/>
    </w:rPr>
  </w:style>
  <w:style w:type="table" w:customStyle="1" w:styleId="23">
    <w:name w:val="表格格線2"/>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unhideWhenUsed/>
    <w:rsid w:val="00644C52"/>
    <w:pPr>
      <w:spacing w:after="120"/>
    </w:pPr>
    <w:rPr>
      <w:rFonts w:ascii="Times New Roman" w:eastAsia="新細明體" w:hAnsi="Times New Roman" w:cs="Times New Roman"/>
      <w:szCs w:val="24"/>
    </w:rPr>
  </w:style>
  <w:style w:type="character" w:customStyle="1" w:styleId="aff">
    <w:name w:val="本文 字元"/>
    <w:basedOn w:val="a0"/>
    <w:link w:val="afe"/>
    <w:uiPriority w:val="99"/>
    <w:rsid w:val="00644C52"/>
    <w:rPr>
      <w:rFonts w:ascii="Times New Roman" w:eastAsia="新細明體" w:hAnsi="Times New Roman" w:cs="Times New Roman"/>
      <w:szCs w:val="24"/>
    </w:rPr>
  </w:style>
  <w:style w:type="table" w:customStyle="1" w:styleId="41">
    <w:name w:val="表格格線4"/>
    <w:basedOn w:val="a1"/>
    <w:next w:val="af3"/>
    <w:rsid w:val="00644C52"/>
    <w:pPr>
      <w:widowControl w:val="0"/>
      <w:adjustRightInd w:val="0"/>
      <w:spacing w:line="360" w:lineRule="atLeast"/>
      <w:textAlignment w:val="center"/>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te Heading"/>
    <w:basedOn w:val="a"/>
    <w:next w:val="a"/>
    <w:link w:val="aff1"/>
    <w:uiPriority w:val="99"/>
    <w:rsid w:val="00644C52"/>
    <w:pPr>
      <w:jc w:val="center"/>
    </w:pPr>
    <w:rPr>
      <w:rFonts w:ascii="Times New Roman" w:eastAsia="標楷體" w:hAnsi="Times New Roman" w:cs="Times New Roman"/>
      <w:b/>
      <w:bCs/>
      <w:sz w:val="32"/>
      <w:szCs w:val="32"/>
    </w:rPr>
  </w:style>
  <w:style w:type="character" w:customStyle="1" w:styleId="aff1">
    <w:name w:val="註釋標題 字元"/>
    <w:basedOn w:val="a0"/>
    <w:link w:val="aff0"/>
    <w:uiPriority w:val="99"/>
    <w:rsid w:val="00644C52"/>
    <w:rPr>
      <w:rFonts w:ascii="Times New Roman" w:eastAsia="標楷體" w:hAnsi="Times New Roman" w:cs="Times New Roman"/>
      <w:b/>
      <w:bCs/>
      <w:sz w:val="32"/>
      <w:szCs w:val="32"/>
    </w:rPr>
  </w:style>
  <w:style w:type="paragraph" w:styleId="aff2">
    <w:name w:val="Closing"/>
    <w:basedOn w:val="a"/>
    <w:link w:val="aff3"/>
    <w:uiPriority w:val="99"/>
    <w:rsid w:val="00644C52"/>
    <w:pPr>
      <w:ind w:leftChars="1800" w:left="100"/>
    </w:pPr>
    <w:rPr>
      <w:rFonts w:ascii="Times New Roman" w:eastAsia="標楷體" w:hAnsi="Times New Roman" w:cs="Times New Roman"/>
      <w:b/>
      <w:bCs/>
      <w:sz w:val="32"/>
      <w:szCs w:val="32"/>
    </w:rPr>
  </w:style>
  <w:style w:type="character" w:customStyle="1" w:styleId="aff3">
    <w:name w:val="結語 字元"/>
    <w:basedOn w:val="a0"/>
    <w:link w:val="aff2"/>
    <w:uiPriority w:val="99"/>
    <w:rsid w:val="00644C52"/>
    <w:rPr>
      <w:rFonts w:ascii="Times New Roman" w:eastAsia="標楷體" w:hAnsi="Times New Roman" w:cs="Times New Roman"/>
      <w:b/>
      <w:bCs/>
      <w:sz w:val="32"/>
      <w:szCs w:val="32"/>
    </w:rPr>
  </w:style>
  <w:style w:type="paragraph" w:customStyle="1" w:styleId="18">
    <w:name w:val="字元 字元1 字元 字元 字元 字元 字元 字元 字元 字元 字元 字元 字元 字元"/>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table" w:customStyle="1" w:styleId="5">
    <w:name w:val="表格格線5"/>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a">
    <w:name w:val="k1a"/>
    <w:basedOn w:val="a"/>
    <w:link w:val="k1a0"/>
    <w:rsid w:val="00644C52"/>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ascii="Times New Roman" w:eastAsia="標楷體" w:hAnsi="Times New Roman" w:cs="Times New Roman"/>
      <w:kern w:val="0"/>
      <w:sz w:val="28"/>
      <w:szCs w:val="20"/>
    </w:rPr>
  </w:style>
  <w:style w:type="table" w:customStyle="1" w:styleId="6">
    <w:name w:val="表格格線6"/>
    <w:basedOn w:val="a1"/>
    <w:next w:val="af3"/>
    <w:rsid w:val="00644C52"/>
    <w:pPr>
      <w:widowControl w:val="0"/>
      <w:adjustRightInd w:val="0"/>
      <w:spacing w:line="360" w:lineRule="atLeast"/>
      <w:textAlignment w:val="center"/>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644C52"/>
    <w:pPr>
      <w:widowControl w:val="0"/>
    </w:pPr>
    <w:rPr>
      <w:rFonts w:ascii="Times New Roman" w:eastAsia="新細明體" w:hAnsi="Times New Roman" w:cs="Times New Roman"/>
      <w:szCs w:val="24"/>
    </w:rPr>
  </w:style>
  <w:style w:type="paragraph" w:styleId="aff5">
    <w:name w:val="Revision"/>
    <w:hidden/>
    <w:uiPriority w:val="99"/>
    <w:semiHidden/>
    <w:rsid w:val="00644C52"/>
    <w:rPr>
      <w:rFonts w:ascii="Times New Roman" w:eastAsia="新細明體" w:hAnsi="Times New Roman" w:cs="Times New Roman"/>
      <w:szCs w:val="24"/>
    </w:rPr>
  </w:style>
  <w:style w:type="table" w:customStyle="1" w:styleId="9">
    <w:name w:val="表格格線9"/>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3"/>
    <w:link w:val="19"/>
    <w:qFormat/>
    <w:rsid w:val="00644C52"/>
    <w:pPr>
      <w:numPr>
        <w:numId w:val="13"/>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3"/>
    <w:link w:val="24"/>
    <w:qFormat/>
    <w:rsid w:val="00644C52"/>
    <w:pPr>
      <w:numPr>
        <w:ilvl w:val="1"/>
        <w:numId w:val="15"/>
      </w:numPr>
      <w:autoSpaceDE w:val="0"/>
      <w:spacing w:before="120" w:line="520" w:lineRule="exact"/>
      <w:ind w:leftChars="0" w:left="0"/>
      <w:jc w:val="both"/>
    </w:pPr>
    <w:rPr>
      <w:rFonts w:eastAsia="標楷體"/>
      <w:b/>
      <w:sz w:val="36"/>
      <w:szCs w:val="36"/>
    </w:rPr>
  </w:style>
  <w:style w:type="character" w:customStyle="1" w:styleId="19">
    <w:name w:val="樣式1 字元"/>
    <w:basedOn w:val="a4"/>
    <w:link w:val="10"/>
    <w:rsid w:val="00644C52"/>
    <w:rPr>
      <w:rFonts w:ascii="Times New Roman" w:eastAsia="標楷體" w:hAnsi="Times New Roman" w:cs="Times New Roman"/>
      <w:b/>
      <w:sz w:val="32"/>
      <w:szCs w:val="32"/>
    </w:rPr>
  </w:style>
  <w:style w:type="paragraph" w:customStyle="1" w:styleId="3">
    <w:name w:val="標題3"/>
    <w:basedOn w:val="2"/>
    <w:link w:val="34"/>
    <w:qFormat/>
    <w:rsid w:val="00644C52"/>
    <w:pPr>
      <w:numPr>
        <w:ilvl w:val="2"/>
      </w:numPr>
      <w:tabs>
        <w:tab w:val="left" w:pos="1701"/>
      </w:tabs>
    </w:pPr>
    <w:rPr>
      <w:sz w:val="32"/>
      <w:szCs w:val="32"/>
    </w:rPr>
  </w:style>
  <w:style w:type="character" w:customStyle="1" w:styleId="24">
    <w:name w:val="標題2 字元"/>
    <w:basedOn w:val="a4"/>
    <w:link w:val="2"/>
    <w:rsid w:val="00644C52"/>
    <w:rPr>
      <w:rFonts w:ascii="Times New Roman" w:eastAsia="標楷體" w:hAnsi="Times New Roman" w:cs="Times New Roman"/>
      <w:b/>
      <w:sz w:val="36"/>
      <w:szCs w:val="36"/>
    </w:rPr>
  </w:style>
  <w:style w:type="paragraph" w:customStyle="1" w:styleId="42">
    <w:name w:val="標題4"/>
    <w:basedOn w:val="3"/>
    <w:link w:val="43"/>
    <w:qFormat/>
    <w:rsid w:val="00644C52"/>
    <w:pPr>
      <w:numPr>
        <w:ilvl w:val="0"/>
        <w:numId w:val="0"/>
      </w:numPr>
    </w:pPr>
  </w:style>
  <w:style w:type="character" w:customStyle="1" w:styleId="34">
    <w:name w:val="標題3 字元"/>
    <w:basedOn w:val="19"/>
    <w:link w:val="3"/>
    <w:rsid w:val="00644C52"/>
    <w:rPr>
      <w:rFonts w:ascii="Times New Roman" w:eastAsia="標楷體" w:hAnsi="Times New Roman" w:cs="Times New Roman"/>
      <w:b/>
      <w:sz w:val="32"/>
      <w:szCs w:val="32"/>
    </w:rPr>
  </w:style>
  <w:style w:type="paragraph" w:customStyle="1" w:styleId="1">
    <w:name w:val="標題1"/>
    <w:basedOn w:val="10"/>
    <w:link w:val="1a"/>
    <w:qFormat/>
    <w:rsid w:val="00644C52"/>
    <w:pPr>
      <w:numPr>
        <w:numId w:val="14"/>
      </w:numPr>
      <w:tabs>
        <w:tab w:val="clear" w:pos="1276"/>
      </w:tabs>
    </w:pPr>
    <w:rPr>
      <w:b w:val="0"/>
      <w:sz w:val="40"/>
      <w:szCs w:val="40"/>
    </w:rPr>
  </w:style>
  <w:style w:type="character" w:customStyle="1" w:styleId="43">
    <w:name w:val="標題4 字元"/>
    <w:basedOn w:val="a0"/>
    <w:link w:val="42"/>
    <w:rsid w:val="00644C52"/>
    <w:rPr>
      <w:rFonts w:ascii="Times New Roman" w:eastAsia="標楷體" w:hAnsi="Times New Roman" w:cs="Times New Roman"/>
      <w:b/>
      <w:sz w:val="32"/>
      <w:szCs w:val="32"/>
    </w:rPr>
  </w:style>
  <w:style w:type="character" w:customStyle="1" w:styleId="1a">
    <w:name w:val="標題1 字元"/>
    <w:basedOn w:val="19"/>
    <w:link w:val="1"/>
    <w:rsid w:val="00644C52"/>
    <w:rPr>
      <w:rFonts w:ascii="Times New Roman" w:eastAsia="標楷體" w:hAnsi="Times New Roman" w:cs="Times New Roman"/>
      <w:b w:val="0"/>
      <w:sz w:val="40"/>
      <w:szCs w:val="40"/>
    </w:rPr>
  </w:style>
  <w:style w:type="paragraph" w:customStyle="1" w:styleId="1b">
    <w:name w:val="專題樣式1"/>
    <w:basedOn w:val="a3"/>
    <w:link w:val="1c"/>
    <w:qFormat/>
    <w:rsid w:val="00644C52"/>
    <w:pPr>
      <w:tabs>
        <w:tab w:val="left" w:pos="709"/>
      </w:tabs>
      <w:spacing w:beforeLines="100" w:before="240" w:line="500" w:lineRule="exact"/>
      <w:ind w:leftChars="0" w:left="0"/>
    </w:pPr>
    <w:rPr>
      <w:rFonts w:ascii="標楷體" w:eastAsia="標楷體" w:hAnsi="標楷體"/>
      <w:b/>
      <w:sz w:val="32"/>
      <w:szCs w:val="32"/>
    </w:rPr>
  </w:style>
  <w:style w:type="character" w:customStyle="1" w:styleId="1c">
    <w:name w:val="專題樣式1 字元"/>
    <w:basedOn w:val="a4"/>
    <w:link w:val="1b"/>
    <w:rsid w:val="00644C52"/>
    <w:rPr>
      <w:rFonts w:ascii="標楷體" w:eastAsia="標楷體" w:hAnsi="標楷體" w:cs="Times New Roman"/>
      <w:b/>
      <w:sz w:val="32"/>
      <w:szCs w:val="32"/>
    </w:rPr>
  </w:style>
  <w:style w:type="paragraph" w:styleId="1d">
    <w:name w:val="toc 1"/>
    <w:basedOn w:val="a"/>
    <w:next w:val="a"/>
    <w:autoRedefine/>
    <w:uiPriority w:val="39"/>
    <w:unhideWhenUsed/>
    <w:qFormat/>
    <w:rsid w:val="007A03B1"/>
    <w:pPr>
      <w:widowControl/>
      <w:tabs>
        <w:tab w:val="left" w:pos="2290"/>
        <w:tab w:val="right" w:leader="dot" w:pos="8296"/>
      </w:tabs>
      <w:adjustRightInd w:val="0"/>
      <w:snapToGrid w:val="0"/>
      <w:spacing w:beforeLines="50" w:before="180" w:line="360" w:lineRule="exact"/>
      <w:jc w:val="center"/>
    </w:pPr>
    <w:rPr>
      <w:rFonts w:ascii="標楷體" w:eastAsia="標楷體" w:hAnsi="標楷體"/>
      <w:b/>
      <w:noProof/>
      <w:kern w:val="0"/>
      <w:sz w:val="32"/>
      <w:szCs w:val="28"/>
    </w:rPr>
  </w:style>
  <w:style w:type="paragraph" w:styleId="25">
    <w:name w:val="toc 2"/>
    <w:basedOn w:val="a"/>
    <w:next w:val="a"/>
    <w:autoRedefine/>
    <w:uiPriority w:val="39"/>
    <w:unhideWhenUsed/>
    <w:qFormat/>
    <w:rsid w:val="007F005F"/>
    <w:pPr>
      <w:widowControl/>
      <w:tabs>
        <w:tab w:val="right" w:leader="dot" w:pos="8296"/>
      </w:tabs>
      <w:adjustRightInd w:val="0"/>
      <w:snapToGrid w:val="0"/>
      <w:spacing w:before="50" w:line="500" w:lineRule="exact"/>
      <w:ind w:leftChars="101" w:left="242"/>
    </w:pPr>
    <w:rPr>
      <w:rFonts w:ascii="微軟正黑體" w:eastAsia="標楷體" w:hAnsi="微軟正黑體"/>
      <w:b/>
      <w:bCs/>
      <w:noProof/>
      <w:kern w:val="0"/>
      <w:sz w:val="28"/>
      <w:szCs w:val="28"/>
    </w:rPr>
  </w:style>
  <w:style w:type="paragraph" w:styleId="aff6">
    <w:name w:val="TOC Heading"/>
    <w:basedOn w:val="11"/>
    <w:next w:val="a"/>
    <w:uiPriority w:val="39"/>
    <w:semiHidden/>
    <w:unhideWhenUsed/>
    <w:qFormat/>
    <w:rsid w:val="00644C52"/>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numbering" w:customStyle="1" w:styleId="1e">
    <w:name w:val="無清單1"/>
    <w:next w:val="a2"/>
    <w:uiPriority w:val="99"/>
    <w:semiHidden/>
    <w:unhideWhenUsed/>
    <w:rsid w:val="00644C52"/>
  </w:style>
  <w:style w:type="table" w:customStyle="1" w:styleId="100">
    <w:name w:val="表格格線10"/>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644C52"/>
  </w:style>
  <w:style w:type="table" w:customStyle="1" w:styleId="130">
    <w:name w:val="表格格線13"/>
    <w:basedOn w:val="a1"/>
    <w:next w:val="af3"/>
    <w:rsid w:val="00644C52"/>
    <w:pPr>
      <w:widowControl w:val="0"/>
      <w:spacing w:line="240" w:lineRule="exact"/>
    </w:pPr>
    <w:rPr>
      <w:rFonts w:ascii="Times New Roman" w:eastAsia="微軟正黑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table" w:customStyle="1" w:styleId="71">
    <w:name w:val="表格格線7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3"/>
    <w:rsid w:val="00644C52"/>
    <w:pPr>
      <w:widowControl w:val="0"/>
      <w:spacing w:line="240" w:lineRule="exact"/>
    </w:pPr>
    <w:rPr>
      <w:rFonts w:ascii="Times New Roman" w:eastAsia="微軟正黑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字元 字元 字元2"/>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paragraph" w:customStyle="1" w:styleId="220">
    <w:name w:val="字元 字元22"/>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table" w:customStyle="1" w:styleId="91">
    <w:name w:val="表格格線9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numbering" w:customStyle="1" w:styleId="113">
    <w:name w:val="無清單11"/>
    <w:next w:val="a2"/>
    <w:uiPriority w:val="99"/>
    <w:semiHidden/>
    <w:unhideWhenUsed/>
    <w:rsid w:val="00644C52"/>
  </w:style>
  <w:style w:type="table" w:customStyle="1" w:styleId="101">
    <w:name w:val="表格格線10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字元 字元 字元1"/>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11">
    <w:name w:val="字元 字元3 字元 字元 字元1"/>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115">
    <w:name w:val="字元 字元11"/>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35">
    <w:name w:val="字元 字元3"/>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paragraph" w:customStyle="1" w:styleId="212">
    <w:name w:val="字元 字元21"/>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numbering" w:customStyle="1" w:styleId="213">
    <w:name w:val="無清單21"/>
    <w:next w:val="a2"/>
    <w:uiPriority w:val="99"/>
    <w:semiHidden/>
    <w:unhideWhenUsed/>
    <w:rsid w:val="00644C52"/>
  </w:style>
  <w:style w:type="table" w:customStyle="1" w:styleId="131">
    <w:name w:val="表格格線13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644C52"/>
  </w:style>
  <w:style w:type="table" w:customStyle="1" w:styleId="1011">
    <w:name w:val="表格格線10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644C52"/>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644C52"/>
    <w:rPr>
      <w:rFonts w:ascii="Times New Roman" w:eastAsia="新細明體" w:hAnsi="Times New Roman" w:cs="Times New Roman"/>
      <w:szCs w:val="24"/>
    </w:rPr>
  </w:style>
  <w:style w:type="character" w:styleId="aff9">
    <w:name w:val="endnote reference"/>
    <w:basedOn w:val="a0"/>
    <w:uiPriority w:val="99"/>
    <w:semiHidden/>
    <w:unhideWhenUsed/>
    <w:rsid w:val="00644C52"/>
    <w:rPr>
      <w:vertAlign w:val="superscript"/>
    </w:rPr>
  </w:style>
  <w:style w:type="table" w:customStyle="1" w:styleId="1311">
    <w:name w:val="表格格線131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3"/>
    <w:uiPriority w:val="59"/>
    <w:rsid w:val="00644C52"/>
    <w:rPr>
      <w:rFonts w:ascii="Times New Roman" w:eastAsia="新細明體"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644C52"/>
    <w:rPr>
      <w:rFonts w:ascii="Times New Roman" w:eastAsia="標楷體" w:hAnsi="Times New Roman" w:cs="Times New Roman"/>
      <w:kern w:val="0"/>
      <w:sz w:val="28"/>
      <w:szCs w:val="20"/>
    </w:rPr>
  </w:style>
  <w:style w:type="paragraph" w:customStyle="1" w:styleId="k00t18">
    <w:name w:val="k00t18"/>
    <w:basedOn w:val="a"/>
    <w:uiPriority w:val="99"/>
    <w:rsid w:val="00644C52"/>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ascii="Times New Roman" w:eastAsia="文鼎中楷" w:hAnsi="Clarendon Condensed" w:cs="Times New Roman"/>
      <w:kern w:val="0"/>
      <w:sz w:val="36"/>
      <w:szCs w:val="20"/>
    </w:rPr>
  </w:style>
  <w:style w:type="table" w:styleId="-1">
    <w:name w:val="Light Shading Accent 1"/>
    <w:basedOn w:val="a1"/>
    <w:uiPriority w:val="60"/>
    <w:rsid w:val="00644C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6">
    <w:name w:val="toc 3"/>
    <w:basedOn w:val="a"/>
    <w:next w:val="a"/>
    <w:autoRedefine/>
    <w:uiPriority w:val="39"/>
    <w:semiHidden/>
    <w:unhideWhenUsed/>
    <w:qFormat/>
    <w:rsid w:val="00644C52"/>
    <w:pPr>
      <w:widowControl/>
      <w:spacing w:after="100" w:line="276" w:lineRule="auto"/>
      <w:ind w:left="440"/>
    </w:pPr>
    <w:rPr>
      <w:kern w:val="0"/>
      <w:sz w:val="22"/>
    </w:rPr>
  </w:style>
  <w:style w:type="paragraph" w:customStyle="1" w:styleId="70">
    <w:name w:val="字元 字元7"/>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4"/>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37">
    <w:name w:val="字元 字元 字元3"/>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3"/>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60">
    <w:name w:val="字元 字元6"/>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30">
    <w:name w:val="字元 字元23"/>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134">
    <w:name w:val="字元 字元1 字元 字元 字元 字元 字元 字元 字元 字元 字元 字元 字元 字元3"/>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character" w:customStyle="1" w:styleId="f10-con1">
    <w:name w:val="f10-con1"/>
    <w:basedOn w:val="a0"/>
    <w:rsid w:val="00644C52"/>
    <w:rPr>
      <w:rFonts w:ascii="Verdana" w:hAnsi="Verdana" w:hint="default"/>
      <w:color w:val="666666"/>
      <w:sz w:val="20"/>
      <w:szCs w:val="20"/>
    </w:rPr>
  </w:style>
  <w:style w:type="paragraph" w:customStyle="1" w:styleId="90">
    <w:name w:val="字元 字元9"/>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61">
    <w:name w:val="字元 字元1 字元 字元 字元 字元 字元 字元 字元 字元 字元 字元 字元 字元6"/>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45">
    <w:name w:val="字元 字元 字元4"/>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44">
    <w:name w:val="字元 字元14"/>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80">
    <w:name w:val="字元 字元8"/>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40">
    <w:name w:val="字元 字元24"/>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153">
    <w:name w:val="字元 字元1 字元 字元 字元 字元 字元 字元 字元 字元 字元 字元 字元 字元5"/>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table" w:customStyle="1" w:styleId="170">
    <w:name w:val="表格格線17"/>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next w:val="-1"/>
    <w:uiPriority w:val="60"/>
    <w:rsid w:val="00644C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644C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21">
    <w:name w:val="表格格線22"/>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1"/>
    <w:next w:val="af3"/>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C52"/>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1">
    <w:name w:val="heading 1"/>
    <w:basedOn w:val="a"/>
    <w:next w:val="a"/>
    <w:link w:val="12"/>
    <w:qFormat/>
    <w:rsid w:val="00644C52"/>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0">
    <w:name w:val="heading 2"/>
    <w:basedOn w:val="a"/>
    <w:next w:val="a"/>
    <w:link w:val="21"/>
    <w:qFormat/>
    <w:rsid w:val="00644C52"/>
    <w:pPr>
      <w:keepNext/>
      <w:spacing w:line="720" w:lineRule="auto"/>
      <w:outlineLvl w:val="1"/>
    </w:pPr>
    <w:rPr>
      <w:rFonts w:ascii="Arial" w:eastAsia="新細明體" w:hAnsi="Arial" w:cs="Times New Roman"/>
      <w:b/>
      <w:bCs/>
      <w:sz w:val="48"/>
      <w:szCs w:val="48"/>
    </w:rPr>
  </w:style>
  <w:style w:type="paragraph" w:styleId="30">
    <w:name w:val="heading 3"/>
    <w:basedOn w:val="a"/>
    <w:next w:val="a"/>
    <w:link w:val="31"/>
    <w:uiPriority w:val="9"/>
    <w:semiHidden/>
    <w:unhideWhenUsed/>
    <w:qFormat/>
    <w:rsid w:val="00644C5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44C5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47ED"/>
    <w:pPr>
      <w:ind w:leftChars="200" w:left="480"/>
    </w:pPr>
    <w:rPr>
      <w:rFonts w:ascii="Times New Roman" w:eastAsia="新細明體" w:hAnsi="Times New Roman" w:cs="Times New Roman"/>
      <w:szCs w:val="24"/>
    </w:rPr>
  </w:style>
  <w:style w:type="character" w:customStyle="1" w:styleId="a4">
    <w:name w:val="清單段落 字元"/>
    <w:basedOn w:val="a0"/>
    <w:link w:val="a3"/>
    <w:uiPriority w:val="34"/>
    <w:rsid w:val="00E847ED"/>
    <w:rPr>
      <w:rFonts w:ascii="Times New Roman" w:eastAsia="新細明體" w:hAnsi="Times New Roman" w:cs="Times New Roman"/>
      <w:szCs w:val="24"/>
    </w:rPr>
  </w:style>
  <w:style w:type="paragraph" w:styleId="a5">
    <w:name w:val="Balloon Text"/>
    <w:basedOn w:val="a"/>
    <w:link w:val="a6"/>
    <w:uiPriority w:val="99"/>
    <w:semiHidden/>
    <w:unhideWhenUsed/>
    <w:rsid w:val="00316C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16C7B"/>
    <w:rPr>
      <w:rFonts w:asciiTheme="majorHAnsi" w:eastAsiaTheme="majorEastAsia" w:hAnsiTheme="majorHAnsi" w:cstheme="majorBidi"/>
      <w:sz w:val="18"/>
      <w:szCs w:val="18"/>
    </w:rPr>
  </w:style>
  <w:style w:type="paragraph" w:styleId="Web">
    <w:name w:val="Normal (Web)"/>
    <w:basedOn w:val="a"/>
    <w:uiPriority w:val="99"/>
    <w:unhideWhenUsed/>
    <w:rsid w:val="007E5E35"/>
    <w:pPr>
      <w:widowControl/>
      <w:spacing w:before="100" w:beforeAutospacing="1" w:after="100" w:afterAutospacing="1"/>
    </w:pPr>
    <w:rPr>
      <w:rFonts w:ascii="新細明體" w:eastAsia="新細明體" w:hAnsi="新細明體" w:cs="新細明體"/>
      <w:kern w:val="0"/>
      <w:szCs w:val="24"/>
    </w:rPr>
  </w:style>
  <w:style w:type="character" w:styleId="a7">
    <w:name w:val="annotation reference"/>
    <w:basedOn w:val="a0"/>
    <w:uiPriority w:val="99"/>
    <w:semiHidden/>
    <w:unhideWhenUsed/>
    <w:rsid w:val="00763112"/>
    <w:rPr>
      <w:sz w:val="18"/>
      <w:szCs w:val="18"/>
    </w:rPr>
  </w:style>
  <w:style w:type="paragraph" w:styleId="a8">
    <w:name w:val="annotation text"/>
    <w:basedOn w:val="a"/>
    <w:link w:val="a9"/>
    <w:uiPriority w:val="99"/>
    <w:semiHidden/>
    <w:unhideWhenUsed/>
    <w:rsid w:val="00763112"/>
  </w:style>
  <w:style w:type="character" w:customStyle="1" w:styleId="a9">
    <w:name w:val="註解文字 字元"/>
    <w:basedOn w:val="a0"/>
    <w:link w:val="a8"/>
    <w:uiPriority w:val="99"/>
    <w:semiHidden/>
    <w:rsid w:val="00763112"/>
  </w:style>
  <w:style w:type="paragraph" w:styleId="aa">
    <w:name w:val="annotation subject"/>
    <w:basedOn w:val="a8"/>
    <w:next w:val="a8"/>
    <w:link w:val="ab"/>
    <w:uiPriority w:val="99"/>
    <w:semiHidden/>
    <w:unhideWhenUsed/>
    <w:rsid w:val="00763112"/>
    <w:rPr>
      <w:b/>
      <w:bCs/>
    </w:rPr>
  </w:style>
  <w:style w:type="character" w:customStyle="1" w:styleId="ab">
    <w:name w:val="註解主旨 字元"/>
    <w:basedOn w:val="a9"/>
    <w:link w:val="aa"/>
    <w:uiPriority w:val="99"/>
    <w:semiHidden/>
    <w:rsid w:val="00763112"/>
    <w:rPr>
      <w:b/>
      <w:bCs/>
    </w:rPr>
  </w:style>
  <w:style w:type="paragraph" w:styleId="ac">
    <w:name w:val="footnote text"/>
    <w:basedOn w:val="a"/>
    <w:link w:val="ad"/>
    <w:uiPriority w:val="99"/>
    <w:unhideWhenUsed/>
    <w:rsid w:val="00532040"/>
    <w:pPr>
      <w:snapToGrid w:val="0"/>
    </w:pPr>
    <w:rPr>
      <w:sz w:val="20"/>
      <w:szCs w:val="20"/>
    </w:rPr>
  </w:style>
  <w:style w:type="character" w:customStyle="1" w:styleId="ad">
    <w:name w:val="註腳文字 字元"/>
    <w:basedOn w:val="a0"/>
    <w:link w:val="ac"/>
    <w:uiPriority w:val="99"/>
    <w:rsid w:val="00532040"/>
    <w:rPr>
      <w:sz w:val="20"/>
      <w:szCs w:val="20"/>
    </w:rPr>
  </w:style>
  <w:style w:type="character" w:styleId="ae">
    <w:name w:val="footnote reference"/>
    <w:basedOn w:val="a0"/>
    <w:uiPriority w:val="99"/>
    <w:semiHidden/>
    <w:unhideWhenUsed/>
    <w:rsid w:val="00532040"/>
    <w:rPr>
      <w:vertAlign w:val="superscript"/>
    </w:rPr>
  </w:style>
  <w:style w:type="paragraph" w:styleId="af">
    <w:name w:val="header"/>
    <w:basedOn w:val="a"/>
    <w:link w:val="af0"/>
    <w:uiPriority w:val="99"/>
    <w:unhideWhenUsed/>
    <w:rsid w:val="00005727"/>
    <w:pPr>
      <w:tabs>
        <w:tab w:val="center" w:pos="4153"/>
        <w:tab w:val="right" w:pos="8306"/>
      </w:tabs>
      <w:snapToGrid w:val="0"/>
    </w:pPr>
    <w:rPr>
      <w:sz w:val="20"/>
      <w:szCs w:val="20"/>
    </w:rPr>
  </w:style>
  <w:style w:type="character" w:customStyle="1" w:styleId="af0">
    <w:name w:val="頁首 字元"/>
    <w:basedOn w:val="a0"/>
    <w:link w:val="af"/>
    <w:uiPriority w:val="99"/>
    <w:rsid w:val="00005727"/>
    <w:rPr>
      <w:sz w:val="20"/>
      <w:szCs w:val="20"/>
    </w:rPr>
  </w:style>
  <w:style w:type="paragraph" w:styleId="af1">
    <w:name w:val="footer"/>
    <w:basedOn w:val="a"/>
    <w:link w:val="af2"/>
    <w:uiPriority w:val="99"/>
    <w:unhideWhenUsed/>
    <w:rsid w:val="00005727"/>
    <w:pPr>
      <w:tabs>
        <w:tab w:val="center" w:pos="4153"/>
        <w:tab w:val="right" w:pos="8306"/>
      </w:tabs>
      <w:snapToGrid w:val="0"/>
    </w:pPr>
    <w:rPr>
      <w:sz w:val="20"/>
      <w:szCs w:val="20"/>
    </w:rPr>
  </w:style>
  <w:style w:type="character" w:customStyle="1" w:styleId="af2">
    <w:name w:val="頁尾 字元"/>
    <w:basedOn w:val="a0"/>
    <w:link w:val="af1"/>
    <w:uiPriority w:val="99"/>
    <w:rsid w:val="00005727"/>
    <w:rPr>
      <w:sz w:val="20"/>
      <w:szCs w:val="20"/>
    </w:rPr>
  </w:style>
  <w:style w:type="table" w:styleId="af3">
    <w:name w:val="Table Grid"/>
    <w:basedOn w:val="a1"/>
    <w:uiPriority w:val="59"/>
    <w:rsid w:val="0008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3"/>
    <w:uiPriority w:val="59"/>
    <w:rsid w:val="0073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644C52"/>
    <w:rPr>
      <w:rFonts w:ascii="Arial" w:eastAsia="新細明體" w:hAnsi="Arial" w:cs="Times New Roman"/>
      <w:b/>
      <w:bCs/>
      <w:kern w:val="52"/>
      <w:sz w:val="52"/>
      <w:szCs w:val="52"/>
    </w:rPr>
  </w:style>
  <w:style w:type="character" w:customStyle="1" w:styleId="21">
    <w:name w:val="標題 2 字元"/>
    <w:basedOn w:val="a0"/>
    <w:link w:val="20"/>
    <w:rsid w:val="00644C52"/>
    <w:rPr>
      <w:rFonts w:ascii="Arial" w:eastAsia="新細明體" w:hAnsi="Arial" w:cs="Times New Roman"/>
      <w:b/>
      <w:bCs/>
      <w:sz w:val="48"/>
      <w:szCs w:val="48"/>
    </w:rPr>
  </w:style>
  <w:style w:type="character" w:customStyle="1" w:styleId="31">
    <w:name w:val="標題 3 字元"/>
    <w:basedOn w:val="a0"/>
    <w:link w:val="30"/>
    <w:uiPriority w:val="9"/>
    <w:semiHidden/>
    <w:rsid w:val="00644C52"/>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44C52"/>
    <w:rPr>
      <w:rFonts w:asciiTheme="majorHAnsi" w:eastAsiaTheme="majorEastAsia" w:hAnsiTheme="majorHAnsi" w:cstheme="majorBidi"/>
      <w:sz w:val="36"/>
      <w:szCs w:val="36"/>
    </w:rPr>
  </w:style>
  <w:style w:type="paragraph" w:customStyle="1" w:styleId="af4">
    <w:name w:val="字元 字元 字元"/>
    <w:basedOn w:val="a"/>
    <w:uiPriority w:val="99"/>
    <w:rsid w:val="00644C52"/>
    <w:pPr>
      <w:widowControl/>
      <w:spacing w:after="160" w:line="240" w:lineRule="exact"/>
    </w:pPr>
    <w:rPr>
      <w:rFonts w:ascii="Arial" w:eastAsia="Times New Roman" w:hAnsi="Arial" w:cs="Arial"/>
      <w:kern w:val="0"/>
      <w:sz w:val="20"/>
      <w:szCs w:val="20"/>
      <w:lang w:eastAsia="en-US"/>
    </w:rPr>
  </w:style>
  <w:style w:type="character" w:styleId="af5">
    <w:name w:val="Hyperlink"/>
    <w:uiPriority w:val="99"/>
    <w:rsid w:val="00644C52"/>
    <w:rPr>
      <w:color w:val="0253B7"/>
      <w:u w:val="single"/>
    </w:rPr>
  </w:style>
  <w:style w:type="character" w:customStyle="1" w:styleId="atime1">
    <w:name w:val="atime1"/>
    <w:rsid w:val="00644C52"/>
    <w:rPr>
      <w:rFonts w:ascii="Times New Roman" w:hAnsi="Times New Roman" w:hint="default"/>
      <w:i/>
      <w:iCs/>
    </w:rPr>
  </w:style>
  <w:style w:type="paragraph" w:customStyle="1" w:styleId="story">
    <w:name w:val="story"/>
    <w:basedOn w:val="a"/>
    <w:uiPriority w:val="99"/>
    <w:rsid w:val="00644C52"/>
    <w:pPr>
      <w:widowControl/>
      <w:spacing w:before="100" w:beforeAutospacing="1" w:after="100" w:afterAutospacing="1" w:line="360" w:lineRule="atLeast"/>
    </w:pPr>
    <w:rPr>
      <w:rFonts w:ascii="Verdana" w:eastAsia="新細明體" w:hAnsi="Verdana" w:cs="新細明體"/>
      <w:color w:val="414141"/>
      <w:kern w:val="0"/>
      <w:sz w:val="22"/>
      <w:lang w:bidi="hi-IN"/>
    </w:rPr>
  </w:style>
  <w:style w:type="character" w:customStyle="1" w:styleId="story1">
    <w:name w:val="story1"/>
    <w:rsid w:val="00644C52"/>
    <w:rPr>
      <w:rFonts w:ascii="Verdana" w:hAnsi="Verdana" w:hint="default"/>
      <w:color w:val="414141"/>
      <w:sz w:val="22"/>
      <w:szCs w:val="22"/>
      <w:bdr w:val="single" w:sz="6" w:space="0" w:color="CBCBCB" w:frame="1"/>
      <w:shd w:val="clear" w:color="auto" w:fill="FDFCE3"/>
    </w:rPr>
  </w:style>
  <w:style w:type="character" w:customStyle="1" w:styleId="author1">
    <w:name w:val="author1"/>
    <w:rsid w:val="00644C52"/>
    <w:rPr>
      <w:rFonts w:ascii="Verdana" w:hAnsi="Verdana" w:hint="default"/>
      <w:color w:val="696969"/>
      <w:sz w:val="17"/>
      <w:szCs w:val="17"/>
      <w:bdr w:val="single" w:sz="6" w:space="0" w:color="CBCBCB" w:frame="1"/>
      <w:shd w:val="clear" w:color="auto" w:fill="FDFCE3"/>
    </w:rPr>
  </w:style>
  <w:style w:type="character" w:customStyle="1" w:styleId="text11">
    <w:name w:val="text11"/>
    <w:rsid w:val="00644C52"/>
    <w:rPr>
      <w:color w:val="000000"/>
      <w:sz w:val="22"/>
      <w:szCs w:val="22"/>
    </w:rPr>
  </w:style>
  <w:style w:type="character" w:styleId="af6">
    <w:name w:val="Strong"/>
    <w:qFormat/>
    <w:rsid w:val="00644C52"/>
    <w:rPr>
      <w:b/>
      <w:bCs/>
    </w:rPr>
  </w:style>
  <w:style w:type="character" w:customStyle="1" w:styleId="yqlink">
    <w:name w:val="yqlink"/>
    <w:basedOn w:val="a0"/>
    <w:rsid w:val="00644C52"/>
  </w:style>
  <w:style w:type="paragraph" w:styleId="z-">
    <w:name w:val="HTML Top of Form"/>
    <w:basedOn w:val="a"/>
    <w:next w:val="a"/>
    <w:link w:val="z-0"/>
    <w:hidden/>
    <w:rsid w:val="00644C52"/>
    <w:pPr>
      <w:widowControl/>
      <w:pBdr>
        <w:bottom w:val="single" w:sz="6" w:space="1" w:color="auto"/>
      </w:pBdr>
      <w:jc w:val="center"/>
    </w:pPr>
    <w:rPr>
      <w:rFonts w:ascii="Arial" w:eastAsia="新細明體" w:hAnsi="Arial" w:cs="新細明體"/>
      <w:vanish/>
      <w:kern w:val="0"/>
      <w:sz w:val="16"/>
      <w:szCs w:val="16"/>
      <w:lang w:bidi="hi-IN"/>
    </w:rPr>
  </w:style>
  <w:style w:type="character" w:customStyle="1" w:styleId="z-0">
    <w:name w:val="z-表單的頂端 字元"/>
    <w:basedOn w:val="a0"/>
    <w:link w:val="z-"/>
    <w:rsid w:val="00644C52"/>
    <w:rPr>
      <w:rFonts w:ascii="Arial" w:eastAsia="新細明體" w:hAnsi="Arial" w:cs="新細明體"/>
      <w:vanish/>
      <w:kern w:val="0"/>
      <w:sz w:val="16"/>
      <w:szCs w:val="16"/>
      <w:lang w:bidi="hi-IN"/>
    </w:rPr>
  </w:style>
  <w:style w:type="paragraph" w:styleId="z-1">
    <w:name w:val="HTML Bottom of Form"/>
    <w:basedOn w:val="a"/>
    <w:next w:val="a"/>
    <w:link w:val="z-2"/>
    <w:hidden/>
    <w:rsid w:val="00644C52"/>
    <w:pPr>
      <w:widowControl/>
      <w:pBdr>
        <w:top w:val="single" w:sz="6" w:space="1" w:color="auto"/>
      </w:pBdr>
      <w:jc w:val="center"/>
    </w:pPr>
    <w:rPr>
      <w:rFonts w:ascii="Arial" w:eastAsia="新細明體" w:hAnsi="Arial" w:cs="新細明體"/>
      <w:vanish/>
      <w:kern w:val="0"/>
      <w:sz w:val="16"/>
      <w:szCs w:val="16"/>
      <w:lang w:bidi="hi-IN"/>
    </w:rPr>
  </w:style>
  <w:style w:type="character" w:customStyle="1" w:styleId="z-2">
    <w:name w:val="z-表單的底部 字元"/>
    <w:basedOn w:val="a0"/>
    <w:link w:val="z-1"/>
    <w:rsid w:val="00644C52"/>
    <w:rPr>
      <w:rFonts w:ascii="Arial" w:eastAsia="新細明體" w:hAnsi="Arial" w:cs="新細明體"/>
      <w:vanish/>
      <w:kern w:val="0"/>
      <w:sz w:val="16"/>
      <w:szCs w:val="16"/>
      <w:lang w:bidi="hi-IN"/>
    </w:rPr>
  </w:style>
  <w:style w:type="character" w:styleId="af7">
    <w:name w:val="page number"/>
    <w:basedOn w:val="a0"/>
    <w:rsid w:val="00644C52"/>
  </w:style>
  <w:style w:type="character" w:customStyle="1" w:styleId="sty2">
    <w:name w:val="sty2"/>
    <w:basedOn w:val="a0"/>
    <w:rsid w:val="00644C52"/>
  </w:style>
  <w:style w:type="character" w:customStyle="1" w:styleId="ttag">
    <w:name w:val="t_tag"/>
    <w:basedOn w:val="a0"/>
    <w:rsid w:val="00644C52"/>
  </w:style>
  <w:style w:type="paragraph" w:customStyle="1" w:styleId="Web45">
    <w:name w:val="內文 (Web)45"/>
    <w:basedOn w:val="a"/>
    <w:uiPriority w:val="99"/>
    <w:rsid w:val="00644C52"/>
    <w:pPr>
      <w:widowControl/>
      <w:spacing w:before="240" w:after="360"/>
    </w:pPr>
    <w:rPr>
      <w:rFonts w:ascii="新細明體" w:eastAsia="新細明體" w:hAnsi="新細明體" w:cs="新細明體"/>
      <w:kern w:val="0"/>
      <w:sz w:val="23"/>
      <w:szCs w:val="23"/>
    </w:rPr>
  </w:style>
  <w:style w:type="paragraph" w:customStyle="1" w:styleId="210">
    <w:name w:val="標題 21"/>
    <w:basedOn w:val="a"/>
    <w:uiPriority w:val="99"/>
    <w:rsid w:val="00644C52"/>
    <w:pPr>
      <w:widowControl/>
      <w:spacing w:before="100" w:beforeAutospacing="1" w:after="100" w:afterAutospacing="1"/>
      <w:outlineLvl w:val="2"/>
    </w:pPr>
    <w:rPr>
      <w:rFonts w:ascii="新細明體" w:eastAsia="新細明體" w:hAnsi="新細明體" w:cs="新細明體"/>
      <w:b/>
      <w:bCs/>
      <w:kern w:val="0"/>
      <w:sz w:val="36"/>
      <w:szCs w:val="36"/>
    </w:rPr>
  </w:style>
  <w:style w:type="paragraph" w:customStyle="1" w:styleId="Web7">
    <w:name w:val="內文 (Web)7"/>
    <w:basedOn w:val="a"/>
    <w:uiPriority w:val="99"/>
    <w:rsid w:val="00644C52"/>
    <w:pPr>
      <w:widowControl/>
      <w:spacing w:line="330" w:lineRule="atLeast"/>
      <w:ind w:left="150" w:right="150"/>
    </w:pPr>
    <w:rPr>
      <w:rFonts w:ascii="新細明體" w:eastAsia="新細明體" w:hAnsi="新細明體" w:cs="新細明體"/>
      <w:kern w:val="0"/>
      <w:szCs w:val="24"/>
    </w:rPr>
  </w:style>
  <w:style w:type="paragraph" w:customStyle="1" w:styleId="32">
    <w:name w:val="字元 字元3 字元 字元 字元"/>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4">
    <w:name w:val="字元 字元 字元1 字元 字元 字元 字元 字元 字元 字元 字元"/>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styleId="af8">
    <w:name w:val="Body Text Indent"/>
    <w:basedOn w:val="a"/>
    <w:link w:val="af9"/>
    <w:uiPriority w:val="99"/>
    <w:rsid w:val="00644C52"/>
    <w:pPr>
      <w:spacing w:after="120"/>
      <w:ind w:leftChars="200" w:left="480"/>
    </w:pPr>
    <w:rPr>
      <w:rFonts w:ascii="Times New Roman" w:eastAsia="新細明體" w:hAnsi="Times New Roman" w:cs="Times New Roman"/>
      <w:szCs w:val="24"/>
    </w:rPr>
  </w:style>
  <w:style w:type="character" w:customStyle="1" w:styleId="af9">
    <w:name w:val="本文縮排 字元"/>
    <w:basedOn w:val="a0"/>
    <w:link w:val="af8"/>
    <w:uiPriority w:val="99"/>
    <w:rsid w:val="00644C52"/>
    <w:rPr>
      <w:rFonts w:ascii="Times New Roman" w:eastAsia="新細明體" w:hAnsi="Times New Roman" w:cs="Times New Roman"/>
      <w:szCs w:val="24"/>
    </w:rPr>
  </w:style>
  <w:style w:type="paragraph" w:styleId="HTML">
    <w:name w:val="HTML Preformatted"/>
    <w:basedOn w:val="a"/>
    <w:link w:val="HTML0"/>
    <w:rsid w:val="00644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lang w:bidi="hi-IN"/>
    </w:rPr>
  </w:style>
  <w:style w:type="character" w:customStyle="1" w:styleId="HTML0">
    <w:name w:val="HTML 預設格式 字元"/>
    <w:basedOn w:val="a0"/>
    <w:link w:val="HTML"/>
    <w:rsid w:val="00644C52"/>
    <w:rPr>
      <w:rFonts w:ascii="細明體" w:eastAsia="細明體" w:hAnsi="細明體" w:cs="細明體"/>
      <w:color w:val="000000"/>
      <w:kern w:val="0"/>
      <w:szCs w:val="24"/>
      <w:lang w:bidi="hi-IN"/>
    </w:rPr>
  </w:style>
  <w:style w:type="paragraph" w:customStyle="1" w:styleId="xl30">
    <w:name w:val="xl30"/>
    <w:basedOn w:val="a"/>
    <w:uiPriority w:val="99"/>
    <w:rsid w:val="00644C52"/>
    <w:pPr>
      <w:widowControl/>
      <w:spacing w:before="100" w:beforeAutospacing="1" w:after="100" w:afterAutospacing="1"/>
      <w:jc w:val="center"/>
      <w:textAlignment w:val="center"/>
    </w:pPr>
    <w:rPr>
      <w:rFonts w:ascii="全真楷書" w:eastAsia="全真楷書" w:hAnsi="Arial Unicode MS" w:cs="Arial Unicode MS" w:hint="eastAsia"/>
      <w:kern w:val="0"/>
      <w:szCs w:val="24"/>
    </w:rPr>
  </w:style>
  <w:style w:type="character" w:styleId="afa">
    <w:name w:val="FollowedHyperlink"/>
    <w:rsid w:val="00644C52"/>
    <w:rPr>
      <w:color w:val="800080"/>
      <w:u w:val="single"/>
    </w:rPr>
  </w:style>
  <w:style w:type="paragraph" w:customStyle="1" w:styleId="15">
    <w:name w:val="字元 字元1"/>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afb">
    <w:name w:val="字元 字元"/>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2">
    <w:name w:val="字元 字元2"/>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character" w:customStyle="1" w:styleId="storytitle1">
    <w:name w:val="story_title1"/>
    <w:rsid w:val="00644C52"/>
    <w:rPr>
      <w:rFonts w:ascii="Verdana" w:hAnsi="Verdana" w:hint="default"/>
      <w:b/>
      <w:bCs/>
      <w:color w:val="FF8000"/>
      <w:sz w:val="19"/>
      <w:szCs w:val="19"/>
    </w:rPr>
  </w:style>
  <w:style w:type="character" w:customStyle="1" w:styleId="storysubtitle1">
    <w:name w:val="story_sub_title1"/>
    <w:rsid w:val="00644C52"/>
    <w:rPr>
      <w:rFonts w:ascii="Verdana" w:hAnsi="Verdana" w:hint="default"/>
      <w:color w:val="FF8000"/>
      <w:sz w:val="19"/>
      <w:szCs w:val="19"/>
    </w:rPr>
  </w:style>
  <w:style w:type="character" w:customStyle="1" w:styleId="16">
    <w:name w:val="超連結1"/>
    <w:rsid w:val="00644C52"/>
    <w:rPr>
      <w:i w:val="0"/>
      <w:iCs w:val="0"/>
      <w:strike w:val="0"/>
      <w:dstrike w:val="0"/>
      <w:color w:val="ED145B"/>
      <w:u w:val="none"/>
      <w:effect w:val="none"/>
    </w:rPr>
  </w:style>
  <w:style w:type="paragraph" w:customStyle="1" w:styleId="t1">
    <w:name w:val="t1"/>
    <w:basedOn w:val="a"/>
    <w:uiPriority w:val="99"/>
    <w:rsid w:val="00644C52"/>
    <w:pPr>
      <w:widowControl/>
      <w:spacing w:before="100" w:beforeAutospacing="1" w:after="100" w:afterAutospacing="1"/>
    </w:pPr>
    <w:rPr>
      <w:rFonts w:ascii="新細明體" w:eastAsia="新細明體" w:hAnsi="新細明體" w:cs="新細明體"/>
      <w:b/>
      <w:bCs/>
      <w:color w:val="3271D0"/>
      <w:kern w:val="0"/>
      <w:sz w:val="18"/>
      <w:szCs w:val="18"/>
    </w:rPr>
  </w:style>
  <w:style w:type="paragraph" w:customStyle="1" w:styleId="17">
    <w:name w:val="內文1"/>
    <w:basedOn w:val="a"/>
    <w:uiPriority w:val="99"/>
    <w:rsid w:val="00644C52"/>
    <w:pPr>
      <w:widowControl/>
      <w:spacing w:line="330" w:lineRule="atLeast"/>
      <w:ind w:left="150" w:right="150"/>
    </w:pPr>
    <w:rPr>
      <w:rFonts w:ascii="新細明體" w:eastAsia="新細明體" w:hAnsi="新細明體" w:cs="新細明體"/>
      <w:kern w:val="0"/>
      <w:szCs w:val="24"/>
      <w:lang w:bidi="hi-IN"/>
    </w:rPr>
  </w:style>
  <w:style w:type="paragraph" w:styleId="afc">
    <w:name w:val="Date"/>
    <w:basedOn w:val="a"/>
    <w:next w:val="a"/>
    <w:link w:val="afd"/>
    <w:uiPriority w:val="99"/>
    <w:rsid w:val="00644C52"/>
    <w:pPr>
      <w:jc w:val="right"/>
    </w:pPr>
    <w:rPr>
      <w:rFonts w:ascii="Times New Roman" w:eastAsia="新細明體" w:hAnsi="Times New Roman" w:cs="Times New Roman"/>
      <w:szCs w:val="24"/>
    </w:rPr>
  </w:style>
  <w:style w:type="character" w:customStyle="1" w:styleId="afd">
    <w:name w:val="日期 字元"/>
    <w:basedOn w:val="a0"/>
    <w:link w:val="afc"/>
    <w:uiPriority w:val="99"/>
    <w:rsid w:val="00644C52"/>
    <w:rPr>
      <w:rFonts w:ascii="Times New Roman" w:eastAsia="新細明體" w:hAnsi="Times New Roman" w:cs="Times New Roman"/>
      <w:szCs w:val="24"/>
    </w:rPr>
  </w:style>
  <w:style w:type="table" w:customStyle="1" w:styleId="23">
    <w:name w:val="表格格線2"/>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unhideWhenUsed/>
    <w:rsid w:val="00644C52"/>
    <w:pPr>
      <w:spacing w:after="120"/>
    </w:pPr>
    <w:rPr>
      <w:rFonts w:ascii="Times New Roman" w:eastAsia="新細明體" w:hAnsi="Times New Roman" w:cs="Times New Roman"/>
      <w:szCs w:val="24"/>
    </w:rPr>
  </w:style>
  <w:style w:type="character" w:customStyle="1" w:styleId="aff">
    <w:name w:val="本文 字元"/>
    <w:basedOn w:val="a0"/>
    <w:link w:val="afe"/>
    <w:uiPriority w:val="99"/>
    <w:rsid w:val="00644C52"/>
    <w:rPr>
      <w:rFonts w:ascii="Times New Roman" w:eastAsia="新細明體" w:hAnsi="Times New Roman" w:cs="Times New Roman"/>
      <w:szCs w:val="24"/>
    </w:rPr>
  </w:style>
  <w:style w:type="table" w:customStyle="1" w:styleId="41">
    <w:name w:val="表格格線4"/>
    <w:basedOn w:val="a1"/>
    <w:next w:val="af3"/>
    <w:rsid w:val="00644C52"/>
    <w:pPr>
      <w:widowControl w:val="0"/>
      <w:adjustRightInd w:val="0"/>
      <w:spacing w:line="360" w:lineRule="atLeast"/>
      <w:textAlignment w:val="center"/>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te Heading"/>
    <w:basedOn w:val="a"/>
    <w:next w:val="a"/>
    <w:link w:val="aff1"/>
    <w:uiPriority w:val="99"/>
    <w:rsid w:val="00644C52"/>
    <w:pPr>
      <w:jc w:val="center"/>
    </w:pPr>
    <w:rPr>
      <w:rFonts w:ascii="Times New Roman" w:eastAsia="標楷體" w:hAnsi="Times New Roman" w:cs="Times New Roman"/>
      <w:b/>
      <w:bCs/>
      <w:sz w:val="32"/>
      <w:szCs w:val="32"/>
    </w:rPr>
  </w:style>
  <w:style w:type="character" w:customStyle="1" w:styleId="aff1">
    <w:name w:val="註釋標題 字元"/>
    <w:basedOn w:val="a0"/>
    <w:link w:val="aff0"/>
    <w:uiPriority w:val="99"/>
    <w:rsid w:val="00644C52"/>
    <w:rPr>
      <w:rFonts w:ascii="Times New Roman" w:eastAsia="標楷體" w:hAnsi="Times New Roman" w:cs="Times New Roman"/>
      <w:b/>
      <w:bCs/>
      <w:sz w:val="32"/>
      <w:szCs w:val="32"/>
    </w:rPr>
  </w:style>
  <w:style w:type="paragraph" w:styleId="aff2">
    <w:name w:val="Closing"/>
    <w:basedOn w:val="a"/>
    <w:link w:val="aff3"/>
    <w:uiPriority w:val="99"/>
    <w:rsid w:val="00644C52"/>
    <w:pPr>
      <w:ind w:leftChars="1800" w:left="100"/>
    </w:pPr>
    <w:rPr>
      <w:rFonts w:ascii="Times New Roman" w:eastAsia="標楷體" w:hAnsi="Times New Roman" w:cs="Times New Roman"/>
      <w:b/>
      <w:bCs/>
      <w:sz w:val="32"/>
      <w:szCs w:val="32"/>
    </w:rPr>
  </w:style>
  <w:style w:type="character" w:customStyle="1" w:styleId="aff3">
    <w:name w:val="結語 字元"/>
    <w:basedOn w:val="a0"/>
    <w:link w:val="aff2"/>
    <w:uiPriority w:val="99"/>
    <w:rsid w:val="00644C52"/>
    <w:rPr>
      <w:rFonts w:ascii="Times New Roman" w:eastAsia="標楷體" w:hAnsi="Times New Roman" w:cs="Times New Roman"/>
      <w:b/>
      <w:bCs/>
      <w:sz w:val="32"/>
      <w:szCs w:val="32"/>
    </w:rPr>
  </w:style>
  <w:style w:type="paragraph" w:customStyle="1" w:styleId="18">
    <w:name w:val="字元 字元1 字元 字元 字元 字元 字元 字元 字元 字元 字元 字元 字元 字元"/>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table" w:customStyle="1" w:styleId="5">
    <w:name w:val="表格格線5"/>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a">
    <w:name w:val="k1a"/>
    <w:basedOn w:val="a"/>
    <w:link w:val="k1a0"/>
    <w:rsid w:val="00644C52"/>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ascii="Times New Roman" w:eastAsia="標楷體" w:hAnsi="Times New Roman" w:cs="Times New Roman"/>
      <w:kern w:val="0"/>
      <w:sz w:val="28"/>
      <w:szCs w:val="20"/>
    </w:rPr>
  </w:style>
  <w:style w:type="table" w:customStyle="1" w:styleId="6">
    <w:name w:val="表格格線6"/>
    <w:basedOn w:val="a1"/>
    <w:next w:val="af3"/>
    <w:rsid w:val="00644C52"/>
    <w:pPr>
      <w:widowControl w:val="0"/>
      <w:adjustRightInd w:val="0"/>
      <w:spacing w:line="360" w:lineRule="atLeast"/>
      <w:textAlignment w:val="center"/>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644C52"/>
    <w:pPr>
      <w:widowControl w:val="0"/>
    </w:pPr>
    <w:rPr>
      <w:rFonts w:ascii="Times New Roman" w:eastAsia="新細明體" w:hAnsi="Times New Roman" w:cs="Times New Roman"/>
      <w:szCs w:val="24"/>
    </w:rPr>
  </w:style>
  <w:style w:type="paragraph" w:styleId="aff5">
    <w:name w:val="Revision"/>
    <w:hidden/>
    <w:uiPriority w:val="99"/>
    <w:semiHidden/>
    <w:rsid w:val="00644C52"/>
    <w:rPr>
      <w:rFonts w:ascii="Times New Roman" w:eastAsia="新細明體" w:hAnsi="Times New Roman" w:cs="Times New Roman"/>
      <w:szCs w:val="24"/>
    </w:rPr>
  </w:style>
  <w:style w:type="table" w:customStyle="1" w:styleId="9">
    <w:name w:val="表格格線9"/>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3"/>
    <w:link w:val="19"/>
    <w:qFormat/>
    <w:rsid w:val="00644C52"/>
    <w:pPr>
      <w:numPr>
        <w:numId w:val="13"/>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3"/>
    <w:link w:val="24"/>
    <w:qFormat/>
    <w:rsid w:val="00644C52"/>
    <w:pPr>
      <w:numPr>
        <w:ilvl w:val="1"/>
        <w:numId w:val="15"/>
      </w:numPr>
      <w:autoSpaceDE w:val="0"/>
      <w:spacing w:before="120" w:line="520" w:lineRule="exact"/>
      <w:ind w:leftChars="0" w:left="0"/>
      <w:jc w:val="both"/>
    </w:pPr>
    <w:rPr>
      <w:rFonts w:eastAsia="標楷體"/>
      <w:b/>
      <w:sz w:val="36"/>
      <w:szCs w:val="36"/>
    </w:rPr>
  </w:style>
  <w:style w:type="character" w:customStyle="1" w:styleId="19">
    <w:name w:val="樣式1 字元"/>
    <w:basedOn w:val="a4"/>
    <w:link w:val="10"/>
    <w:rsid w:val="00644C52"/>
    <w:rPr>
      <w:rFonts w:ascii="Times New Roman" w:eastAsia="標楷體" w:hAnsi="Times New Roman" w:cs="Times New Roman"/>
      <w:b/>
      <w:sz w:val="32"/>
      <w:szCs w:val="32"/>
    </w:rPr>
  </w:style>
  <w:style w:type="paragraph" w:customStyle="1" w:styleId="3">
    <w:name w:val="標題3"/>
    <w:basedOn w:val="2"/>
    <w:link w:val="34"/>
    <w:qFormat/>
    <w:rsid w:val="00644C52"/>
    <w:pPr>
      <w:numPr>
        <w:ilvl w:val="2"/>
      </w:numPr>
      <w:tabs>
        <w:tab w:val="left" w:pos="1701"/>
      </w:tabs>
    </w:pPr>
    <w:rPr>
      <w:sz w:val="32"/>
      <w:szCs w:val="32"/>
    </w:rPr>
  </w:style>
  <w:style w:type="character" w:customStyle="1" w:styleId="24">
    <w:name w:val="標題2 字元"/>
    <w:basedOn w:val="a4"/>
    <w:link w:val="2"/>
    <w:rsid w:val="00644C52"/>
    <w:rPr>
      <w:rFonts w:ascii="Times New Roman" w:eastAsia="標楷體" w:hAnsi="Times New Roman" w:cs="Times New Roman"/>
      <w:b/>
      <w:sz w:val="36"/>
      <w:szCs w:val="36"/>
    </w:rPr>
  </w:style>
  <w:style w:type="paragraph" w:customStyle="1" w:styleId="42">
    <w:name w:val="標題4"/>
    <w:basedOn w:val="3"/>
    <w:link w:val="43"/>
    <w:qFormat/>
    <w:rsid w:val="00644C52"/>
    <w:pPr>
      <w:numPr>
        <w:ilvl w:val="0"/>
        <w:numId w:val="0"/>
      </w:numPr>
    </w:pPr>
  </w:style>
  <w:style w:type="character" w:customStyle="1" w:styleId="34">
    <w:name w:val="標題3 字元"/>
    <w:basedOn w:val="19"/>
    <w:link w:val="3"/>
    <w:rsid w:val="00644C52"/>
    <w:rPr>
      <w:rFonts w:ascii="Times New Roman" w:eastAsia="標楷體" w:hAnsi="Times New Roman" w:cs="Times New Roman"/>
      <w:b/>
      <w:sz w:val="32"/>
      <w:szCs w:val="32"/>
    </w:rPr>
  </w:style>
  <w:style w:type="paragraph" w:customStyle="1" w:styleId="1">
    <w:name w:val="標題1"/>
    <w:basedOn w:val="10"/>
    <w:link w:val="1a"/>
    <w:qFormat/>
    <w:rsid w:val="00644C52"/>
    <w:pPr>
      <w:numPr>
        <w:numId w:val="14"/>
      </w:numPr>
      <w:tabs>
        <w:tab w:val="clear" w:pos="1276"/>
      </w:tabs>
    </w:pPr>
    <w:rPr>
      <w:b w:val="0"/>
      <w:sz w:val="40"/>
      <w:szCs w:val="40"/>
    </w:rPr>
  </w:style>
  <w:style w:type="character" w:customStyle="1" w:styleId="43">
    <w:name w:val="標題4 字元"/>
    <w:basedOn w:val="a0"/>
    <w:link w:val="42"/>
    <w:rsid w:val="00644C52"/>
    <w:rPr>
      <w:rFonts w:ascii="Times New Roman" w:eastAsia="標楷體" w:hAnsi="Times New Roman" w:cs="Times New Roman"/>
      <w:b/>
      <w:sz w:val="32"/>
      <w:szCs w:val="32"/>
    </w:rPr>
  </w:style>
  <w:style w:type="character" w:customStyle="1" w:styleId="1a">
    <w:name w:val="標題1 字元"/>
    <w:basedOn w:val="19"/>
    <w:link w:val="1"/>
    <w:rsid w:val="00644C52"/>
    <w:rPr>
      <w:rFonts w:ascii="Times New Roman" w:eastAsia="標楷體" w:hAnsi="Times New Roman" w:cs="Times New Roman"/>
      <w:b w:val="0"/>
      <w:sz w:val="40"/>
      <w:szCs w:val="40"/>
    </w:rPr>
  </w:style>
  <w:style w:type="paragraph" w:customStyle="1" w:styleId="1b">
    <w:name w:val="專題樣式1"/>
    <w:basedOn w:val="a3"/>
    <w:link w:val="1c"/>
    <w:qFormat/>
    <w:rsid w:val="00644C52"/>
    <w:pPr>
      <w:tabs>
        <w:tab w:val="left" w:pos="709"/>
      </w:tabs>
      <w:spacing w:beforeLines="100" w:before="240" w:line="500" w:lineRule="exact"/>
      <w:ind w:leftChars="0" w:left="0"/>
    </w:pPr>
    <w:rPr>
      <w:rFonts w:ascii="標楷體" w:eastAsia="標楷體" w:hAnsi="標楷體"/>
      <w:b/>
      <w:sz w:val="32"/>
      <w:szCs w:val="32"/>
    </w:rPr>
  </w:style>
  <w:style w:type="character" w:customStyle="1" w:styleId="1c">
    <w:name w:val="專題樣式1 字元"/>
    <w:basedOn w:val="a4"/>
    <w:link w:val="1b"/>
    <w:rsid w:val="00644C52"/>
    <w:rPr>
      <w:rFonts w:ascii="標楷體" w:eastAsia="標楷體" w:hAnsi="標楷體" w:cs="Times New Roman"/>
      <w:b/>
      <w:sz w:val="32"/>
      <w:szCs w:val="32"/>
    </w:rPr>
  </w:style>
  <w:style w:type="paragraph" w:styleId="1d">
    <w:name w:val="toc 1"/>
    <w:basedOn w:val="a"/>
    <w:next w:val="a"/>
    <w:autoRedefine/>
    <w:uiPriority w:val="39"/>
    <w:unhideWhenUsed/>
    <w:qFormat/>
    <w:rsid w:val="007A03B1"/>
    <w:pPr>
      <w:widowControl/>
      <w:tabs>
        <w:tab w:val="left" w:pos="2290"/>
        <w:tab w:val="right" w:leader="dot" w:pos="8296"/>
      </w:tabs>
      <w:adjustRightInd w:val="0"/>
      <w:snapToGrid w:val="0"/>
      <w:spacing w:beforeLines="50" w:before="180" w:line="360" w:lineRule="exact"/>
      <w:jc w:val="center"/>
    </w:pPr>
    <w:rPr>
      <w:rFonts w:ascii="標楷體" w:eastAsia="標楷體" w:hAnsi="標楷體"/>
      <w:b/>
      <w:noProof/>
      <w:kern w:val="0"/>
      <w:sz w:val="32"/>
      <w:szCs w:val="28"/>
    </w:rPr>
  </w:style>
  <w:style w:type="paragraph" w:styleId="25">
    <w:name w:val="toc 2"/>
    <w:basedOn w:val="a"/>
    <w:next w:val="a"/>
    <w:autoRedefine/>
    <w:uiPriority w:val="39"/>
    <w:unhideWhenUsed/>
    <w:qFormat/>
    <w:rsid w:val="007F005F"/>
    <w:pPr>
      <w:widowControl/>
      <w:tabs>
        <w:tab w:val="right" w:leader="dot" w:pos="8296"/>
      </w:tabs>
      <w:adjustRightInd w:val="0"/>
      <w:snapToGrid w:val="0"/>
      <w:spacing w:before="50" w:line="500" w:lineRule="exact"/>
      <w:ind w:leftChars="101" w:left="242"/>
    </w:pPr>
    <w:rPr>
      <w:rFonts w:ascii="微軟正黑體" w:eastAsia="標楷體" w:hAnsi="微軟正黑體"/>
      <w:b/>
      <w:bCs/>
      <w:noProof/>
      <w:kern w:val="0"/>
      <w:sz w:val="28"/>
      <w:szCs w:val="28"/>
    </w:rPr>
  </w:style>
  <w:style w:type="paragraph" w:styleId="aff6">
    <w:name w:val="TOC Heading"/>
    <w:basedOn w:val="11"/>
    <w:next w:val="a"/>
    <w:uiPriority w:val="39"/>
    <w:semiHidden/>
    <w:unhideWhenUsed/>
    <w:qFormat/>
    <w:rsid w:val="00644C52"/>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numbering" w:customStyle="1" w:styleId="1e">
    <w:name w:val="無清單1"/>
    <w:next w:val="a2"/>
    <w:uiPriority w:val="99"/>
    <w:semiHidden/>
    <w:unhideWhenUsed/>
    <w:rsid w:val="00644C52"/>
  </w:style>
  <w:style w:type="table" w:customStyle="1" w:styleId="100">
    <w:name w:val="表格格線10"/>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644C52"/>
  </w:style>
  <w:style w:type="table" w:customStyle="1" w:styleId="130">
    <w:name w:val="表格格線13"/>
    <w:basedOn w:val="a1"/>
    <w:next w:val="af3"/>
    <w:rsid w:val="00644C52"/>
    <w:pPr>
      <w:widowControl w:val="0"/>
      <w:spacing w:line="240" w:lineRule="exact"/>
    </w:pPr>
    <w:rPr>
      <w:rFonts w:ascii="Times New Roman" w:eastAsia="微軟正黑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f3"/>
    <w:uiPriority w:val="59"/>
    <w:rsid w:val="00644C52"/>
    <w:pPr>
      <w:spacing w:line="240" w:lineRule="exact"/>
    </w:pPr>
    <w:rPr>
      <w:rFonts w:ascii="Calibri" w:eastAsia="微軟正黑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table" w:customStyle="1" w:styleId="71">
    <w:name w:val="表格格線7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3"/>
    <w:rsid w:val="00644C52"/>
    <w:pPr>
      <w:widowControl w:val="0"/>
      <w:spacing w:line="240" w:lineRule="exact"/>
    </w:pPr>
    <w:rPr>
      <w:rFonts w:ascii="Times New Roman" w:eastAsia="微軟正黑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字元 字元 字元2"/>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paragraph" w:customStyle="1" w:styleId="220">
    <w:name w:val="字元 字元22"/>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table" w:customStyle="1" w:styleId="91">
    <w:name w:val="表格格線9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numbering" w:customStyle="1" w:styleId="113">
    <w:name w:val="無清單11"/>
    <w:next w:val="a2"/>
    <w:uiPriority w:val="99"/>
    <w:semiHidden/>
    <w:unhideWhenUsed/>
    <w:rsid w:val="00644C52"/>
  </w:style>
  <w:style w:type="table" w:customStyle="1" w:styleId="101">
    <w:name w:val="表格格線101"/>
    <w:basedOn w:val="a1"/>
    <w:next w:val="af3"/>
    <w:uiPriority w:val="59"/>
    <w:rsid w:val="00644C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字元 字元 字元1"/>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11">
    <w:name w:val="字元 字元3 字元 字元 字元1"/>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115">
    <w:name w:val="字元 字元11"/>
    <w:basedOn w:val="a"/>
    <w:uiPriority w:val="99"/>
    <w:semiHidden/>
    <w:rsid w:val="00644C52"/>
    <w:pPr>
      <w:widowControl/>
      <w:spacing w:after="160" w:line="240" w:lineRule="exact"/>
    </w:pPr>
    <w:rPr>
      <w:rFonts w:ascii="Verdana" w:eastAsia="Times New Roman" w:hAnsi="Verdana" w:cs="Mangal"/>
      <w:kern w:val="0"/>
      <w:sz w:val="20"/>
      <w:szCs w:val="20"/>
      <w:lang w:eastAsia="en-US" w:bidi="hi-IN"/>
    </w:rPr>
  </w:style>
  <w:style w:type="paragraph" w:customStyle="1" w:styleId="35">
    <w:name w:val="字元 字元3"/>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paragraph" w:customStyle="1" w:styleId="212">
    <w:name w:val="字元 字元21"/>
    <w:basedOn w:val="a"/>
    <w:uiPriority w:val="99"/>
    <w:rsid w:val="00644C52"/>
    <w:pPr>
      <w:widowControl/>
      <w:spacing w:after="160" w:line="240" w:lineRule="exact"/>
    </w:pPr>
    <w:rPr>
      <w:rFonts w:ascii="Tahoma" w:eastAsia="微軟正黑體" w:hAnsi="Tahoma" w:cs="Times New Roman"/>
      <w:kern w:val="0"/>
      <w:sz w:val="20"/>
      <w:szCs w:val="20"/>
      <w:lang w:eastAsia="en-US"/>
    </w:rPr>
  </w:style>
  <w:style w:type="numbering" w:customStyle="1" w:styleId="213">
    <w:name w:val="無清單21"/>
    <w:next w:val="a2"/>
    <w:uiPriority w:val="99"/>
    <w:semiHidden/>
    <w:unhideWhenUsed/>
    <w:rsid w:val="00644C52"/>
  </w:style>
  <w:style w:type="table" w:customStyle="1" w:styleId="131">
    <w:name w:val="表格格線13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3"/>
    <w:uiPriority w:val="59"/>
    <w:rsid w:val="00644C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644C52"/>
  </w:style>
  <w:style w:type="table" w:customStyle="1" w:styleId="1011">
    <w:name w:val="表格格線101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644C52"/>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644C52"/>
    <w:rPr>
      <w:rFonts w:ascii="Times New Roman" w:eastAsia="新細明體" w:hAnsi="Times New Roman" w:cs="Times New Roman"/>
      <w:szCs w:val="24"/>
    </w:rPr>
  </w:style>
  <w:style w:type="character" w:styleId="aff9">
    <w:name w:val="endnote reference"/>
    <w:basedOn w:val="a0"/>
    <w:uiPriority w:val="99"/>
    <w:semiHidden/>
    <w:unhideWhenUsed/>
    <w:rsid w:val="00644C52"/>
    <w:rPr>
      <w:vertAlign w:val="superscript"/>
    </w:rPr>
  </w:style>
  <w:style w:type="table" w:customStyle="1" w:styleId="1311">
    <w:name w:val="表格格線1311"/>
    <w:basedOn w:val="a1"/>
    <w:next w:val="af3"/>
    <w:rsid w:val="00644C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3"/>
    <w:uiPriority w:val="59"/>
    <w:rsid w:val="00644C52"/>
    <w:rPr>
      <w:rFonts w:ascii="Times New Roman" w:eastAsia="新細明體"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644C52"/>
    <w:rPr>
      <w:rFonts w:ascii="Times New Roman" w:eastAsia="標楷體" w:hAnsi="Times New Roman" w:cs="Times New Roman"/>
      <w:kern w:val="0"/>
      <w:sz w:val="28"/>
      <w:szCs w:val="20"/>
    </w:rPr>
  </w:style>
  <w:style w:type="paragraph" w:customStyle="1" w:styleId="k00t18">
    <w:name w:val="k00t18"/>
    <w:basedOn w:val="a"/>
    <w:uiPriority w:val="99"/>
    <w:rsid w:val="00644C52"/>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ascii="Times New Roman" w:eastAsia="文鼎中楷" w:hAnsi="Clarendon Condensed" w:cs="Times New Roman"/>
      <w:kern w:val="0"/>
      <w:sz w:val="36"/>
      <w:szCs w:val="20"/>
    </w:rPr>
  </w:style>
  <w:style w:type="table" w:styleId="-1">
    <w:name w:val="Light Shading Accent 1"/>
    <w:basedOn w:val="a1"/>
    <w:uiPriority w:val="60"/>
    <w:rsid w:val="00644C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6">
    <w:name w:val="toc 3"/>
    <w:basedOn w:val="a"/>
    <w:next w:val="a"/>
    <w:autoRedefine/>
    <w:uiPriority w:val="39"/>
    <w:semiHidden/>
    <w:unhideWhenUsed/>
    <w:qFormat/>
    <w:rsid w:val="00644C52"/>
    <w:pPr>
      <w:widowControl/>
      <w:spacing w:after="100" w:line="276" w:lineRule="auto"/>
      <w:ind w:left="440"/>
    </w:pPr>
    <w:rPr>
      <w:kern w:val="0"/>
      <w:sz w:val="22"/>
    </w:rPr>
  </w:style>
  <w:style w:type="paragraph" w:customStyle="1" w:styleId="70">
    <w:name w:val="字元 字元7"/>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4"/>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37">
    <w:name w:val="字元 字元 字元3"/>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3"/>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60">
    <w:name w:val="字元 字元6"/>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30">
    <w:name w:val="字元 字元23"/>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134">
    <w:name w:val="字元 字元1 字元 字元 字元 字元 字元 字元 字元 字元 字元 字元 字元 字元3"/>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character" w:customStyle="1" w:styleId="f10-con1">
    <w:name w:val="f10-con1"/>
    <w:basedOn w:val="a0"/>
    <w:rsid w:val="00644C52"/>
    <w:rPr>
      <w:rFonts w:ascii="Verdana" w:hAnsi="Verdana" w:hint="default"/>
      <w:color w:val="666666"/>
      <w:sz w:val="20"/>
      <w:szCs w:val="20"/>
    </w:rPr>
  </w:style>
  <w:style w:type="paragraph" w:customStyle="1" w:styleId="90">
    <w:name w:val="字元 字元9"/>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61">
    <w:name w:val="字元 字元1 字元 字元 字元 字元 字元 字元 字元 字元 字元 字元 字元 字元6"/>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45">
    <w:name w:val="字元 字元 字元4"/>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uiPriority w:val="99"/>
    <w:rsid w:val="00644C52"/>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144">
    <w:name w:val="字元 字元14"/>
    <w:basedOn w:val="a"/>
    <w:uiPriority w:val="99"/>
    <w:semiHidden/>
    <w:rsid w:val="00644C52"/>
    <w:pPr>
      <w:widowControl/>
      <w:spacing w:after="160" w:line="240" w:lineRule="exact"/>
    </w:pPr>
    <w:rPr>
      <w:rFonts w:ascii="Verdana" w:eastAsia="Times New Roman" w:hAnsi="Verdana" w:cs="Mangal"/>
      <w:sz w:val="20"/>
      <w:szCs w:val="24"/>
      <w:lang w:eastAsia="en-US" w:bidi="hi-IN"/>
    </w:rPr>
  </w:style>
  <w:style w:type="paragraph" w:customStyle="1" w:styleId="80">
    <w:name w:val="字元 字元8"/>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240">
    <w:name w:val="字元 字元24"/>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paragraph" w:customStyle="1" w:styleId="153">
    <w:name w:val="字元 字元1 字元 字元 字元 字元 字元 字元 字元 字元 字元 字元 字元 字元5"/>
    <w:basedOn w:val="a"/>
    <w:uiPriority w:val="99"/>
    <w:rsid w:val="00644C52"/>
    <w:pPr>
      <w:widowControl/>
      <w:spacing w:after="160" w:line="240" w:lineRule="exact"/>
    </w:pPr>
    <w:rPr>
      <w:rFonts w:ascii="Tahoma" w:eastAsia="新細明體" w:hAnsi="Tahoma" w:cs="Times New Roman"/>
      <w:kern w:val="0"/>
      <w:sz w:val="20"/>
      <w:szCs w:val="20"/>
      <w:lang w:eastAsia="en-US"/>
    </w:rPr>
  </w:style>
  <w:style w:type="table" w:customStyle="1" w:styleId="170">
    <w:name w:val="表格格線17"/>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next w:val="-1"/>
    <w:uiPriority w:val="60"/>
    <w:rsid w:val="00644C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644C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21">
    <w:name w:val="表格格線22"/>
    <w:basedOn w:val="a1"/>
    <w:next w:val="af3"/>
    <w:uiPriority w:val="59"/>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1"/>
    <w:next w:val="af3"/>
    <w:rsid w:val="006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C5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877">
      <w:bodyDiv w:val="1"/>
      <w:marLeft w:val="0"/>
      <w:marRight w:val="0"/>
      <w:marTop w:val="0"/>
      <w:marBottom w:val="0"/>
      <w:divBdr>
        <w:top w:val="none" w:sz="0" w:space="0" w:color="auto"/>
        <w:left w:val="none" w:sz="0" w:space="0" w:color="auto"/>
        <w:bottom w:val="none" w:sz="0" w:space="0" w:color="auto"/>
        <w:right w:val="none" w:sz="0" w:space="0" w:color="auto"/>
      </w:divBdr>
    </w:div>
    <w:div w:id="352072478">
      <w:bodyDiv w:val="1"/>
      <w:marLeft w:val="0"/>
      <w:marRight w:val="0"/>
      <w:marTop w:val="0"/>
      <w:marBottom w:val="0"/>
      <w:divBdr>
        <w:top w:val="none" w:sz="0" w:space="0" w:color="auto"/>
        <w:left w:val="none" w:sz="0" w:space="0" w:color="auto"/>
        <w:bottom w:val="none" w:sz="0" w:space="0" w:color="auto"/>
        <w:right w:val="none" w:sz="0" w:space="0" w:color="auto"/>
      </w:divBdr>
    </w:div>
    <w:div w:id="725684061">
      <w:bodyDiv w:val="1"/>
      <w:marLeft w:val="0"/>
      <w:marRight w:val="0"/>
      <w:marTop w:val="0"/>
      <w:marBottom w:val="0"/>
      <w:divBdr>
        <w:top w:val="none" w:sz="0" w:space="0" w:color="auto"/>
        <w:left w:val="none" w:sz="0" w:space="0" w:color="auto"/>
        <w:bottom w:val="none" w:sz="0" w:space="0" w:color="auto"/>
        <w:right w:val="none" w:sz="0" w:space="0" w:color="auto"/>
      </w:divBdr>
    </w:div>
    <w:div w:id="1277954889">
      <w:bodyDiv w:val="1"/>
      <w:marLeft w:val="0"/>
      <w:marRight w:val="0"/>
      <w:marTop w:val="0"/>
      <w:marBottom w:val="0"/>
      <w:divBdr>
        <w:top w:val="none" w:sz="0" w:space="0" w:color="auto"/>
        <w:left w:val="none" w:sz="0" w:space="0" w:color="auto"/>
        <w:bottom w:val="none" w:sz="0" w:space="0" w:color="auto"/>
        <w:right w:val="none" w:sz="0" w:space="0" w:color="auto"/>
      </w:divBdr>
    </w:div>
    <w:div w:id="1359545949">
      <w:bodyDiv w:val="1"/>
      <w:marLeft w:val="0"/>
      <w:marRight w:val="0"/>
      <w:marTop w:val="0"/>
      <w:marBottom w:val="0"/>
      <w:divBdr>
        <w:top w:val="none" w:sz="0" w:space="0" w:color="auto"/>
        <w:left w:val="none" w:sz="0" w:space="0" w:color="auto"/>
        <w:bottom w:val="none" w:sz="0" w:space="0" w:color="auto"/>
        <w:right w:val="none" w:sz="0" w:space="0" w:color="auto"/>
      </w:divBdr>
    </w:div>
    <w:div w:id="1661691367">
      <w:bodyDiv w:val="1"/>
      <w:marLeft w:val="0"/>
      <w:marRight w:val="0"/>
      <w:marTop w:val="0"/>
      <w:marBottom w:val="0"/>
      <w:divBdr>
        <w:top w:val="none" w:sz="0" w:space="0" w:color="auto"/>
        <w:left w:val="none" w:sz="0" w:space="0" w:color="auto"/>
        <w:bottom w:val="none" w:sz="0" w:space="0" w:color="auto"/>
        <w:right w:val="none" w:sz="0" w:space="0" w:color="auto"/>
      </w:divBdr>
    </w:div>
    <w:div w:id="19261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oleObject" Target="embeddings/Microsoft_Excel_Chart1.xls"/><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1.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4.xml"/><Relationship Id="rId27" Type="http://schemas.openxmlformats.org/officeDocument/2006/relationships/chart" Target="charts/chart10.xml"/><Relationship Id="rId30" Type="http://schemas.openxmlformats.org/officeDocument/2006/relationships/footer" Target="footer8.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10.10.188.3\&#23542;&#24950;&#32178;&#36335;&#30828;&#30879;\&#32147;&#28639;&#34389;\05_&#22823;&#38520;&#32147;&#28639;&#31185;\06&#23395;&#22577;\2018&#24180;&#24180;&#22577;&#24037;&#20316;&#21312;\&#21488;&#28771;&#23565;&#20013;&#22283;&#36914;&#20986;&#21475;(&#2229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icrosoft%20Word%20&#30340;&#22294;&#34920;%20"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10.10.188.3\&#23542;&#24950;&#32178;&#36335;&#30828;&#30879;\&#32147;&#28639;&#34389;\05_&#22823;&#38520;&#32147;&#28639;&#31185;\06&#23395;&#22577;\2018&#24180;&#24180;&#22577;&#24037;&#20316;&#21312;\&#21488;&#28771;&#23565;&#20013;&#22283;&#36914;&#20986;&#21475;(&#2229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固定資產投資</c:v>
                </c:pt>
              </c:strCache>
            </c:strRef>
          </c:tx>
          <c:spPr>
            <a:ln w="19050"/>
          </c:spPr>
          <c:marker>
            <c:symbol val="none"/>
          </c:marker>
          <c:dPt>
            <c:idx val="2"/>
            <c:bubble3D val="0"/>
          </c:dPt>
          <c:cat>
            <c:numRef>
              <c:f>工作表1!$A$2:$A$13</c:f>
              <c:numCache>
                <c:formatCode>@</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工作表1!$B$2:$B$13</c:f>
              <c:numCache>
                <c:formatCode>#,##0.0</c:formatCode>
                <c:ptCount val="12"/>
                <c:pt idx="0">
                  <c:v>7.9</c:v>
                </c:pt>
                <c:pt idx="1">
                  <c:v>7.9</c:v>
                </c:pt>
                <c:pt idx="2">
                  <c:v>7.5</c:v>
                </c:pt>
                <c:pt idx="3">
                  <c:v>7</c:v>
                </c:pt>
                <c:pt idx="4">
                  <c:v>6.1</c:v>
                </c:pt>
                <c:pt idx="5">
                  <c:v>6</c:v>
                </c:pt>
                <c:pt idx="6">
                  <c:v>5.5</c:v>
                </c:pt>
                <c:pt idx="7">
                  <c:v>5.3</c:v>
                </c:pt>
                <c:pt idx="8">
                  <c:v>5.4</c:v>
                </c:pt>
                <c:pt idx="9">
                  <c:v>5.7</c:v>
                </c:pt>
                <c:pt idx="10">
                  <c:v>5.9</c:v>
                </c:pt>
                <c:pt idx="11">
                  <c:v>5.9</c:v>
                </c:pt>
              </c:numCache>
            </c:numRef>
          </c:val>
          <c:smooth val="0"/>
        </c:ser>
        <c:ser>
          <c:idx val="1"/>
          <c:order val="1"/>
          <c:tx>
            <c:strRef>
              <c:f>工作表1!$C$1</c:f>
              <c:strCache>
                <c:ptCount val="1"/>
                <c:pt idx="0">
                  <c:v>製造業</c:v>
                </c:pt>
              </c:strCache>
            </c:strRef>
          </c:tx>
          <c:spPr>
            <a:ln w="12700">
              <a:prstDash val="sysDot"/>
            </a:ln>
          </c:spPr>
          <c:marker>
            <c:spPr>
              <a:ln w="12700">
                <a:prstDash val="sysDot"/>
              </a:ln>
            </c:spPr>
          </c:marker>
          <c:cat>
            <c:numRef>
              <c:f>工作表1!$A$2:$A$13</c:f>
              <c:numCache>
                <c:formatCode>@</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工作表1!$C$2:$C$13</c:f>
              <c:numCache>
                <c:formatCode>#,##0.0</c:formatCode>
                <c:ptCount val="12"/>
                <c:pt idx="0">
                  <c:v>4.3</c:v>
                </c:pt>
                <c:pt idx="1">
                  <c:v>4.3</c:v>
                </c:pt>
                <c:pt idx="2">
                  <c:v>3.8</c:v>
                </c:pt>
                <c:pt idx="3">
                  <c:v>4.8</c:v>
                </c:pt>
                <c:pt idx="4">
                  <c:v>5.2</c:v>
                </c:pt>
                <c:pt idx="5">
                  <c:v>6.8</c:v>
                </c:pt>
                <c:pt idx="6">
                  <c:v>7.3</c:v>
                </c:pt>
                <c:pt idx="7">
                  <c:v>7.5</c:v>
                </c:pt>
                <c:pt idx="8">
                  <c:v>8.6999999999999993</c:v>
                </c:pt>
                <c:pt idx="9">
                  <c:v>9.1</c:v>
                </c:pt>
                <c:pt idx="10">
                  <c:v>9.5</c:v>
                </c:pt>
                <c:pt idx="11">
                  <c:v>9.5</c:v>
                </c:pt>
              </c:numCache>
            </c:numRef>
          </c:val>
          <c:smooth val="0"/>
        </c:ser>
        <c:ser>
          <c:idx val="2"/>
          <c:order val="2"/>
          <c:tx>
            <c:strRef>
              <c:f>工作表1!$D$1</c:f>
              <c:strCache>
                <c:ptCount val="1"/>
                <c:pt idx="0">
                  <c:v>基礎設施</c:v>
                </c:pt>
              </c:strCache>
            </c:strRef>
          </c:tx>
          <c:spPr>
            <a:ln w="12700">
              <a:prstDash val="dash"/>
            </a:ln>
          </c:spPr>
          <c:marker>
            <c:spPr>
              <a:ln w="12700">
                <a:prstDash val="dash"/>
              </a:ln>
            </c:spPr>
          </c:marker>
          <c:cat>
            <c:numRef>
              <c:f>工作表1!$A$2:$A$13</c:f>
              <c:numCache>
                <c:formatCode>@</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工作表1!$D$2:$D$13</c:f>
              <c:numCache>
                <c:formatCode>#,##0.0</c:formatCode>
                <c:ptCount val="12"/>
                <c:pt idx="0">
                  <c:v>16.100000000000001</c:v>
                </c:pt>
                <c:pt idx="1">
                  <c:v>16.100000000000001</c:v>
                </c:pt>
                <c:pt idx="2">
                  <c:v>13</c:v>
                </c:pt>
                <c:pt idx="3">
                  <c:v>12.4</c:v>
                </c:pt>
                <c:pt idx="4">
                  <c:v>9.4</c:v>
                </c:pt>
                <c:pt idx="5">
                  <c:v>7.3</c:v>
                </c:pt>
                <c:pt idx="6">
                  <c:v>5.7</c:v>
                </c:pt>
                <c:pt idx="7">
                  <c:v>4.2</c:v>
                </c:pt>
                <c:pt idx="8">
                  <c:v>3.3</c:v>
                </c:pt>
                <c:pt idx="9">
                  <c:v>3.7</c:v>
                </c:pt>
                <c:pt idx="10">
                  <c:v>3.7</c:v>
                </c:pt>
                <c:pt idx="11">
                  <c:v>3.8</c:v>
                </c:pt>
              </c:numCache>
            </c:numRef>
          </c:val>
          <c:smooth val="0"/>
        </c:ser>
        <c:ser>
          <c:idx val="3"/>
          <c:order val="3"/>
          <c:tx>
            <c:strRef>
              <c:f>工作表1!$E$1</c:f>
              <c:strCache>
                <c:ptCount val="1"/>
                <c:pt idx="0">
                  <c:v>房地產開發</c:v>
                </c:pt>
              </c:strCache>
            </c:strRef>
          </c:tx>
          <c:spPr>
            <a:ln w="12700">
              <a:prstDash val="solid"/>
            </a:ln>
          </c:spPr>
          <c:marker>
            <c:spPr>
              <a:ln w="12700">
                <a:prstDash val="solid"/>
              </a:ln>
            </c:spPr>
          </c:marker>
          <c:cat>
            <c:numRef>
              <c:f>工作表1!$A$2:$A$13</c:f>
              <c:numCache>
                <c:formatCode>@</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工作表1!$E$2:$E$13</c:f>
              <c:numCache>
                <c:formatCode>#,##0.0</c:formatCode>
                <c:ptCount val="12"/>
                <c:pt idx="0">
                  <c:v>9.9</c:v>
                </c:pt>
                <c:pt idx="1">
                  <c:v>9.9</c:v>
                </c:pt>
                <c:pt idx="2">
                  <c:v>10.4</c:v>
                </c:pt>
                <c:pt idx="3">
                  <c:v>10.3</c:v>
                </c:pt>
                <c:pt idx="4">
                  <c:v>10.199999999999999</c:v>
                </c:pt>
                <c:pt idx="5">
                  <c:v>9.6999999999999993</c:v>
                </c:pt>
                <c:pt idx="6">
                  <c:v>10.199999999999999</c:v>
                </c:pt>
                <c:pt idx="7">
                  <c:v>10.1</c:v>
                </c:pt>
                <c:pt idx="8">
                  <c:v>9.9</c:v>
                </c:pt>
                <c:pt idx="9">
                  <c:v>9.6999999999999993</c:v>
                </c:pt>
                <c:pt idx="10">
                  <c:v>9.6999999999999993</c:v>
                </c:pt>
                <c:pt idx="11">
                  <c:v>9.5</c:v>
                </c:pt>
              </c:numCache>
            </c:numRef>
          </c:val>
          <c:smooth val="0"/>
        </c:ser>
        <c:dLbls>
          <c:showLegendKey val="0"/>
          <c:showVal val="0"/>
          <c:showCatName val="0"/>
          <c:showSerName val="0"/>
          <c:showPercent val="0"/>
          <c:showBubbleSize val="0"/>
        </c:dLbls>
        <c:marker val="1"/>
        <c:smooth val="0"/>
        <c:axId val="669787648"/>
        <c:axId val="647169728"/>
      </c:lineChart>
      <c:catAx>
        <c:axId val="669787648"/>
        <c:scaling>
          <c:orientation val="minMax"/>
        </c:scaling>
        <c:delete val="0"/>
        <c:axPos val="b"/>
        <c:numFmt formatCode="@" sourceLinked="1"/>
        <c:majorTickMark val="out"/>
        <c:minorTickMark val="none"/>
        <c:tickLblPos val="nextTo"/>
        <c:crossAx val="647169728"/>
        <c:crosses val="autoZero"/>
        <c:auto val="1"/>
        <c:lblAlgn val="ctr"/>
        <c:lblOffset val="100"/>
        <c:noMultiLvlLbl val="0"/>
      </c:catAx>
      <c:valAx>
        <c:axId val="647169728"/>
        <c:scaling>
          <c:orientation val="minMax"/>
        </c:scaling>
        <c:delete val="0"/>
        <c:axPos val="l"/>
        <c:majorGridlines>
          <c:spPr>
            <a:ln>
              <a:noFill/>
            </a:ln>
          </c:spPr>
        </c:majorGridlines>
        <c:numFmt formatCode="#,##0" sourceLinked="0"/>
        <c:majorTickMark val="out"/>
        <c:minorTickMark val="none"/>
        <c:tickLblPos val="nextTo"/>
        <c:crossAx val="669787648"/>
        <c:crosses val="autoZero"/>
        <c:crossBetween val="between"/>
        <c:majorUnit val="4"/>
      </c:valAx>
    </c:plotArea>
    <c:legend>
      <c:legendPos val="t"/>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'[台灣對中國進出口(圖).xlsx]工作表2'!$A$14</c:f>
              <c:strCache>
                <c:ptCount val="1"/>
                <c:pt idx="0">
                  <c:v>2017</c:v>
                </c:pt>
              </c:strCache>
            </c:strRef>
          </c:tx>
          <c:invertIfNegative val="0"/>
          <c:dLbls>
            <c:dLbl>
              <c:idx val="4"/>
              <c:layout>
                <c:manualLayout>
                  <c:x val="-1.6040969610752971E-2"/>
                  <c:y val="0"/>
                </c:manualLayout>
              </c:layout>
              <c:dLblPos val="outEnd"/>
              <c:showLegendKey val="0"/>
              <c:showVal val="1"/>
              <c:showCatName val="0"/>
              <c:showSerName val="0"/>
              <c:showPercent val="0"/>
              <c:showBubbleSize val="0"/>
            </c:dLbl>
            <c:dLbl>
              <c:idx val="6"/>
              <c:layout>
                <c:manualLayout>
                  <c:x val="-6.874701261751273E-3"/>
                  <c:y val="-6.0045946969499971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'[台灣對中國進出口(圖).xlsx]工作表2'!$B$13:$J$13</c:f>
              <c:strCache>
                <c:ptCount val="9"/>
                <c:pt idx="0">
                  <c:v>化學品</c:v>
                </c:pt>
                <c:pt idx="1">
                  <c:v>塑膠製品</c:v>
                </c:pt>
                <c:pt idx="2">
                  <c:v>紡織品</c:v>
                </c:pt>
                <c:pt idx="3">
                  <c:v>基本金屬</c:v>
                </c:pt>
                <c:pt idx="4">
                  <c:v>電子產品</c:v>
                </c:pt>
                <c:pt idx="5">
                  <c:v>機械</c:v>
                </c:pt>
                <c:pt idx="6">
                  <c:v>電機產品</c:v>
                </c:pt>
                <c:pt idx="7">
                  <c:v>資通產品</c:v>
                </c:pt>
                <c:pt idx="8">
                  <c:v>光學器材</c:v>
                </c:pt>
              </c:strCache>
            </c:strRef>
          </c:cat>
          <c:val>
            <c:numRef>
              <c:f>'[台灣對中國進出口(圖).xlsx]工作表2'!$B$14:$J$14</c:f>
              <c:numCache>
                <c:formatCode>0.0_ </c:formatCode>
                <c:ptCount val="9"/>
                <c:pt idx="0">
                  <c:v>-0.7</c:v>
                </c:pt>
                <c:pt idx="1">
                  <c:v>9.6999999999999993</c:v>
                </c:pt>
                <c:pt idx="2">
                  <c:v>0.7</c:v>
                </c:pt>
                <c:pt idx="3">
                  <c:v>12.5</c:v>
                </c:pt>
                <c:pt idx="4">
                  <c:v>30.4</c:v>
                </c:pt>
                <c:pt idx="5">
                  <c:v>0.5</c:v>
                </c:pt>
                <c:pt idx="6">
                  <c:v>9.1999999999999993</c:v>
                </c:pt>
                <c:pt idx="7">
                  <c:v>23.2</c:v>
                </c:pt>
                <c:pt idx="8">
                  <c:v>-4.2</c:v>
                </c:pt>
              </c:numCache>
            </c:numRef>
          </c:val>
        </c:ser>
        <c:ser>
          <c:idx val="1"/>
          <c:order val="1"/>
          <c:tx>
            <c:strRef>
              <c:f>'[台灣對中國進出口(圖).xlsx]工作表2'!$A$15</c:f>
              <c:strCache>
                <c:ptCount val="1"/>
                <c:pt idx="0">
                  <c:v>2018</c:v>
                </c:pt>
              </c:strCache>
            </c:strRef>
          </c:tx>
          <c:invertIfNegative val="0"/>
          <c:dLbls>
            <c:dLbl>
              <c:idx val="2"/>
              <c:layout>
                <c:manualLayout>
                  <c:x val="6.8747012617512314E-3"/>
                  <c:y val="-5.5041482211475592E-17"/>
                </c:manualLayout>
              </c:layout>
              <c:dLblPos val="outEnd"/>
              <c:showLegendKey val="0"/>
              <c:showVal val="1"/>
              <c:showCatName val="0"/>
              <c:showSerName val="0"/>
              <c:showPercent val="0"/>
              <c:showBubbleSize val="0"/>
            </c:dLbl>
            <c:dLbl>
              <c:idx val="5"/>
              <c:layout>
                <c:manualLayout>
                  <c:x val="9.1662683490016973E-3"/>
                  <c:y val="0"/>
                </c:manualLayout>
              </c:layout>
              <c:dLblPos val="outEnd"/>
              <c:showLegendKey val="0"/>
              <c:showVal val="1"/>
              <c:showCatName val="0"/>
              <c:showSerName val="0"/>
              <c:showPercent val="0"/>
              <c:showBubbleSize val="0"/>
            </c:dLbl>
            <c:dLbl>
              <c:idx val="6"/>
              <c:layout>
                <c:manualLayout>
                  <c:x val="1.1457835436252206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'[台灣對中國進出口(圖).xlsx]工作表2'!$B$13:$J$13</c:f>
              <c:strCache>
                <c:ptCount val="9"/>
                <c:pt idx="0">
                  <c:v>化學品</c:v>
                </c:pt>
                <c:pt idx="1">
                  <c:v>塑膠製品</c:v>
                </c:pt>
                <c:pt idx="2">
                  <c:v>紡織品</c:v>
                </c:pt>
                <c:pt idx="3">
                  <c:v>基本金屬</c:v>
                </c:pt>
                <c:pt idx="4">
                  <c:v>電子產品</c:v>
                </c:pt>
                <c:pt idx="5">
                  <c:v>機械</c:v>
                </c:pt>
                <c:pt idx="6">
                  <c:v>電機產品</c:v>
                </c:pt>
                <c:pt idx="7">
                  <c:v>資通產品</c:v>
                </c:pt>
                <c:pt idx="8">
                  <c:v>光學器材</c:v>
                </c:pt>
              </c:strCache>
            </c:strRef>
          </c:cat>
          <c:val>
            <c:numRef>
              <c:f>'[台灣對中國進出口(圖).xlsx]工作表2'!$B$15:$J$15</c:f>
              <c:numCache>
                <c:formatCode>0.0_ </c:formatCode>
                <c:ptCount val="9"/>
                <c:pt idx="0">
                  <c:v>3</c:v>
                </c:pt>
                <c:pt idx="1">
                  <c:v>122</c:v>
                </c:pt>
                <c:pt idx="2">
                  <c:v>8.1999999999999993</c:v>
                </c:pt>
                <c:pt idx="3">
                  <c:v>-4.8</c:v>
                </c:pt>
                <c:pt idx="4">
                  <c:v>17.7</c:v>
                </c:pt>
                <c:pt idx="5">
                  <c:v>15.6</c:v>
                </c:pt>
                <c:pt idx="6">
                  <c:v>13.9</c:v>
                </c:pt>
                <c:pt idx="7">
                  <c:v>-2.7</c:v>
                </c:pt>
                <c:pt idx="8">
                  <c:v>9.4</c:v>
                </c:pt>
              </c:numCache>
            </c:numRef>
          </c:val>
        </c:ser>
        <c:dLbls>
          <c:dLblPos val="outEnd"/>
          <c:showLegendKey val="0"/>
          <c:showVal val="1"/>
          <c:showCatName val="0"/>
          <c:showSerName val="0"/>
          <c:showPercent val="0"/>
          <c:showBubbleSize val="0"/>
        </c:dLbls>
        <c:gapWidth val="150"/>
        <c:axId val="678639104"/>
        <c:axId val="647198336"/>
      </c:barChart>
      <c:catAx>
        <c:axId val="678639104"/>
        <c:scaling>
          <c:orientation val="minMax"/>
        </c:scaling>
        <c:delete val="0"/>
        <c:axPos val="b"/>
        <c:majorTickMark val="out"/>
        <c:minorTickMark val="none"/>
        <c:tickLblPos val="nextTo"/>
        <c:txPr>
          <a:bodyPr rot="0" vert="eaVert"/>
          <a:lstStyle/>
          <a:p>
            <a:pPr>
              <a:defRPr>
                <a:latin typeface="標楷體" panose="03000509000000000000" pitchFamily="65" charset="-120"/>
                <a:ea typeface="標楷體" panose="03000509000000000000" pitchFamily="65" charset="-120"/>
              </a:defRPr>
            </a:pPr>
            <a:endParaRPr lang="zh-TW"/>
          </a:p>
        </c:txPr>
        <c:crossAx val="647198336"/>
        <c:crosses val="autoZero"/>
        <c:auto val="0"/>
        <c:lblAlgn val="ctr"/>
        <c:lblOffset val="800"/>
        <c:noMultiLvlLbl val="0"/>
      </c:catAx>
      <c:valAx>
        <c:axId val="647198336"/>
        <c:scaling>
          <c:orientation val="minMax"/>
        </c:scaling>
        <c:delete val="0"/>
        <c:axPos val="l"/>
        <c:numFmt formatCode="0.0_ " sourceLinked="1"/>
        <c:majorTickMark val="out"/>
        <c:minorTickMark val="none"/>
        <c:tickLblPos val="nextTo"/>
        <c:crossAx val="678639104"/>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財新中國</c:v>
                </c:pt>
              </c:strCache>
            </c:strRef>
          </c:tx>
          <c:spPr>
            <a:ln w="12700">
              <a:prstDash val="dash"/>
            </a:ln>
          </c:spPr>
          <c:marker>
            <c:spPr>
              <a:ln w="12700">
                <a:prstDash val="dash"/>
              </a:ln>
            </c:spPr>
          </c:marker>
          <c:cat>
            <c:numRef>
              <c:f>工作表1!$A$2:$A$13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工作表1!$B$2:$B$13</c:f>
              <c:numCache>
                <c:formatCode>General</c:formatCode>
                <c:ptCount val="12"/>
                <c:pt idx="0">
                  <c:v>51.5</c:v>
                </c:pt>
                <c:pt idx="1">
                  <c:v>51.6</c:v>
                </c:pt>
                <c:pt idx="2" formatCode="0.0_ ">
                  <c:v>51</c:v>
                </c:pt>
                <c:pt idx="3">
                  <c:v>51.1</c:v>
                </c:pt>
                <c:pt idx="4">
                  <c:v>51.1</c:v>
                </c:pt>
                <c:pt idx="5">
                  <c:v>51</c:v>
                </c:pt>
                <c:pt idx="6">
                  <c:v>50.8</c:v>
                </c:pt>
                <c:pt idx="7">
                  <c:v>50.6</c:v>
                </c:pt>
                <c:pt idx="8">
                  <c:v>50</c:v>
                </c:pt>
                <c:pt idx="9">
                  <c:v>50.1</c:v>
                </c:pt>
                <c:pt idx="10">
                  <c:v>50.2</c:v>
                </c:pt>
                <c:pt idx="11">
                  <c:v>49.7</c:v>
                </c:pt>
              </c:numCache>
            </c:numRef>
          </c:val>
          <c:smooth val="0"/>
        </c:ser>
        <c:ser>
          <c:idx val="1"/>
          <c:order val="1"/>
          <c:tx>
            <c:strRef>
              <c:f>工作表1!$C$1</c:f>
              <c:strCache>
                <c:ptCount val="1"/>
                <c:pt idx="0">
                  <c:v>欄1</c:v>
                </c:pt>
              </c:strCache>
            </c:strRef>
          </c:tx>
          <c:spPr>
            <a:ln>
              <a:solidFill>
                <a:schemeClr val="accent2">
                  <a:shade val="95000"/>
                  <a:satMod val="105000"/>
                </a:schemeClr>
              </a:solidFill>
              <a:prstDash val="sysDash"/>
            </a:ln>
          </c:spPr>
          <c:marker>
            <c:symbol val="none"/>
          </c:marker>
          <c:cat>
            <c:numRef>
              <c:f>工作表1!$A$2:$A$13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工作表1!$C$2:$C$13</c:f>
              <c:numCache>
                <c:formatCode>General</c:formatCode>
                <c:ptCount val="12"/>
                <c:pt idx="0">
                  <c:v>50</c:v>
                </c:pt>
                <c:pt idx="1">
                  <c:v>50</c:v>
                </c:pt>
                <c:pt idx="2">
                  <c:v>50</c:v>
                </c:pt>
                <c:pt idx="3">
                  <c:v>50</c:v>
                </c:pt>
                <c:pt idx="4">
                  <c:v>50</c:v>
                </c:pt>
                <c:pt idx="5">
                  <c:v>50</c:v>
                </c:pt>
                <c:pt idx="6">
                  <c:v>50</c:v>
                </c:pt>
                <c:pt idx="7">
                  <c:v>50</c:v>
                </c:pt>
                <c:pt idx="8">
                  <c:v>50</c:v>
                </c:pt>
                <c:pt idx="9">
                  <c:v>50</c:v>
                </c:pt>
                <c:pt idx="10">
                  <c:v>50</c:v>
                </c:pt>
                <c:pt idx="11">
                  <c:v>50</c:v>
                </c:pt>
              </c:numCache>
            </c:numRef>
          </c:val>
          <c:smooth val="0"/>
        </c:ser>
        <c:ser>
          <c:idx val="2"/>
          <c:order val="2"/>
          <c:tx>
            <c:strRef>
              <c:f>工作表1!$D$1</c:f>
              <c:strCache>
                <c:ptCount val="1"/>
                <c:pt idx="0">
                  <c:v>官方</c:v>
                </c:pt>
              </c:strCache>
            </c:strRef>
          </c:tx>
          <c:spPr>
            <a:ln w="12700"/>
          </c:spPr>
          <c:marker>
            <c:spPr>
              <a:ln w="12700"/>
            </c:spPr>
          </c:marker>
          <c:cat>
            <c:numRef>
              <c:f>工作表1!$A$2:$A$13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工作表1!$D$2:$D$13</c:f>
              <c:numCache>
                <c:formatCode>General</c:formatCode>
                <c:ptCount val="12"/>
                <c:pt idx="0">
                  <c:v>51.3</c:v>
                </c:pt>
                <c:pt idx="1">
                  <c:v>50.3</c:v>
                </c:pt>
                <c:pt idx="2">
                  <c:v>51.5</c:v>
                </c:pt>
                <c:pt idx="3">
                  <c:v>51.4</c:v>
                </c:pt>
                <c:pt idx="4">
                  <c:v>51.9</c:v>
                </c:pt>
                <c:pt idx="5">
                  <c:v>51.5</c:v>
                </c:pt>
                <c:pt idx="6">
                  <c:v>51.2</c:v>
                </c:pt>
                <c:pt idx="7">
                  <c:v>51.3</c:v>
                </c:pt>
                <c:pt idx="8">
                  <c:v>50.8</c:v>
                </c:pt>
                <c:pt idx="9">
                  <c:v>50.2</c:v>
                </c:pt>
                <c:pt idx="10">
                  <c:v>50</c:v>
                </c:pt>
                <c:pt idx="11">
                  <c:v>49.4</c:v>
                </c:pt>
              </c:numCache>
            </c:numRef>
          </c:val>
          <c:smooth val="0"/>
        </c:ser>
        <c:dLbls>
          <c:showLegendKey val="0"/>
          <c:showVal val="0"/>
          <c:showCatName val="0"/>
          <c:showSerName val="0"/>
          <c:showPercent val="0"/>
          <c:showBubbleSize val="0"/>
        </c:dLbls>
        <c:marker val="1"/>
        <c:smooth val="0"/>
        <c:axId val="669786112"/>
        <c:axId val="647172608"/>
      </c:lineChart>
      <c:catAx>
        <c:axId val="669786112"/>
        <c:scaling>
          <c:orientation val="minMax"/>
        </c:scaling>
        <c:delete val="0"/>
        <c:axPos val="b"/>
        <c:numFmt formatCode="General" sourceLinked="1"/>
        <c:majorTickMark val="out"/>
        <c:minorTickMark val="none"/>
        <c:tickLblPos val="nextTo"/>
        <c:crossAx val="647172608"/>
        <c:crosses val="autoZero"/>
        <c:auto val="1"/>
        <c:lblAlgn val="ctr"/>
        <c:lblOffset val="100"/>
        <c:noMultiLvlLbl val="0"/>
      </c:catAx>
      <c:valAx>
        <c:axId val="647172608"/>
        <c:scaling>
          <c:orientation val="minMax"/>
          <c:min val="47"/>
        </c:scaling>
        <c:delete val="0"/>
        <c:axPos val="l"/>
        <c:numFmt formatCode="General" sourceLinked="1"/>
        <c:majorTickMark val="out"/>
        <c:minorTickMark val="none"/>
        <c:tickLblPos val="nextTo"/>
        <c:crossAx val="669786112"/>
        <c:crosses val="autoZero"/>
        <c:crossBetween val="between"/>
      </c:valAx>
    </c:plotArea>
    <c:legend>
      <c:legendPos val="t"/>
      <c:legendEntry>
        <c:idx val="1"/>
        <c:delete val="1"/>
      </c:legendEntry>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strRef>
              <c:f>'[Microsoft Word 的圖表 ]工作表3'!$E$1</c:f>
              <c:strCache>
                <c:ptCount val="1"/>
                <c:pt idx="0">
                  <c:v>M2/GDP(右軸)</c:v>
                </c:pt>
              </c:strCache>
            </c:strRef>
          </c:tx>
          <c:spPr>
            <a:noFill/>
            <a:ln>
              <a:solidFill>
                <a:schemeClr val="tx1"/>
              </a:solidFill>
            </a:ln>
          </c:spPr>
          <c:invertIfNegative val="0"/>
          <c:dLbls>
            <c:showLegendKey val="0"/>
            <c:showVal val="1"/>
            <c:showCatName val="0"/>
            <c:showSerName val="0"/>
            <c:showPercent val="0"/>
            <c:showBubbleSize val="0"/>
            <c:showLeaderLines val="0"/>
          </c:dLbls>
          <c:cat>
            <c:numRef>
              <c:f>'[Microsoft Word 的圖表 ]工作表3'!$A$2:$A$8</c:f>
              <c:numCache>
                <c:formatCode>General</c:formatCode>
                <c:ptCount val="7"/>
                <c:pt idx="0">
                  <c:v>2012</c:v>
                </c:pt>
                <c:pt idx="1">
                  <c:v>2013</c:v>
                </c:pt>
                <c:pt idx="2">
                  <c:v>2014</c:v>
                </c:pt>
                <c:pt idx="3">
                  <c:v>2015</c:v>
                </c:pt>
                <c:pt idx="4">
                  <c:v>2016</c:v>
                </c:pt>
                <c:pt idx="5">
                  <c:v>2017</c:v>
                </c:pt>
                <c:pt idx="6">
                  <c:v>2018</c:v>
                </c:pt>
              </c:numCache>
            </c:numRef>
          </c:cat>
          <c:val>
            <c:numRef>
              <c:f>'[Microsoft Word 的圖表 ]工作表3'!$E$2:$E$8</c:f>
              <c:numCache>
                <c:formatCode>0.0_ </c:formatCode>
                <c:ptCount val="7"/>
                <c:pt idx="0">
                  <c:v>180.27526295828144</c:v>
                </c:pt>
                <c:pt idx="1">
                  <c:v>185.89422312996348</c:v>
                </c:pt>
                <c:pt idx="2">
                  <c:v>190.74911636136557</c:v>
                </c:pt>
                <c:pt idx="3">
                  <c:v>202.05701772724058</c:v>
                </c:pt>
                <c:pt idx="4">
                  <c:v>208.45843118389209</c:v>
                </c:pt>
                <c:pt idx="5">
                  <c:v>204.3</c:v>
                </c:pt>
                <c:pt idx="6">
                  <c:v>202.9</c:v>
                </c:pt>
              </c:numCache>
            </c:numRef>
          </c:val>
        </c:ser>
        <c:dLbls>
          <c:showLegendKey val="0"/>
          <c:showVal val="0"/>
          <c:showCatName val="0"/>
          <c:showSerName val="0"/>
          <c:showPercent val="0"/>
          <c:showBubbleSize val="0"/>
        </c:dLbls>
        <c:gapWidth val="150"/>
        <c:axId val="669788672"/>
        <c:axId val="647173760"/>
      </c:barChart>
      <c:lineChart>
        <c:grouping val="standard"/>
        <c:varyColors val="0"/>
        <c:ser>
          <c:idx val="0"/>
          <c:order val="0"/>
          <c:tx>
            <c:strRef>
              <c:f>'[Microsoft Word 的圖表 ]工作表3'!$B$1</c:f>
              <c:strCache>
                <c:ptCount val="1"/>
                <c:pt idx="0">
                  <c:v>M1年增率(左軸)</c:v>
                </c:pt>
              </c:strCache>
            </c:strRef>
          </c:tx>
          <c:dLbls>
            <c:dLbl>
              <c:idx val="0"/>
              <c:layout>
                <c:manualLayout>
                  <c:x val="-4.3979221347331586E-2"/>
                  <c:y val="4.1192038495188016E-2"/>
                </c:manualLayout>
              </c:layout>
              <c:dLblPos val="r"/>
              <c:showLegendKey val="0"/>
              <c:showVal val="1"/>
              <c:showCatName val="0"/>
              <c:showSerName val="0"/>
              <c:showPercent val="0"/>
              <c:showBubbleSize val="0"/>
            </c:dLbl>
            <c:dLbl>
              <c:idx val="1"/>
              <c:layout>
                <c:manualLayout>
                  <c:x val="-4.6757217847769032E-2"/>
                  <c:y val="-3.75116652085156E-2"/>
                </c:manualLayout>
              </c:layout>
              <c:dLblPos val="r"/>
              <c:showLegendKey val="0"/>
              <c:showVal val="1"/>
              <c:showCatName val="0"/>
              <c:showSerName val="0"/>
              <c:showPercent val="0"/>
              <c:showBubbleSize val="0"/>
            </c:dLbl>
            <c:dLbl>
              <c:idx val="2"/>
              <c:layout>
                <c:manualLayout>
                  <c:x val="-4.3979221347331635E-2"/>
                  <c:y val="3.656240886555847E-2"/>
                </c:manualLayout>
              </c:layout>
              <c:dLblPos val="r"/>
              <c:showLegendKey val="0"/>
              <c:showVal val="1"/>
              <c:showCatName val="0"/>
              <c:showSerName val="0"/>
              <c:showPercent val="0"/>
              <c:showBubbleSize val="0"/>
            </c:dLbl>
            <c:dLbl>
              <c:idx val="6"/>
              <c:layout>
                <c:manualLayout>
                  <c:x val="-7.7789262339565037E-3"/>
                  <c:y val="-5.4329000846058801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'[Microsoft Word 的圖表 ]工作表3'!$A$2:$A$8</c:f>
              <c:numCache>
                <c:formatCode>General</c:formatCode>
                <c:ptCount val="7"/>
                <c:pt idx="0">
                  <c:v>2012</c:v>
                </c:pt>
                <c:pt idx="1">
                  <c:v>2013</c:v>
                </c:pt>
                <c:pt idx="2">
                  <c:v>2014</c:v>
                </c:pt>
                <c:pt idx="3">
                  <c:v>2015</c:v>
                </c:pt>
                <c:pt idx="4">
                  <c:v>2016</c:v>
                </c:pt>
                <c:pt idx="5">
                  <c:v>2017</c:v>
                </c:pt>
                <c:pt idx="6">
                  <c:v>2018</c:v>
                </c:pt>
              </c:numCache>
            </c:numRef>
          </c:cat>
          <c:val>
            <c:numRef>
              <c:f>'[Microsoft Word 的圖表 ]工作表3'!$B$2:$B$8</c:f>
              <c:numCache>
                <c:formatCode>0.0_);[Red]\(0.0\)</c:formatCode>
                <c:ptCount val="7"/>
                <c:pt idx="0">
                  <c:v>6.4918696572067391</c:v>
                </c:pt>
                <c:pt idx="1">
                  <c:v>9.2744206650173346</c:v>
                </c:pt>
                <c:pt idx="2">
                  <c:v>3.1917118570297109</c:v>
                </c:pt>
                <c:pt idx="3">
                  <c:v>15.197832805372325</c:v>
                </c:pt>
                <c:pt idx="4">
                  <c:v>21.35005932666094</c:v>
                </c:pt>
                <c:pt idx="5">
                  <c:v>11.764856882698925</c:v>
                </c:pt>
                <c:pt idx="6">
                  <c:v>1.5</c:v>
                </c:pt>
              </c:numCache>
            </c:numRef>
          </c:val>
          <c:smooth val="0"/>
        </c:ser>
        <c:ser>
          <c:idx val="1"/>
          <c:order val="1"/>
          <c:tx>
            <c:strRef>
              <c:f>'[Microsoft Word 的圖表 ]工作表3'!$C$1</c:f>
              <c:strCache>
                <c:ptCount val="1"/>
                <c:pt idx="0">
                  <c:v>M2年增率(左軸)</c:v>
                </c:pt>
              </c:strCache>
            </c:strRef>
          </c:tx>
          <c:dLbls>
            <c:dLbl>
              <c:idx val="3"/>
              <c:layout>
                <c:manualLayout>
                  <c:x val="-5.1020997375328184E-2"/>
                  <c:y val="5.5080927384076987E-2"/>
                </c:manualLayout>
              </c:layout>
              <c:dLblPos val="r"/>
              <c:showLegendKey val="0"/>
              <c:showVal val="1"/>
              <c:showCatName val="0"/>
              <c:showSerName val="0"/>
              <c:showPercent val="0"/>
              <c:showBubbleSize val="0"/>
            </c:dLbl>
            <c:dLbl>
              <c:idx val="5"/>
              <c:layout>
                <c:manualLayout>
                  <c:x val="-4.3979221347331482E-2"/>
                  <c:y val="-5.140055409740457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'[Microsoft Word 的圖表 ]工作表3'!$A$2:$A$8</c:f>
              <c:numCache>
                <c:formatCode>General</c:formatCode>
                <c:ptCount val="7"/>
                <c:pt idx="0">
                  <c:v>2012</c:v>
                </c:pt>
                <c:pt idx="1">
                  <c:v>2013</c:v>
                </c:pt>
                <c:pt idx="2">
                  <c:v>2014</c:v>
                </c:pt>
                <c:pt idx="3">
                  <c:v>2015</c:v>
                </c:pt>
                <c:pt idx="4">
                  <c:v>2016</c:v>
                </c:pt>
                <c:pt idx="5">
                  <c:v>2017</c:v>
                </c:pt>
                <c:pt idx="6">
                  <c:v>2018</c:v>
                </c:pt>
              </c:numCache>
            </c:numRef>
          </c:cat>
          <c:val>
            <c:numRef>
              <c:f>'[Microsoft Word 的圖表 ]工作表3'!$C$2:$C$8</c:f>
              <c:numCache>
                <c:formatCode>0.0_);[Red]\(0.0\)</c:formatCode>
                <c:ptCount val="7"/>
                <c:pt idx="0">
                  <c:v>14.391640626821744</c:v>
                </c:pt>
                <c:pt idx="1">
                  <c:v>13.588907322902077</c:v>
                </c:pt>
                <c:pt idx="2">
                  <c:v>11.011936362228102</c:v>
                </c:pt>
                <c:pt idx="3">
                  <c:v>13.343101940959755</c:v>
                </c:pt>
                <c:pt idx="4">
                  <c:v>11.333120701215439</c:v>
                </c:pt>
                <c:pt idx="5">
                  <c:v>8.1</c:v>
                </c:pt>
                <c:pt idx="6">
                  <c:v>8.1</c:v>
                </c:pt>
              </c:numCache>
            </c:numRef>
          </c:val>
          <c:smooth val="0"/>
        </c:ser>
        <c:ser>
          <c:idx val="2"/>
          <c:order val="2"/>
          <c:tx>
            <c:strRef>
              <c:f>'[Microsoft Word 的圖表 ]工作表3'!$D$1</c:f>
              <c:strCache>
                <c:ptCount val="1"/>
                <c:pt idx="0">
                  <c:v>GDP年增率(左軸)</c:v>
                </c:pt>
              </c:strCache>
            </c:strRef>
          </c:tx>
          <c:dLbls>
            <c:dLbl>
              <c:idx val="0"/>
              <c:layout>
                <c:manualLayout>
                  <c:x val="-4.3979221347331586E-2"/>
                  <c:y val="-5.0451297754447358E-2"/>
                </c:manualLayout>
              </c:layout>
              <c:dLblPos val="r"/>
              <c:showLegendKey val="0"/>
              <c:showVal val="1"/>
              <c:showCatName val="0"/>
              <c:showSerName val="0"/>
              <c:showPercent val="0"/>
              <c:showBubbleSize val="0"/>
            </c:dLbl>
            <c:dLbl>
              <c:idx val="2"/>
              <c:layout>
                <c:manualLayout>
                  <c:x val="-4.3979221347331635E-2"/>
                  <c:y val="-3.1932779235928924E-2"/>
                </c:manualLayout>
              </c:layout>
              <c:dLblPos val="r"/>
              <c:showLegendKey val="0"/>
              <c:showVal val="1"/>
              <c:showCatName val="0"/>
              <c:showSerName val="0"/>
              <c:showPercent val="0"/>
              <c:showBubbleSize val="0"/>
            </c:dLbl>
            <c:dLbl>
              <c:idx val="6"/>
              <c:layout>
                <c:manualLayout>
                  <c:x val="-9.8076346554217455E-3"/>
                  <c:y val="2.206274046828794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'[Microsoft Word 的圖表 ]工作表3'!$A$2:$A$8</c:f>
              <c:numCache>
                <c:formatCode>General</c:formatCode>
                <c:ptCount val="7"/>
                <c:pt idx="0">
                  <c:v>2012</c:v>
                </c:pt>
                <c:pt idx="1">
                  <c:v>2013</c:v>
                </c:pt>
                <c:pt idx="2">
                  <c:v>2014</c:v>
                </c:pt>
                <c:pt idx="3">
                  <c:v>2015</c:v>
                </c:pt>
                <c:pt idx="4">
                  <c:v>2016</c:v>
                </c:pt>
                <c:pt idx="5">
                  <c:v>2017</c:v>
                </c:pt>
                <c:pt idx="6">
                  <c:v>2018</c:v>
                </c:pt>
              </c:numCache>
            </c:numRef>
          </c:cat>
          <c:val>
            <c:numRef>
              <c:f>'[Microsoft Word 的圖表 ]工作表3'!$D$2:$D$8</c:f>
              <c:numCache>
                <c:formatCode>0.0_ </c:formatCode>
                <c:ptCount val="7"/>
                <c:pt idx="0">
                  <c:v>7.9</c:v>
                </c:pt>
                <c:pt idx="1">
                  <c:v>7.7749999999999995</c:v>
                </c:pt>
                <c:pt idx="2">
                  <c:v>7.3</c:v>
                </c:pt>
                <c:pt idx="3">
                  <c:v>6.9249999999999998</c:v>
                </c:pt>
                <c:pt idx="4">
                  <c:v>6.7250000000000005</c:v>
                </c:pt>
                <c:pt idx="5">
                  <c:v>6.8500000000000005</c:v>
                </c:pt>
                <c:pt idx="6">
                  <c:v>6.6</c:v>
                </c:pt>
              </c:numCache>
            </c:numRef>
          </c:val>
          <c:smooth val="0"/>
        </c:ser>
        <c:dLbls>
          <c:showLegendKey val="0"/>
          <c:showVal val="0"/>
          <c:showCatName val="0"/>
          <c:showSerName val="0"/>
          <c:showPercent val="0"/>
          <c:showBubbleSize val="0"/>
        </c:dLbls>
        <c:marker val="1"/>
        <c:smooth val="0"/>
        <c:axId val="678640640"/>
        <c:axId val="647173184"/>
      </c:lineChart>
      <c:catAx>
        <c:axId val="678640640"/>
        <c:scaling>
          <c:orientation val="minMax"/>
        </c:scaling>
        <c:delete val="0"/>
        <c:axPos val="b"/>
        <c:numFmt formatCode="General" sourceLinked="1"/>
        <c:majorTickMark val="out"/>
        <c:minorTickMark val="none"/>
        <c:tickLblPos val="nextTo"/>
        <c:crossAx val="647173184"/>
        <c:crosses val="autoZero"/>
        <c:auto val="1"/>
        <c:lblAlgn val="ctr"/>
        <c:lblOffset val="100"/>
        <c:noMultiLvlLbl val="0"/>
      </c:catAx>
      <c:valAx>
        <c:axId val="647173184"/>
        <c:scaling>
          <c:orientation val="minMax"/>
          <c:max val="30"/>
        </c:scaling>
        <c:delete val="0"/>
        <c:axPos val="l"/>
        <c:majorGridlines>
          <c:spPr>
            <a:ln>
              <a:noFill/>
            </a:ln>
          </c:spPr>
        </c:majorGridlines>
        <c:numFmt formatCode="#,##0_);[Red]\(#,##0\)" sourceLinked="0"/>
        <c:majorTickMark val="in"/>
        <c:minorTickMark val="none"/>
        <c:tickLblPos val="nextTo"/>
        <c:crossAx val="678640640"/>
        <c:crosses val="autoZero"/>
        <c:crossBetween val="between"/>
      </c:valAx>
      <c:valAx>
        <c:axId val="647173760"/>
        <c:scaling>
          <c:orientation val="minMax"/>
          <c:max val="210"/>
          <c:min val="110"/>
        </c:scaling>
        <c:delete val="0"/>
        <c:axPos val="r"/>
        <c:numFmt formatCode="0_ " sourceLinked="0"/>
        <c:majorTickMark val="in"/>
        <c:minorTickMark val="none"/>
        <c:tickLblPos val="nextTo"/>
        <c:crossAx val="669788672"/>
        <c:crosses val="max"/>
        <c:crossBetween val="between"/>
        <c:majorUnit val="20"/>
      </c:valAx>
      <c:catAx>
        <c:axId val="669788672"/>
        <c:scaling>
          <c:orientation val="minMax"/>
        </c:scaling>
        <c:delete val="1"/>
        <c:axPos val="b"/>
        <c:numFmt formatCode="General" sourceLinked="1"/>
        <c:majorTickMark val="out"/>
        <c:minorTickMark val="none"/>
        <c:tickLblPos val="nextTo"/>
        <c:crossAx val="647173760"/>
        <c:crosses val="autoZero"/>
        <c:auto val="1"/>
        <c:lblAlgn val="ctr"/>
        <c:lblOffset val="100"/>
        <c:noMultiLvlLbl val="0"/>
      </c:catAx>
    </c:plotArea>
    <c:legend>
      <c:legendPos val="t"/>
      <c:layout/>
      <c:overlay val="0"/>
      <c:txPr>
        <a:bodyPr/>
        <a:lstStyle/>
        <a:p>
          <a:pPr>
            <a:defRPr b="0">
              <a:latin typeface="標楷體" panose="03000509000000000000" pitchFamily="65" charset="-120"/>
              <a:ea typeface="標楷體" panose="03000509000000000000" pitchFamily="65" charset="-120"/>
              <a:cs typeface="Adobe Arabic" pitchFamily="18" charset="-78"/>
            </a:defRPr>
          </a:pPr>
          <a:endParaRPr lang="zh-TW"/>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工作表1!$B$1</c:f>
              <c:strCache>
                <c:ptCount val="1"/>
                <c:pt idx="0">
                  <c:v>銀行貸款</c:v>
                </c:pt>
              </c:strCache>
            </c:strRef>
          </c:tx>
          <c:spPr>
            <a:pattFill prst="pct20">
              <a:fgClr>
                <a:schemeClr val="accent1"/>
              </a:fgClr>
              <a:bgClr>
                <a:schemeClr val="bg1"/>
              </a:bgClr>
            </a:pattFill>
            <a:ln>
              <a:solidFill>
                <a:schemeClr val="tx1"/>
              </a:solidFill>
            </a:ln>
          </c:spPr>
          <c:invertIfNegative val="0"/>
          <c:cat>
            <c:numRef>
              <c:f>工作表1!$A$2:$A$8</c:f>
              <c:numCache>
                <c:formatCode>General</c:formatCode>
                <c:ptCount val="7"/>
                <c:pt idx="0">
                  <c:v>2012</c:v>
                </c:pt>
                <c:pt idx="1">
                  <c:v>2013</c:v>
                </c:pt>
                <c:pt idx="2">
                  <c:v>2014</c:v>
                </c:pt>
                <c:pt idx="3">
                  <c:v>2015</c:v>
                </c:pt>
                <c:pt idx="4">
                  <c:v>2016</c:v>
                </c:pt>
                <c:pt idx="5">
                  <c:v>2017</c:v>
                </c:pt>
                <c:pt idx="6">
                  <c:v>2018</c:v>
                </c:pt>
              </c:numCache>
            </c:numRef>
          </c:cat>
          <c:val>
            <c:numRef>
              <c:f>工作表1!$B$2:$B$8</c:f>
              <c:numCache>
                <c:formatCode>General</c:formatCode>
                <c:ptCount val="7"/>
                <c:pt idx="0">
                  <c:v>9.1</c:v>
                </c:pt>
                <c:pt idx="1">
                  <c:v>9.5</c:v>
                </c:pt>
                <c:pt idx="2">
                  <c:v>10.1</c:v>
                </c:pt>
                <c:pt idx="3">
                  <c:v>10.6</c:v>
                </c:pt>
                <c:pt idx="4">
                  <c:v>11.9</c:v>
                </c:pt>
                <c:pt idx="5">
                  <c:v>13.8</c:v>
                </c:pt>
                <c:pt idx="6">
                  <c:v>15.7</c:v>
                </c:pt>
              </c:numCache>
            </c:numRef>
          </c:val>
        </c:ser>
        <c:ser>
          <c:idx val="1"/>
          <c:order val="1"/>
          <c:tx>
            <c:strRef>
              <c:f>工作表1!$C$1</c:f>
              <c:strCache>
                <c:ptCount val="1"/>
                <c:pt idx="0">
                  <c:v>表外融資</c:v>
                </c:pt>
              </c:strCache>
            </c:strRef>
          </c:tx>
          <c:spPr>
            <a:pattFill prst="pct5">
              <a:fgClr>
                <a:schemeClr val="accent1"/>
              </a:fgClr>
              <a:bgClr>
                <a:schemeClr val="bg1"/>
              </a:bgClr>
            </a:pattFill>
            <a:ln>
              <a:solidFill>
                <a:schemeClr val="tx1"/>
              </a:solidFill>
            </a:ln>
          </c:spPr>
          <c:invertIfNegative val="0"/>
          <c:dLbls>
            <c:dLbl>
              <c:idx val="3"/>
              <c:layout>
                <c:manualLayout>
                  <c:x val="4.8181663841842651E-2"/>
                  <c:y val="0"/>
                </c:manualLayout>
              </c:layout>
              <c:dLblPos val="ctr"/>
              <c:showLegendKey val="0"/>
              <c:showVal val="1"/>
              <c:showCatName val="0"/>
              <c:showSerName val="0"/>
              <c:showPercent val="0"/>
              <c:showBubbleSize val="0"/>
            </c:dLbl>
            <c:dLbl>
              <c:idx val="6"/>
              <c:layout>
                <c:manualLayout>
                  <c:x val="5.0590747033934874E-2"/>
                  <c:y val="0"/>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工作表1!$A$2:$A$8</c:f>
              <c:numCache>
                <c:formatCode>General</c:formatCode>
                <c:ptCount val="7"/>
                <c:pt idx="0">
                  <c:v>2012</c:v>
                </c:pt>
                <c:pt idx="1">
                  <c:v>2013</c:v>
                </c:pt>
                <c:pt idx="2">
                  <c:v>2014</c:v>
                </c:pt>
                <c:pt idx="3">
                  <c:v>2015</c:v>
                </c:pt>
                <c:pt idx="4">
                  <c:v>2016</c:v>
                </c:pt>
                <c:pt idx="5">
                  <c:v>2017</c:v>
                </c:pt>
                <c:pt idx="6">
                  <c:v>2018</c:v>
                </c:pt>
              </c:numCache>
            </c:numRef>
          </c:cat>
          <c:val>
            <c:numRef>
              <c:f>工作表1!$C$2:$C$8</c:f>
              <c:numCache>
                <c:formatCode>General</c:formatCode>
                <c:ptCount val="7"/>
                <c:pt idx="0">
                  <c:v>3.6</c:v>
                </c:pt>
                <c:pt idx="1">
                  <c:v>5.2</c:v>
                </c:pt>
                <c:pt idx="2">
                  <c:v>2.9</c:v>
                </c:pt>
                <c:pt idx="3">
                  <c:v>0.6</c:v>
                </c:pt>
                <c:pt idx="4">
                  <c:v>1.1000000000000001</c:v>
                </c:pt>
                <c:pt idx="5">
                  <c:v>3.6</c:v>
                </c:pt>
                <c:pt idx="6">
                  <c:v>-2.9</c:v>
                </c:pt>
              </c:numCache>
            </c:numRef>
          </c:val>
        </c:ser>
        <c:ser>
          <c:idx val="2"/>
          <c:order val="2"/>
          <c:tx>
            <c:strRef>
              <c:f>工作表1!$D$1</c:f>
              <c:strCache>
                <c:ptCount val="1"/>
                <c:pt idx="0">
                  <c:v>資本市場</c:v>
                </c:pt>
              </c:strCache>
            </c:strRef>
          </c:tx>
          <c:spPr>
            <a:pattFill prst="ltDnDiag">
              <a:fgClr>
                <a:schemeClr val="accent1"/>
              </a:fgClr>
              <a:bgClr>
                <a:schemeClr val="bg1"/>
              </a:bgClr>
            </a:pattFill>
            <a:ln>
              <a:solidFill>
                <a:schemeClr val="tx1"/>
              </a:solidFill>
            </a:ln>
          </c:spPr>
          <c:invertIfNegative val="0"/>
          <c:cat>
            <c:numRef>
              <c:f>工作表1!$A$2:$A$8</c:f>
              <c:numCache>
                <c:formatCode>General</c:formatCode>
                <c:ptCount val="7"/>
                <c:pt idx="0">
                  <c:v>2012</c:v>
                </c:pt>
                <c:pt idx="1">
                  <c:v>2013</c:v>
                </c:pt>
                <c:pt idx="2">
                  <c:v>2014</c:v>
                </c:pt>
                <c:pt idx="3">
                  <c:v>2015</c:v>
                </c:pt>
                <c:pt idx="4">
                  <c:v>2016</c:v>
                </c:pt>
                <c:pt idx="5">
                  <c:v>2017</c:v>
                </c:pt>
                <c:pt idx="6">
                  <c:v>2018</c:v>
                </c:pt>
              </c:numCache>
            </c:numRef>
          </c:cat>
          <c:val>
            <c:numRef>
              <c:f>工作表1!$D$2:$D$8</c:f>
              <c:numCache>
                <c:formatCode>General</c:formatCode>
                <c:ptCount val="7"/>
                <c:pt idx="0">
                  <c:v>2.5</c:v>
                </c:pt>
                <c:pt idx="1">
                  <c:v>2</c:v>
                </c:pt>
                <c:pt idx="2">
                  <c:v>2.8</c:v>
                </c:pt>
                <c:pt idx="3">
                  <c:v>3.7</c:v>
                </c:pt>
                <c:pt idx="4">
                  <c:v>4.2</c:v>
                </c:pt>
                <c:pt idx="5">
                  <c:v>1.3</c:v>
                </c:pt>
                <c:pt idx="6">
                  <c:v>2.9</c:v>
                </c:pt>
              </c:numCache>
            </c:numRef>
          </c:val>
        </c:ser>
        <c:ser>
          <c:idx val="3"/>
          <c:order val="3"/>
          <c:tx>
            <c:strRef>
              <c:f>工作表1!$E$1</c:f>
              <c:strCache>
                <c:ptCount val="1"/>
                <c:pt idx="0">
                  <c:v>地方政府專項債</c:v>
                </c:pt>
              </c:strCache>
            </c:strRef>
          </c:tx>
          <c:spPr>
            <a:pattFill prst="divot">
              <a:fgClr>
                <a:schemeClr val="accent1"/>
              </a:fgClr>
              <a:bgClr>
                <a:schemeClr val="bg1"/>
              </a:bgClr>
            </a:pattFill>
            <a:ln>
              <a:solidFill>
                <a:schemeClr val="tx1"/>
              </a:solidFill>
            </a:ln>
          </c:spPr>
          <c:invertIfNegative val="0"/>
          <c:dLbls>
            <c:dLbl>
              <c:idx val="0"/>
              <c:delete val="1"/>
            </c:dLbl>
            <c:dLbl>
              <c:idx val="1"/>
              <c:delete val="1"/>
            </c:dLbl>
            <c:dLbl>
              <c:idx val="2"/>
              <c:delete val="1"/>
            </c:dLbl>
            <c:dLbl>
              <c:idx val="3"/>
              <c:delete val="1"/>
            </c:dLbl>
            <c:dLbl>
              <c:idx val="4"/>
              <c:delete val="1"/>
            </c:dLbl>
            <c:dLblPos val="ctr"/>
            <c:showLegendKey val="0"/>
            <c:showVal val="1"/>
            <c:showCatName val="0"/>
            <c:showSerName val="0"/>
            <c:showPercent val="0"/>
            <c:showBubbleSize val="0"/>
            <c:showLeaderLines val="0"/>
          </c:dLbls>
          <c:cat>
            <c:numRef>
              <c:f>工作表1!$A$2:$A$8</c:f>
              <c:numCache>
                <c:formatCode>General</c:formatCode>
                <c:ptCount val="7"/>
                <c:pt idx="0">
                  <c:v>2012</c:v>
                </c:pt>
                <c:pt idx="1">
                  <c:v>2013</c:v>
                </c:pt>
                <c:pt idx="2">
                  <c:v>2014</c:v>
                </c:pt>
                <c:pt idx="3">
                  <c:v>2015</c:v>
                </c:pt>
                <c:pt idx="4">
                  <c:v>2016</c:v>
                </c:pt>
                <c:pt idx="5">
                  <c:v>2017</c:v>
                </c:pt>
                <c:pt idx="6">
                  <c:v>2018</c:v>
                </c:pt>
              </c:numCache>
            </c:numRef>
          </c:cat>
          <c:val>
            <c:numRef>
              <c:f>工作表1!$E$2:$E$8</c:f>
              <c:numCache>
                <c:formatCode>General</c:formatCode>
                <c:ptCount val="7"/>
                <c:pt idx="0">
                  <c:v>0</c:v>
                </c:pt>
                <c:pt idx="1">
                  <c:v>0</c:v>
                </c:pt>
                <c:pt idx="2">
                  <c:v>0</c:v>
                </c:pt>
                <c:pt idx="3">
                  <c:v>0</c:v>
                </c:pt>
                <c:pt idx="4">
                  <c:v>0</c:v>
                </c:pt>
                <c:pt idx="5">
                  <c:v>1.6</c:v>
                </c:pt>
                <c:pt idx="6">
                  <c:v>1.8</c:v>
                </c:pt>
              </c:numCache>
            </c:numRef>
          </c:val>
        </c:ser>
        <c:ser>
          <c:idx val="4"/>
          <c:order val="4"/>
          <c:tx>
            <c:strRef>
              <c:f>工作表1!$F$1</c:f>
              <c:strCache>
                <c:ptCount val="1"/>
                <c:pt idx="0">
                  <c:v>其他</c:v>
                </c:pt>
              </c:strCache>
            </c:strRef>
          </c:tx>
          <c:spPr>
            <a:solidFill>
              <a:schemeClr val="bg1"/>
            </a:solidFill>
            <a:ln>
              <a:solidFill>
                <a:schemeClr val="tx1">
                  <a:lumMod val="75000"/>
                  <a:lumOff val="25000"/>
                </a:schemeClr>
              </a:solidFill>
            </a:ln>
          </c:spPr>
          <c:invertIfNegative val="0"/>
          <c:dLbls>
            <c:dLbl>
              <c:idx val="0"/>
              <c:layout>
                <c:manualLayout>
                  <c:x val="4.3353174941828929E-2"/>
                  <c:y val="-5.0545010530873846E-3"/>
                </c:manualLayout>
              </c:layout>
              <c:dLblPos val="ctr"/>
              <c:showLegendKey val="0"/>
              <c:showVal val="1"/>
              <c:showCatName val="0"/>
              <c:showSerName val="0"/>
              <c:showPercent val="0"/>
              <c:showBubbleSize val="0"/>
            </c:dLbl>
            <c:dLbl>
              <c:idx val="1"/>
              <c:layout>
                <c:manualLayout>
                  <c:x val="4.7916667040968842E-2"/>
                  <c:y val="-5.0545010530873387E-3"/>
                </c:manualLayout>
              </c:layout>
              <c:dLblPos val="ctr"/>
              <c:showLegendKey val="0"/>
              <c:showVal val="1"/>
              <c:showCatName val="0"/>
              <c:showSerName val="0"/>
              <c:showPercent val="0"/>
              <c:showBubbleSize val="0"/>
            </c:dLbl>
            <c:dLbl>
              <c:idx val="2"/>
              <c:layout>
                <c:manualLayout>
                  <c:x val="4.7916667040968759E-2"/>
                  <c:y val="-5.0545010530873846E-3"/>
                </c:manualLayout>
              </c:layout>
              <c:dLblPos val="ctr"/>
              <c:showLegendKey val="0"/>
              <c:showVal val="1"/>
              <c:showCatName val="0"/>
              <c:showSerName val="0"/>
              <c:showPercent val="0"/>
              <c:showBubbleSize val="0"/>
            </c:dLbl>
            <c:dLbl>
              <c:idx val="3"/>
              <c:layout>
                <c:manualLayout>
                  <c:x val="5.0198413090538782E-2"/>
                  <c:y val="-1.0109002106174722E-2"/>
                </c:manualLayout>
              </c:layout>
              <c:dLblPos val="ctr"/>
              <c:showLegendKey val="0"/>
              <c:showVal val="1"/>
              <c:showCatName val="0"/>
              <c:showSerName val="0"/>
              <c:showPercent val="0"/>
              <c:showBubbleSize val="0"/>
            </c:dLbl>
            <c:dLbl>
              <c:idx val="4"/>
              <c:layout>
                <c:manualLayout>
                  <c:x val="5.0198413090538865E-2"/>
                  <c:y val="0"/>
                </c:manualLayout>
              </c:layout>
              <c:dLblPos val="ctr"/>
              <c:showLegendKey val="0"/>
              <c:showVal val="1"/>
              <c:showCatName val="0"/>
              <c:showSerName val="0"/>
              <c:showPercent val="0"/>
              <c:showBubbleSize val="0"/>
            </c:dLbl>
            <c:dLbl>
              <c:idx val="5"/>
              <c:layout>
                <c:manualLayout>
                  <c:x val="4.7916667040968676E-2"/>
                  <c:y val="0"/>
                </c:manualLayout>
              </c:layout>
              <c:dLblPos val="ctr"/>
              <c:showLegendKey val="0"/>
              <c:showVal val="1"/>
              <c:showCatName val="0"/>
              <c:showSerName val="0"/>
              <c:showPercent val="0"/>
              <c:showBubbleSize val="0"/>
            </c:dLbl>
            <c:dLbl>
              <c:idx val="6"/>
              <c:layout>
                <c:manualLayout>
                  <c:x val="4.5634920991398896E-2"/>
                  <c:y val="-1.5163503159262154E-2"/>
                </c:manualLayout>
              </c:layout>
              <c:tx>
                <c:rich>
                  <a:bodyPr/>
                  <a:lstStyle/>
                  <a:p>
                    <a:r>
                      <a:rPr lang="en-US" altLang="en-US"/>
                      <a:t>1.</a:t>
                    </a:r>
                    <a:r>
                      <a:rPr lang="en-US" altLang="zh-TW"/>
                      <a:t>8</a:t>
                    </a:r>
                    <a:endParaRPr lang="en-US" alt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工作表1!$A$2:$A$8</c:f>
              <c:numCache>
                <c:formatCode>General</c:formatCode>
                <c:ptCount val="7"/>
                <c:pt idx="0">
                  <c:v>2012</c:v>
                </c:pt>
                <c:pt idx="1">
                  <c:v>2013</c:v>
                </c:pt>
                <c:pt idx="2">
                  <c:v>2014</c:v>
                </c:pt>
                <c:pt idx="3">
                  <c:v>2015</c:v>
                </c:pt>
                <c:pt idx="4">
                  <c:v>2016</c:v>
                </c:pt>
                <c:pt idx="5">
                  <c:v>2017</c:v>
                </c:pt>
                <c:pt idx="6">
                  <c:v>2018</c:v>
                </c:pt>
              </c:numCache>
            </c:numRef>
          </c:cat>
          <c:val>
            <c:numRef>
              <c:f>工作表1!$F$2:$F$8</c:f>
              <c:numCache>
                <c:formatCode>General</c:formatCode>
                <c:ptCount val="7"/>
                <c:pt idx="0">
                  <c:v>0.5</c:v>
                </c:pt>
                <c:pt idx="1">
                  <c:v>0.6</c:v>
                </c:pt>
                <c:pt idx="2">
                  <c:v>0.6</c:v>
                </c:pt>
                <c:pt idx="3">
                  <c:v>0.5</c:v>
                </c:pt>
                <c:pt idx="4">
                  <c:v>0.6</c:v>
                </c:pt>
                <c:pt idx="5">
                  <c:v>0.7</c:v>
                </c:pt>
                <c:pt idx="6">
                  <c:v>1.76</c:v>
                </c:pt>
              </c:numCache>
            </c:numRef>
          </c:val>
        </c:ser>
        <c:dLbls>
          <c:dLblPos val="ctr"/>
          <c:showLegendKey val="0"/>
          <c:showVal val="1"/>
          <c:showCatName val="0"/>
          <c:showSerName val="0"/>
          <c:showPercent val="0"/>
          <c:showBubbleSize val="0"/>
        </c:dLbls>
        <c:gapWidth val="150"/>
        <c:overlap val="100"/>
        <c:axId val="678454784"/>
        <c:axId val="647175488"/>
      </c:barChart>
      <c:catAx>
        <c:axId val="678454784"/>
        <c:scaling>
          <c:orientation val="minMax"/>
        </c:scaling>
        <c:delete val="0"/>
        <c:axPos val="b"/>
        <c:numFmt formatCode="General" sourceLinked="1"/>
        <c:majorTickMark val="out"/>
        <c:minorTickMark val="none"/>
        <c:tickLblPos val="nextTo"/>
        <c:crossAx val="647175488"/>
        <c:crosses val="autoZero"/>
        <c:auto val="1"/>
        <c:lblAlgn val="ctr"/>
        <c:lblOffset val="500"/>
        <c:noMultiLvlLbl val="0"/>
      </c:catAx>
      <c:valAx>
        <c:axId val="647175488"/>
        <c:scaling>
          <c:orientation val="minMax"/>
        </c:scaling>
        <c:delete val="0"/>
        <c:axPos val="l"/>
        <c:numFmt formatCode="General" sourceLinked="1"/>
        <c:majorTickMark val="out"/>
        <c:minorTickMark val="none"/>
        <c:tickLblPos val="nextTo"/>
        <c:crossAx val="678454784"/>
        <c:crosses val="autoZero"/>
        <c:crossBetween val="between"/>
      </c:valAx>
    </c:plotArea>
    <c:legend>
      <c:legendPos val="t"/>
      <c:layout>
        <c:manualLayout>
          <c:xMode val="edge"/>
          <c:yMode val="edge"/>
          <c:x val="0.19074324413999177"/>
          <c:y val="2.4763141526228456E-2"/>
          <c:w val="0.67767857672227361"/>
          <c:h val="8.5370522786645933E-2"/>
        </c:manualLayout>
      </c:layout>
      <c:overlay val="0"/>
      <c:txPr>
        <a:bodyPr/>
        <a:lstStyle/>
        <a:p>
          <a:pPr>
            <a:defRPr sz="1100">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上海綜合股價指數</c:v>
                </c:pt>
              </c:strCache>
            </c:strRef>
          </c:tx>
          <c:spPr>
            <a:ln>
              <a:prstDash val="dash"/>
            </a:ln>
          </c:spPr>
          <c:marker>
            <c:symbol val="none"/>
          </c:marker>
          <c:dPt>
            <c:idx val="115"/>
            <c:bubble3D val="0"/>
            <c:spPr>
              <a:ln cmpd="sng">
                <a:prstDash val="dash"/>
              </a:ln>
            </c:spPr>
          </c:dPt>
          <c:cat>
            <c:numRef>
              <c:f>工作表1!$A$2:$A$391</c:f>
              <c:numCache>
                <c:formatCode>\ [$-1028]yyyy/m/d</c:formatCode>
                <c:ptCount val="390"/>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42962</c:v>
                </c:pt>
                <c:pt idx="54">
                  <c:v>42963</c:v>
                </c:pt>
                <c:pt idx="55">
                  <c:v>42964</c:v>
                </c:pt>
                <c:pt idx="56">
                  <c:v>42965</c:v>
                </c:pt>
                <c:pt idx="57">
                  <c:v>42968</c:v>
                </c:pt>
                <c:pt idx="58">
                  <c:v>42969</c:v>
                </c:pt>
                <c:pt idx="59">
                  <c:v>42970</c:v>
                </c:pt>
                <c:pt idx="60">
                  <c:v>42971</c:v>
                </c:pt>
                <c:pt idx="61">
                  <c:v>42972</c:v>
                </c:pt>
                <c:pt idx="62">
                  <c:v>42975</c:v>
                </c:pt>
                <c:pt idx="63">
                  <c:v>42976</c:v>
                </c:pt>
                <c:pt idx="64">
                  <c:v>42977</c:v>
                </c:pt>
                <c:pt idx="65">
                  <c:v>42978</c:v>
                </c:pt>
                <c:pt idx="66">
                  <c:v>42979</c:v>
                </c:pt>
                <c:pt idx="67">
                  <c:v>42982</c:v>
                </c:pt>
                <c:pt idx="68">
                  <c:v>42983</c:v>
                </c:pt>
                <c:pt idx="69">
                  <c:v>42984</c:v>
                </c:pt>
                <c:pt idx="70">
                  <c:v>42985</c:v>
                </c:pt>
                <c:pt idx="71">
                  <c:v>42986</c:v>
                </c:pt>
                <c:pt idx="72">
                  <c:v>42989</c:v>
                </c:pt>
                <c:pt idx="73">
                  <c:v>42990</c:v>
                </c:pt>
                <c:pt idx="74">
                  <c:v>42991</c:v>
                </c:pt>
                <c:pt idx="75">
                  <c:v>42992</c:v>
                </c:pt>
                <c:pt idx="76">
                  <c:v>42993</c:v>
                </c:pt>
                <c:pt idx="77">
                  <c:v>42996</c:v>
                </c:pt>
                <c:pt idx="78">
                  <c:v>42997</c:v>
                </c:pt>
                <c:pt idx="79">
                  <c:v>42998</c:v>
                </c:pt>
                <c:pt idx="80">
                  <c:v>42999</c:v>
                </c:pt>
                <c:pt idx="81">
                  <c:v>43000</c:v>
                </c:pt>
                <c:pt idx="82">
                  <c:v>43003</c:v>
                </c:pt>
                <c:pt idx="83">
                  <c:v>43004</c:v>
                </c:pt>
                <c:pt idx="84">
                  <c:v>43005</c:v>
                </c:pt>
                <c:pt idx="85">
                  <c:v>43006</c:v>
                </c:pt>
                <c:pt idx="86">
                  <c:v>43007</c:v>
                </c:pt>
                <c:pt idx="87">
                  <c:v>43017</c:v>
                </c:pt>
                <c:pt idx="88">
                  <c:v>43018</c:v>
                </c:pt>
                <c:pt idx="89">
                  <c:v>43019</c:v>
                </c:pt>
                <c:pt idx="90">
                  <c:v>43020</c:v>
                </c:pt>
                <c:pt idx="91">
                  <c:v>43021</c:v>
                </c:pt>
                <c:pt idx="92">
                  <c:v>43024</c:v>
                </c:pt>
                <c:pt idx="93">
                  <c:v>43025</c:v>
                </c:pt>
                <c:pt idx="94">
                  <c:v>43026</c:v>
                </c:pt>
                <c:pt idx="95">
                  <c:v>43027</c:v>
                </c:pt>
                <c:pt idx="96">
                  <c:v>43028</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43094</c:v>
                </c:pt>
                <c:pt idx="143">
                  <c:v>43095</c:v>
                </c:pt>
                <c:pt idx="144">
                  <c:v>43096</c:v>
                </c:pt>
                <c:pt idx="145">
                  <c:v>43097</c:v>
                </c:pt>
                <c:pt idx="146">
                  <c:v>43098</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43126</c:v>
                </c:pt>
                <c:pt idx="166">
                  <c:v>43129</c:v>
                </c:pt>
                <c:pt idx="167">
                  <c:v>43130</c:v>
                </c:pt>
                <c:pt idx="168">
                  <c:v>43131</c:v>
                </c:pt>
                <c:pt idx="169">
                  <c:v>43132</c:v>
                </c:pt>
                <c:pt idx="170">
                  <c:v>43133</c:v>
                </c:pt>
                <c:pt idx="171">
                  <c:v>43136</c:v>
                </c:pt>
                <c:pt idx="172">
                  <c:v>43137</c:v>
                </c:pt>
                <c:pt idx="173">
                  <c:v>43138</c:v>
                </c:pt>
                <c:pt idx="174">
                  <c:v>43139</c:v>
                </c:pt>
                <c:pt idx="175">
                  <c:v>43140</c:v>
                </c:pt>
                <c:pt idx="176">
                  <c:v>43143</c:v>
                </c:pt>
                <c:pt idx="177">
                  <c:v>43144</c:v>
                </c:pt>
                <c:pt idx="178">
                  <c:v>43145</c:v>
                </c:pt>
                <c:pt idx="179">
                  <c:v>43153</c:v>
                </c:pt>
                <c:pt idx="180">
                  <c:v>43154</c:v>
                </c:pt>
                <c:pt idx="181">
                  <c:v>43157</c:v>
                </c:pt>
                <c:pt idx="182">
                  <c:v>43158</c:v>
                </c:pt>
                <c:pt idx="183">
                  <c:v>43159</c:v>
                </c:pt>
                <c:pt idx="184">
                  <c:v>43160</c:v>
                </c:pt>
                <c:pt idx="185">
                  <c:v>43161</c:v>
                </c:pt>
                <c:pt idx="186">
                  <c:v>43164</c:v>
                </c:pt>
                <c:pt idx="187">
                  <c:v>43165</c:v>
                </c:pt>
                <c:pt idx="188">
                  <c:v>43166</c:v>
                </c:pt>
                <c:pt idx="189">
                  <c:v>43167</c:v>
                </c:pt>
                <c:pt idx="190">
                  <c:v>43168</c:v>
                </c:pt>
                <c:pt idx="191">
                  <c:v>43171</c:v>
                </c:pt>
                <c:pt idx="192">
                  <c:v>43172</c:v>
                </c:pt>
                <c:pt idx="193">
                  <c:v>43173</c:v>
                </c:pt>
                <c:pt idx="194">
                  <c:v>43174</c:v>
                </c:pt>
                <c:pt idx="195">
                  <c:v>43175</c:v>
                </c:pt>
                <c:pt idx="196">
                  <c:v>43178</c:v>
                </c:pt>
                <c:pt idx="197">
                  <c:v>43179</c:v>
                </c:pt>
                <c:pt idx="198">
                  <c:v>43180</c:v>
                </c:pt>
                <c:pt idx="199">
                  <c:v>43181</c:v>
                </c:pt>
                <c:pt idx="200">
                  <c:v>43182</c:v>
                </c:pt>
                <c:pt idx="201">
                  <c:v>43185</c:v>
                </c:pt>
                <c:pt idx="202">
                  <c:v>43186</c:v>
                </c:pt>
                <c:pt idx="203">
                  <c:v>43187</c:v>
                </c:pt>
                <c:pt idx="204">
                  <c:v>43188</c:v>
                </c:pt>
                <c:pt idx="205">
                  <c:v>43189</c:v>
                </c:pt>
                <c:pt idx="206">
                  <c:v>43192</c:v>
                </c:pt>
                <c:pt idx="207">
                  <c:v>43193</c:v>
                </c:pt>
                <c:pt idx="208">
                  <c:v>43194</c:v>
                </c:pt>
                <c:pt idx="209">
                  <c:v>43199</c:v>
                </c:pt>
                <c:pt idx="210">
                  <c:v>43200</c:v>
                </c:pt>
                <c:pt idx="211">
                  <c:v>43201</c:v>
                </c:pt>
                <c:pt idx="212">
                  <c:v>43202</c:v>
                </c:pt>
                <c:pt idx="213">
                  <c:v>43203</c:v>
                </c:pt>
                <c:pt idx="214">
                  <c:v>43206</c:v>
                </c:pt>
                <c:pt idx="215">
                  <c:v>43207</c:v>
                </c:pt>
                <c:pt idx="216">
                  <c:v>43208</c:v>
                </c:pt>
                <c:pt idx="217">
                  <c:v>43209</c:v>
                </c:pt>
                <c:pt idx="218">
                  <c:v>43210</c:v>
                </c:pt>
                <c:pt idx="219">
                  <c:v>43213</c:v>
                </c:pt>
                <c:pt idx="220">
                  <c:v>43214</c:v>
                </c:pt>
                <c:pt idx="221">
                  <c:v>43215</c:v>
                </c:pt>
                <c:pt idx="222">
                  <c:v>43216</c:v>
                </c:pt>
                <c:pt idx="223">
                  <c:v>43217</c:v>
                </c:pt>
                <c:pt idx="224">
                  <c:v>43222</c:v>
                </c:pt>
                <c:pt idx="225">
                  <c:v>43223</c:v>
                </c:pt>
                <c:pt idx="226">
                  <c:v>43224</c:v>
                </c:pt>
                <c:pt idx="227">
                  <c:v>43227</c:v>
                </c:pt>
                <c:pt idx="228">
                  <c:v>43228</c:v>
                </c:pt>
                <c:pt idx="229">
                  <c:v>43229</c:v>
                </c:pt>
                <c:pt idx="230">
                  <c:v>43230</c:v>
                </c:pt>
                <c:pt idx="231">
                  <c:v>43231</c:v>
                </c:pt>
                <c:pt idx="232">
                  <c:v>43234</c:v>
                </c:pt>
                <c:pt idx="233">
                  <c:v>43235</c:v>
                </c:pt>
                <c:pt idx="234">
                  <c:v>43236</c:v>
                </c:pt>
                <c:pt idx="235">
                  <c:v>43237</c:v>
                </c:pt>
                <c:pt idx="236">
                  <c:v>43238</c:v>
                </c:pt>
                <c:pt idx="237">
                  <c:v>43241</c:v>
                </c:pt>
                <c:pt idx="238">
                  <c:v>43242</c:v>
                </c:pt>
                <c:pt idx="239">
                  <c:v>43243</c:v>
                </c:pt>
                <c:pt idx="240">
                  <c:v>43244</c:v>
                </c:pt>
                <c:pt idx="241">
                  <c:v>43245</c:v>
                </c:pt>
                <c:pt idx="242">
                  <c:v>43248</c:v>
                </c:pt>
                <c:pt idx="243">
                  <c:v>43249</c:v>
                </c:pt>
                <c:pt idx="244">
                  <c:v>43250</c:v>
                </c:pt>
                <c:pt idx="245">
                  <c:v>43251</c:v>
                </c:pt>
                <c:pt idx="246">
                  <c:v>43252</c:v>
                </c:pt>
                <c:pt idx="247">
                  <c:v>43255</c:v>
                </c:pt>
                <c:pt idx="248">
                  <c:v>43256</c:v>
                </c:pt>
                <c:pt idx="249">
                  <c:v>43257</c:v>
                </c:pt>
                <c:pt idx="250">
                  <c:v>43258</c:v>
                </c:pt>
                <c:pt idx="251">
                  <c:v>43259</c:v>
                </c:pt>
                <c:pt idx="252">
                  <c:v>43262</c:v>
                </c:pt>
                <c:pt idx="253">
                  <c:v>43263</c:v>
                </c:pt>
                <c:pt idx="254">
                  <c:v>43264</c:v>
                </c:pt>
                <c:pt idx="255">
                  <c:v>43265</c:v>
                </c:pt>
                <c:pt idx="256">
                  <c:v>43266</c:v>
                </c:pt>
                <c:pt idx="257">
                  <c:v>43270</c:v>
                </c:pt>
                <c:pt idx="258">
                  <c:v>43271</c:v>
                </c:pt>
                <c:pt idx="259">
                  <c:v>43272</c:v>
                </c:pt>
                <c:pt idx="260">
                  <c:v>43273</c:v>
                </c:pt>
                <c:pt idx="261">
                  <c:v>43276</c:v>
                </c:pt>
                <c:pt idx="262">
                  <c:v>43277</c:v>
                </c:pt>
                <c:pt idx="263">
                  <c:v>43278</c:v>
                </c:pt>
                <c:pt idx="264">
                  <c:v>43279</c:v>
                </c:pt>
                <c:pt idx="265">
                  <c:v>43280</c:v>
                </c:pt>
                <c:pt idx="266">
                  <c:v>43283</c:v>
                </c:pt>
                <c:pt idx="267">
                  <c:v>43284</c:v>
                </c:pt>
                <c:pt idx="268">
                  <c:v>43285</c:v>
                </c:pt>
                <c:pt idx="269">
                  <c:v>43286</c:v>
                </c:pt>
                <c:pt idx="270">
                  <c:v>43287</c:v>
                </c:pt>
                <c:pt idx="271">
                  <c:v>43290</c:v>
                </c:pt>
                <c:pt idx="272">
                  <c:v>43291</c:v>
                </c:pt>
                <c:pt idx="273">
                  <c:v>43292</c:v>
                </c:pt>
                <c:pt idx="274">
                  <c:v>43293</c:v>
                </c:pt>
                <c:pt idx="275">
                  <c:v>43294</c:v>
                </c:pt>
                <c:pt idx="276">
                  <c:v>43297</c:v>
                </c:pt>
                <c:pt idx="277">
                  <c:v>43298</c:v>
                </c:pt>
                <c:pt idx="278">
                  <c:v>43299</c:v>
                </c:pt>
                <c:pt idx="279">
                  <c:v>43300</c:v>
                </c:pt>
                <c:pt idx="280">
                  <c:v>43301</c:v>
                </c:pt>
                <c:pt idx="281">
                  <c:v>43304</c:v>
                </c:pt>
                <c:pt idx="282">
                  <c:v>43305</c:v>
                </c:pt>
                <c:pt idx="283">
                  <c:v>43306</c:v>
                </c:pt>
                <c:pt idx="284">
                  <c:v>43307</c:v>
                </c:pt>
                <c:pt idx="285">
                  <c:v>43308</c:v>
                </c:pt>
                <c:pt idx="286">
                  <c:v>43311</c:v>
                </c:pt>
                <c:pt idx="287">
                  <c:v>43312</c:v>
                </c:pt>
                <c:pt idx="288">
                  <c:v>43313</c:v>
                </c:pt>
                <c:pt idx="289">
                  <c:v>43314</c:v>
                </c:pt>
                <c:pt idx="290">
                  <c:v>43315</c:v>
                </c:pt>
                <c:pt idx="291">
                  <c:v>43318</c:v>
                </c:pt>
                <c:pt idx="292">
                  <c:v>43319</c:v>
                </c:pt>
                <c:pt idx="293">
                  <c:v>43320</c:v>
                </c:pt>
                <c:pt idx="294">
                  <c:v>43321</c:v>
                </c:pt>
                <c:pt idx="295">
                  <c:v>43322</c:v>
                </c:pt>
                <c:pt idx="296">
                  <c:v>43325</c:v>
                </c:pt>
                <c:pt idx="297">
                  <c:v>43326</c:v>
                </c:pt>
                <c:pt idx="298">
                  <c:v>43327</c:v>
                </c:pt>
                <c:pt idx="299">
                  <c:v>43328</c:v>
                </c:pt>
                <c:pt idx="300">
                  <c:v>43329</c:v>
                </c:pt>
                <c:pt idx="301">
                  <c:v>43332</c:v>
                </c:pt>
                <c:pt idx="302">
                  <c:v>43333</c:v>
                </c:pt>
                <c:pt idx="303">
                  <c:v>43334</c:v>
                </c:pt>
                <c:pt idx="304">
                  <c:v>43335</c:v>
                </c:pt>
                <c:pt idx="305">
                  <c:v>43336</c:v>
                </c:pt>
                <c:pt idx="306">
                  <c:v>43339</c:v>
                </c:pt>
                <c:pt idx="307">
                  <c:v>43340</c:v>
                </c:pt>
                <c:pt idx="308">
                  <c:v>43341</c:v>
                </c:pt>
                <c:pt idx="309">
                  <c:v>43342</c:v>
                </c:pt>
                <c:pt idx="310">
                  <c:v>43343</c:v>
                </c:pt>
                <c:pt idx="311">
                  <c:v>43346</c:v>
                </c:pt>
                <c:pt idx="312">
                  <c:v>43347</c:v>
                </c:pt>
                <c:pt idx="313">
                  <c:v>43348</c:v>
                </c:pt>
                <c:pt idx="314">
                  <c:v>43349</c:v>
                </c:pt>
                <c:pt idx="315">
                  <c:v>43350</c:v>
                </c:pt>
                <c:pt idx="316">
                  <c:v>43353</c:v>
                </c:pt>
                <c:pt idx="317">
                  <c:v>43354</c:v>
                </c:pt>
                <c:pt idx="318">
                  <c:v>43355</c:v>
                </c:pt>
                <c:pt idx="319">
                  <c:v>43356</c:v>
                </c:pt>
                <c:pt idx="320">
                  <c:v>43357</c:v>
                </c:pt>
                <c:pt idx="321">
                  <c:v>43360</c:v>
                </c:pt>
                <c:pt idx="322">
                  <c:v>43361</c:v>
                </c:pt>
                <c:pt idx="323">
                  <c:v>43362</c:v>
                </c:pt>
                <c:pt idx="324">
                  <c:v>43363</c:v>
                </c:pt>
                <c:pt idx="325">
                  <c:v>43364</c:v>
                </c:pt>
                <c:pt idx="326">
                  <c:v>43368</c:v>
                </c:pt>
                <c:pt idx="327">
                  <c:v>43369</c:v>
                </c:pt>
                <c:pt idx="328">
                  <c:v>43370</c:v>
                </c:pt>
                <c:pt idx="329">
                  <c:v>43371</c:v>
                </c:pt>
                <c:pt idx="330">
                  <c:v>43381</c:v>
                </c:pt>
                <c:pt idx="331">
                  <c:v>43382</c:v>
                </c:pt>
                <c:pt idx="332">
                  <c:v>43383</c:v>
                </c:pt>
                <c:pt idx="333">
                  <c:v>43384</c:v>
                </c:pt>
                <c:pt idx="334">
                  <c:v>43385</c:v>
                </c:pt>
                <c:pt idx="335">
                  <c:v>43388</c:v>
                </c:pt>
                <c:pt idx="336">
                  <c:v>43389</c:v>
                </c:pt>
                <c:pt idx="337">
                  <c:v>43390</c:v>
                </c:pt>
                <c:pt idx="338">
                  <c:v>43391</c:v>
                </c:pt>
                <c:pt idx="339">
                  <c:v>43392</c:v>
                </c:pt>
                <c:pt idx="340">
                  <c:v>43395</c:v>
                </c:pt>
                <c:pt idx="341">
                  <c:v>43396</c:v>
                </c:pt>
                <c:pt idx="342">
                  <c:v>43397</c:v>
                </c:pt>
                <c:pt idx="343">
                  <c:v>43398</c:v>
                </c:pt>
                <c:pt idx="344">
                  <c:v>43399</c:v>
                </c:pt>
                <c:pt idx="345">
                  <c:v>43402</c:v>
                </c:pt>
                <c:pt idx="346">
                  <c:v>43403</c:v>
                </c:pt>
                <c:pt idx="347">
                  <c:v>43404</c:v>
                </c:pt>
                <c:pt idx="348">
                  <c:v>43405</c:v>
                </c:pt>
                <c:pt idx="349">
                  <c:v>43406</c:v>
                </c:pt>
                <c:pt idx="350">
                  <c:v>43409</c:v>
                </c:pt>
                <c:pt idx="351">
                  <c:v>43410</c:v>
                </c:pt>
                <c:pt idx="352">
                  <c:v>43411</c:v>
                </c:pt>
                <c:pt idx="353">
                  <c:v>43412</c:v>
                </c:pt>
                <c:pt idx="354">
                  <c:v>43413</c:v>
                </c:pt>
                <c:pt idx="355">
                  <c:v>43416</c:v>
                </c:pt>
                <c:pt idx="356">
                  <c:v>43417</c:v>
                </c:pt>
                <c:pt idx="357">
                  <c:v>43418</c:v>
                </c:pt>
                <c:pt idx="358">
                  <c:v>43419</c:v>
                </c:pt>
                <c:pt idx="359">
                  <c:v>43420</c:v>
                </c:pt>
                <c:pt idx="360">
                  <c:v>43423</c:v>
                </c:pt>
                <c:pt idx="361">
                  <c:v>43424</c:v>
                </c:pt>
                <c:pt idx="362">
                  <c:v>43425</c:v>
                </c:pt>
                <c:pt idx="363">
                  <c:v>43426</c:v>
                </c:pt>
                <c:pt idx="364">
                  <c:v>43427</c:v>
                </c:pt>
                <c:pt idx="365">
                  <c:v>43430</c:v>
                </c:pt>
                <c:pt idx="366">
                  <c:v>43431</c:v>
                </c:pt>
                <c:pt idx="367">
                  <c:v>43432</c:v>
                </c:pt>
                <c:pt idx="368">
                  <c:v>43433</c:v>
                </c:pt>
                <c:pt idx="369">
                  <c:v>43434</c:v>
                </c:pt>
                <c:pt idx="370">
                  <c:v>43437</c:v>
                </c:pt>
                <c:pt idx="371">
                  <c:v>43438</c:v>
                </c:pt>
                <c:pt idx="372">
                  <c:v>43439</c:v>
                </c:pt>
                <c:pt idx="373">
                  <c:v>43440</c:v>
                </c:pt>
                <c:pt idx="374">
                  <c:v>43441</c:v>
                </c:pt>
                <c:pt idx="375">
                  <c:v>43444</c:v>
                </c:pt>
                <c:pt idx="376">
                  <c:v>43445</c:v>
                </c:pt>
                <c:pt idx="377">
                  <c:v>43446</c:v>
                </c:pt>
                <c:pt idx="378">
                  <c:v>43447</c:v>
                </c:pt>
                <c:pt idx="379">
                  <c:v>43448</c:v>
                </c:pt>
                <c:pt idx="380">
                  <c:v>43451</c:v>
                </c:pt>
                <c:pt idx="381">
                  <c:v>43452</c:v>
                </c:pt>
                <c:pt idx="382">
                  <c:v>43453</c:v>
                </c:pt>
                <c:pt idx="383">
                  <c:v>43454</c:v>
                </c:pt>
                <c:pt idx="384">
                  <c:v>43455</c:v>
                </c:pt>
                <c:pt idx="385">
                  <c:v>43458</c:v>
                </c:pt>
                <c:pt idx="386">
                  <c:v>43459</c:v>
                </c:pt>
                <c:pt idx="387">
                  <c:v>43460</c:v>
                </c:pt>
                <c:pt idx="388">
                  <c:v>43461</c:v>
                </c:pt>
                <c:pt idx="389">
                  <c:v>43462</c:v>
                </c:pt>
              </c:numCache>
            </c:numRef>
          </c:cat>
          <c:val>
            <c:numRef>
              <c:f>工作表1!$B$2:$B$391</c:f>
              <c:numCache>
                <c:formatCode>#,##0.000</c:formatCode>
                <c:ptCount val="390"/>
                <c:pt idx="0">
                  <c:v>3102.62</c:v>
                </c:pt>
                <c:pt idx="1">
                  <c:v>3105.54</c:v>
                </c:pt>
                <c:pt idx="2">
                  <c:v>3091.66</c:v>
                </c:pt>
                <c:pt idx="3">
                  <c:v>3102.13</c:v>
                </c:pt>
                <c:pt idx="4">
                  <c:v>3140.32</c:v>
                </c:pt>
                <c:pt idx="5">
                  <c:v>3150.33</c:v>
                </c:pt>
                <c:pt idx="6">
                  <c:v>3158.4</c:v>
                </c:pt>
                <c:pt idx="7">
                  <c:v>3139.88</c:v>
                </c:pt>
                <c:pt idx="8">
                  <c:v>3153.74</c:v>
                </c:pt>
                <c:pt idx="9">
                  <c:v>3130.67</c:v>
                </c:pt>
                <c:pt idx="10">
                  <c:v>3132.49</c:v>
                </c:pt>
                <c:pt idx="11">
                  <c:v>3123.17</c:v>
                </c:pt>
                <c:pt idx="12">
                  <c:v>3144.37</c:v>
                </c:pt>
                <c:pt idx="13">
                  <c:v>3140.01</c:v>
                </c:pt>
                <c:pt idx="14">
                  <c:v>3156.21</c:v>
                </c:pt>
                <c:pt idx="15">
                  <c:v>3147.45</c:v>
                </c:pt>
                <c:pt idx="16">
                  <c:v>3157.87</c:v>
                </c:pt>
                <c:pt idx="17">
                  <c:v>3185.44</c:v>
                </c:pt>
                <c:pt idx="18">
                  <c:v>3191.2</c:v>
                </c:pt>
                <c:pt idx="19">
                  <c:v>3173.2</c:v>
                </c:pt>
                <c:pt idx="20">
                  <c:v>3188.06</c:v>
                </c:pt>
                <c:pt idx="21">
                  <c:v>3192.43</c:v>
                </c:pt>
                <c:pt idx="22">
                  <c:v>3195.91</c:v>
                </c:pt>
                <c:pt idx="23">
                  <c:v>3182.8</c:v>
                </c:pt>
                <c:pt idx="24">
                  <c:v>3207.13</c:v>
                </c:pt>
                <c:pt idx="25">
                  <c:v>3212.44</c:v>
                </c:pt>
                <c:pt idx="26">
                  <c:v>3217.96</c:v>
                </c:pt>
                <c:pt idx="27">
                  <c:v>3212.63</c:v>
                </c:pt>
                <c:pt idx="28">
                  <c:v>3203.04</c:v>
                </c:pt>
                <c:pt idx="29">
                  <c:v>3197.54</c:v>
                </c:pt>
                <c:pt idx="30">
                  <c:v>3218.16</c:v>
                </c:pt>
                <c:pt idx="31">
                  <c:v>3222.42</c:v>
                </c:pt>
                <c:pt idx="32">
                  <c:v>3176.46</c:v>
                </c:pt>
                <c:pt idx="33">
                  <c:v>3187.57</c:v>
                </c:pt>
                <c:pt idx="34">
                  <c:v>3230.98</c:v>
                </c:pt>
                <c:pt idx="35">
                  <c:v>3244.86</c:v>
                </c:pt>
                <c:pt idx="36">
                  <c:v>3237.98</c:v>
                </c:pt>
                <c:pt idx="37">
                  <c:v>3250.6</c:v>
                </c:pt>
                <c:pt idx="38">
                  <c:v>3243.69</c:v>
                </c:pt>
                <c:pt idx="39">
                  <c:v>3247.67</c:v>
                </c:pt>
                <c:pt idx="40">
                  <c:v>3249.78</c:v>
                </c:pt>
                <c:pt idx="41">
                  <c:v>3253.24</c:v>
                </c:pt>
                <c:pt idx="42">
                  <c:v>3273.03</c:v>
                </c:pt>
                <c:pt idx="43">
                  <c:v>3292.64</c:v>
                </c:pt>
                <c:pt idx="44">
                  <c:v>3285.06</c:v>
                </c:pt>
                <c:pt idx="45">
                  <c:v>3272.93</c:v>
                </c:pt>
                <c:pt idx="46">
                  <c:v>3262.08</c:v>
                </c:pt>
                <c:pt idx="47">
                  <c:v>3279.46</c:v>
                </c:pt>
                <c:pt idx="48">
                  <c:v>3281.87</c:v>
                </c:pt>
                <c:pt idx="49">
                  <c:v>3275.57</c:v>
                </c:pt>
                <c:pt idx="50">
                  <c:v>3261.75</c:v>
                </c:pt>
                <c:pt idx="51">
                  <c:v>3208.54</c:v>
                </c:pt>
                <c:pt idx="52">
                  <c:v>3237.36</c:v>
                </c:pt>
                <c:pt idx="53">
                  <c:v>3251.26</c:v>
                </c:pt>
                <c:pt idx="54">
                  <c:v>3246.45</c:v>
                </c:pt>
                <c:pt idx="55">
                  <c:v>3268.43</c:v>
                </c:pt>
                <c:pt idx="56">
                  <c:v>3268.72</c:v>
                </c:pt>
                <c:pt idx="57">
                  <c:v>3286.91</c:v>
                </c:pt>
                <c:pt idx="58">
                  <c:v>3290.23</c:v>
                </c:pt>
                <c:pt idx="59">
                  <c:v>3287.7</c:v>
                </c:pt>
                <c:pt idx="60">
                  <c:v>3271.51</c:v>
                </c:pt>
                <c:pt idx="61">
                  <c:v>3331.52</c:v>
                </c:pt>
                <c:pt idx="62">
                  <c:v>3362.65</c:v>
                </c:pt>
                <c:pt idx="63">
                  <c:v>3365.23</c:v>
                </c:pt>
                <c:pt idx="64">
                  <c:v>3363.63</c:v>
                </c:pt>
                <c:pt idx="65">
                  <c:v>3360.81</c:v>
                </c:pt>
                <c:pt idx="66">
                  <c:v>3367.12</c:v>
                </c:pt>
                <c:pt idx="67">
                  <c:v>3379.58</c:v>
                </c:pt>
                <c:pt idx="68">
                  <c:v>3384.32</c:v>
                </c:pt>
                <c:pt idx="69">
                  <c:v>3385.39</c:v>
                </c:pt>
                <c:pt idx="70">
                  <c:v>3365.5</c:v>
                </c:pt>
                <c:pt idx="71">
                  <c:v>3365.24</c:v>
                </c:pt>
                <c:pt idx="72">
                  <c:v>3376.42</c:v>
                </c:pt>
                <c:pt idx="73">
                  <c:v>3379.49</c:v>
                </c:pt>
                <c:pt idx="74">
                  <c:v>3384.15</c:v>
                </c:pt>
                <c:pt idx="75">
                  <c:v>3371.43</c:v>
                </c:pt>
                <c:pt idx="76">
                  <c:v>3353.62</c:v>
                </c:pt>
                <c:pt idx="77">
                  <c:v>3362.86</c:v>
                </c:pt>
                <c:pt idx="78">
                  <c:v>3356.84</c:v>
                </c:pt>
                <c:pt idx="79">
                  <c:v>3366</c:v>
                </c:pt>
                <c:pt idx="80">
                  <c:v>3357.81</c:v>
                </c:pt>
                <c:pt idx="81">
                  <c:v>3352.53</c:v>
                </c:pt>
                <c:pt idx="82">
                  <c:v>3341.55</c:v>
                </c:pt>
                <c:pt idx="83">
                  <c:v>3343.58</c:v>
                </c:pt>
                <c:pt idx="84">
                  <c:v>3345.27</c:v>
                </c:pt>
                <c:pt idx="85">
                  <c:v>3339.64</c:v>
                </c:pt>
                <c:pt idx="86">
                  <c:v>3348.94</c:v>
                </c:pt>
                <c:pt idx="87">
                  <c:v>3374.38</c:v>
                </c:pt>
                <c:pt idx="88">
                  <c:v>3382.99</c:v>
                </c:pt>
                <c:pt idx="89">
                  <c:v>3388.28</c:v>
                </c:pt>
                <c:pt idx="90">
                  <c:v>3386.1</c:v>
                </c:pt>
                <c:pt idx="91">
                  <c:v>3390.52</c:v>
                </c:pt>
                <c:pt idx="92">
                  <c:v>3378.47</c:v>
                </c:pt>
                <c:pt idx="93">
                  <c:v>3372.04</c:v>
                </c:pt>
                <c:pt idx="94">
                  <c:v>3381.79</c:v>
                </c:pt>
                <c:pt idx="95">
                  <c:v>3370.17</c:v>
                </c:pt>
                <c:pt idx="96">
                  <c:v>3378.65</c:v>
                </c:pt>
                <c:pt idx="97">
                  <c:v>3380.7</c:v>
                </c:pt>
                <c:pt idx="98">
                  <c:v>3388.25</c:v>
                </c:pt>
                <c:pt idx="99">
                  <c:v>3396.9</c:v>
                </c:pt>
                <c:pt idx="100">
                  <c:v>3407.57</c:v>
                </c:pt>
                <c:pt idx="101">
                  <c:v>3416.81</c:v>
                </c:pt>
                <c:pt idx="102">
                  <c:v>3390.34</c:v>
                </c:pt>
                <c:pt idx="103">
                  <c:v>3393.34</c:v>
                </c:pt>
                <c:pt idx="104">
                  <c:v>3395.91</c:v>
                </c:pt>
                <c:pt idx="105">
                  <c:v>3383.31</c:v>
                </c:pt>
                <c:pt idx="106">
                  <c:v>3371.74</c:v>
                </c:pt>
                <c:pt idx="107">
                  <c:v>3388.17</c:v>
                </c:pt>
                <c:pt idx="108">
                  <c:v>3413.57</c:v>
                </c:pt>
                <c:pt idx="109">
                  <c:v>3415.46</c:v>
                </c:pt>
                <c:pt idx="110">
                  <c:v>3427.79</c:v>
                </c:pt>
                <c:pt idx="111">
                  <c:v>3432.67</c:v>
                </c:pt>
                <c:pt idx="112">
                  <c:v>3447.84</c:v>
                </c:pt>
                <c:pt idx="113">
                  <c:v>3429.55</c:v>
                </c:pt>
                <c:pt idx="114">
                  <c:v>3402.52</c:v>
                </c:pt>
                <c:pt idx="115">
                  <c:v>3399.25</c:v>
                </c:pt>
                <c:pt idx="116">
                  <c:v>3382.91</c:v>
                </c:pt>
                <c:pt idx="117">
                  <c:v>3392.4</c:v>
                </c:pt>
                <c:pt idx="118">
                  <c:v>3410.5</c:v>
                </c:pt>
                <c:pt idx="119">
                  <c:v>3430.46</c:v>
                </c:pt>
                <c:pt idx="120">
                  <c:v>3351.92</c:v>
                </c:pt>
                <c:pt idx="121">
                  <c:v>3353.82</c:v>
                </c:pt>
                <c:pt idx="122">
                  <c:v>3322.23</c:v>
                </c:pt>
                <c:pt idx="123">
                  <c:v>3333.66</c:v>
                </c:pt>
                <c:pt idx="124">
                  <c:v>3337.86</c:v>
                </c:pt>
                <c:pt idx="125">
                  <c:v>3317.19</c:v>
                </c:pt>
                <c:pt idx="126">
                  <c:v>3317.62</c:v>
                </c:pt>
                <c:pt idx="127">
                  <c:v>3309.62</c:v>
                </c:pt>
                <c:pt idx="128">
                  <c:v>3303.68</c:v>
                </c:pt>
                <c:pt idx="129">
                  <c:v>3293.96</c:v>
                </c:pt>
                <c:pt idx="130">
                  <c:v>3272.05</c:v>
                </c:pt>
                <c:pt idx="131">
                  <c:v>3289.99</c:v>
                </c:pt>
                <c:pt idx="132">
                  <c:v>3322.2</c:v>
                </c:pt>
                <c:pt idx="133">
                  <c:v>3280.81</c:v>
                </c:pt>
                <c:pt idx="134">
                  <c:v>3303.04</c:v>
                </c:pt>
                <c:pt idx="135">
                  <c:v>3292.44</c:v>
                </c:pt>
                <c:pt idx="136">
                  <c:v>3266.14</c:v>
                </c:pt>
                <c:pt idx="137">
                  <c:v>3267.92</c:v>
                </c:pt>
                <c:pt idx="138">
                  <c:v>3296.54</c:v>
                </c:pt>
                <c:pt idx="139">
                  <c:v>3287.61</c:v>
                </c:pt>
                <c:pt idx="140">
                  <c:v>3300.06</c:v>
                </c:pt>
                <c:pt idx="141">
                  <c:v>3297.06</c:v>
                </c:pt>
                <c:pt idx="142">
                  <c:v>3280.46</c:v>
                </c:pt>
                <c:pt idx="143">
                  <c:v>3306.12</c:v>
                </c:pt>
                <c:pt idx="144">
                  <c:v>3275.78</c:v>
                </c:pt>
                <c:pt idx="145">
                  <c:v>3296.38</c:v>
                </c:pt>
                <c:pt idx="146">
                  <c:v>3307.17</c:v>
                </c:pt>
                <c:pt idx="147">
                  <c:v>3348.33</c:v>
                </c:pt>
                <c:pt idx="148">
                  <c:v>3369.11</c:v>
                </c:pt>
                <c:pt idx="149">
                  <c:v>3385.71</c:v>
                </c:pt>
                <c:pt idx="150">
                  <c:v>3391.75</c:v>
                </c:pt>
                <c:pt idx="151">
                  <c:v>3409.48</c:v>
                </c:pt>
                <c:pt idx="152">
                  <c:v>3413.9</c:v>
                </c:pt>
                <c:pt idx="153">
                  <c:v>3421.83</c:v>
                </c:pt>
                <c:pt idx="154">
                  <c:v>3425.34</c:v>
                </c:pt>
                <c:pt idx="155">
                  <c:v>3428.94</c:v>
                </c:pt>
                <c:pt idx="156">
                  <c:v>3410.49</c:v>
                </c:pt>
                <c:pt idx="157">
                  <c:v>3436.59</c:v>
                </c:pt>
                <c:pt idx="158">
                  <c:v>3444.67</c:v>
                </c:pt>
                <c:pt idx="159">
                  <c:v>3474.75</c:v>
                </c:pt>
                <c:pt idx="160">
                  <c:v>3487.86</c:v>
                </c:pt>
                <c:pt idx="161">
                  <c:v>3501.36</c:v>
                </c:pt>
                <c:pt idx="162">
                  <c:v>3546.5</c:v>
                </c:pt>
                <c:pt idx="163">
                  <c:v>3559.47</c:v>
                </c:pt>
                <c:pt idx="164">
                  <c:v>3548.31</c:v>
                </c:pt>
                <c:pt idx="165">
                  <c:v>3558.13</c:v>
                </c:pt>
                <c:pt idx="166">
                  <c:v>3523</c:v>
                </c:pt>
                <c:pt idx="167">
                  <c:v>3488.01</c:v>
                </c:pt>
                <c:pt idx="168">
                  <c:v>3480.83</c:v>
                </c:pt>
                <c:pt idx="169">
                  <c:v>3446.98</c:v>
                </c:pt>
                <c:pt idx="170">
                  <c:v>3462.08</c:v>
                </c:pt>
                <c:pt idx="171">
                  <c:v>3487.5</c:v>
                </c:pt>
                <c:pt idx="172">
                  <c:v>3370.65</c:v>
                </c:pt>
                <c:pt idx="173">
                  <c:v>3309.26</c:v>
                </c:pt>
                <c:pt idx="174">
                  <c:v>3262.05</c:v>
                </c:pt>
                <c:pt idx="175">
                  <c:v>3129.85</c:v>
                </c:pt>
                <c:pt idx="176">
                  <c:v>3154.13</c:v>
                </c:pt>
                <c:pt idx="177">
                  <c:v>3184.96</c:v>
                </c:pt>
                <c:pt idx="178">
                  <c:v>3199.16</c:v>
                </c:pt>
                <c:pt idx="179">
                  <c:v>3268.56</c:v>
                </c:pt>
                <c:pt idx="180">
                  <c:v>3289.02</c:v>
                </c:pt>
                <c:pt idx="181">
                  <c:v>3329.57</c:v>
                </c:pt>
                <c:pt idx="182">
                  <c:v>3292.07</c:v>
                </c:pt>
                <c:pt idx="183">
                  <c:v>3259.41</c:v>
                </c:pt>
                <c:pt idx="184">
                  <c:v>3273.75</c:v>
                </c:pt>
                <c:pt idx="185">
                  <c:v>3254.53</c:v>
                </c:pt>
                <c:pt idx="186">
                  <c:v>3256.93</c:v>
                </c:pt>
                <c:pt idx="187">
                  <c:v>3289.64</c:v>
                </c:pt>
                <c:pt idx="188">
                  <c:v>3271.67</c:v>
                </c:pt>
                <c:pt idx="189">
                  <c:v>3288.41</c:v>
                </c:pt>
                <c:pt idx="190">
                  <c:v>3307.17</c:v>
                </c:pt>
                <c:pt idx="191">
                  <c:v>3326.7</c:v>
                </c:pt>
                <c:pt idx="192">
                  <c:v>3310.24</c:v>
                </c:pt>
                <c:pt idx="193">
                  <c:v>3291.38</c:v>
                </c:pt>
                <c:pt idx="194">
                  <c:v>3291.11</c:v>
                </c:pt>
                <c:pt idx="195">
                  <c:v>3269.88</c:v>
                </c:pt>
                <c:pt idx="196">
                  <c:v>3279.25</c:v>
                </c:pt>
                <c:pt idx="197">
                  <c:v>3290.64</c:v>
                </c:pt>
                <c:pt idx="198">
                  <c:v>3280.95</c:v>
                </c:pt>
                <c:pt idx="199">
                  <c:v>3263.48</c:v>
                </c:pt>
                <c:pt idx="200">
                  <c:v>3152.76</c:v>
                </c:pt>
                <c:pt idx="201">
                  <c:v>3133.72</c:v>
                </c:pt>
                <c:pt idx="202">
                  <c:v>3166.65</c:v>
                </c:pt>
                <c:pt idx="203">
                  <c:v>3122.29</c:v>
                </c:pt>
                <c:pt idx="204">
                  <c:v>3160.53</c:v>
                </c:pt>
                <c:pt idx="205">
                  <c:v>3168.9</c:v>
                </c:pt>
                <c:pt idx="206">
                  <c:v>3163.18</c:v>
                </c:pt>
                <c:pt idx="207">
                  <c:v>3136.63</c:v>
                </c:pt>
                <c:pt idx="208">
                  <c:v>3131.11</c:v>
                </c:pt>
                <c:pt idx="209">
                  <c:v>3138.29</c:v>
                </c:pt>
                <c:pt idx="210">
                  <c:v>3190.32</c:v>
                </c:pt>
                <c:pt idx="211">
                  <c:v>3208.08</c:v>
                </c:pt>
                <c:pt idx="212">
                  <c:v>3180.16</c:v>
                </c:pt>
                <c:pt idx="213">
                  <c:v>3159.05</c:v>
                </c:pt>
                <c:pt idx="214">
                  <c:v>3110.65</c:v>
                </c:pt>
                <c:pt idx="215">
                  <c:v>3066.8</c:v>
                </c:pt>
                <c:pt idx="216">
                  <c:v>3091.4</c:v>
                </c:pt>
                <c:pt idx="217">
                  <c:v>3117.38</c:v>
                </c:pt>
                <c:pt idx="218">
                  <c:v>3071.54</c:v>
                </c:pt>
                <c:pt idx="219">
                  <c:v>3068.01</c:v>
                </c:pt>
                <c:pt idx="220">
                  <c:v>3128.93</c:v>
                </c:pt>
                <c:pt idx="221">
                  <c:v>3117.97</c:v>
                </c:pt>
                <c:pt idx="222">
                  <c:v>3075.03</c:v>
                </c:pt>
                <c:pt idx="223">
                  <c:v>3082.23</c:v>
                </c:pt>
                <c:pt idx="224">
                  <c:v>3081.18</c:v>
                </c:pt>
                <c:pt idx="225">
                  <c:v>3100.86</c:v>
                </c:pt>
                <c:pt idx="226">
                  <c:v>3091.03</c:v>
                </c:pt>
                <c:pt idx="227">
                  <c:v>3136.64</c:v>
                </c:pt>
                <c:pt idx="228">
                  <c:v>3161.5</c:v>
                </c:pt>
                <c:pt idx="229">
                  <c:v>3159.15</c:v>
                </c:pt>
                <c:pt idx="230">
                  <c:v>3174.41</c:v>
                </c:pt>
                <c:pt idx="231">
                  <c:v>3163.26</c:v>
                </c:pt>
                <c:pt idx="232">
                  <c:v>3174.03</c:v>
                </c:pt>
                <c:pt idx="233">
                  <c:v>3192.12</c:v>
                </c:pt>
                <c:pt idx="234">
                  <c:v>3169.57</c:v>
                </c:pt>
                <c:pt idx="235">
                  <c:v>3154.28</c:v>
                </c:pt>
                <c:pt idx="236">
                  <c:v>3193.3</c:v>
                </c:pt>
                <c:pt idx="237">
                  <c:v>3213.84</c:v>
                </c:pt>
                <c:pt idx="238">
                  <c:v>3214.35</c:v>
                </c:pt>
                <c:pt idx="239">
                  <c:v>3168.96</c:v>
                </c:pt>
                <c:pt idx="240">
                  <c:v>3154.65</c:v>
                </c:pt>
                <c:pt idx="241">
                  <c:v>3141.3</c:v>
                </c:pt>
                <c:pt idx="242">
                  <c:v>3135.08</c:v>
                </c:pt>
                <c:pt idx="243">
                  <c:v>3120.46</c:v>
                </c:pt>
                <c:pt idx="244">
                  <c:v>3041.44</c:v>
                </c:pt>
                <c:pt idx="245">
                  <c:v>3095.47</c:v>
                </c:pt>
                <c:pt idx="246">
                  <c:v>3075.14</c:v>
                </c:pt>
                <c:pt idx="247">
                  <c:v>3091.19</c:v>
                </c:pt>
                <c:pt idx="248">
                  <c:v>3114.21</c:v>
                </c:pt>
                <c:pt idx="249">
                  <c:v>3115.18</c:v>
                </c:pt>
                <c:pt idx="250">
                  <c:v>3109.5</c:v>
                </c:pt>
                <c:pt idx="251">
                  <c:v>3067.15</c:v>
                </c:pt>
                <c:pt idx="252">
                  <c:v>3052.78</c:v>
                </c:pt>
                <c:pt idx="253">
                  <c:v>3079.8</c:v>
                </c:pt>
                <c:pt idx="254">
                  <c:v>3049.8</c:v>
                </c:pt>
                <c:pt idx="255">
                  <c:v>3044.16</c:v>
                </c:pt>
                <c:pt idx="256">
                  <c:v>3021.9</c:v>
                </c:pt>
                <c:pt idx="257">
                  <c:v>2907.82</c:v>
                </c:pt>
                <c:pt idx="258">
                  <c:v>2915.73</c:v>
                </c:pt>
                <c:pt idx="259">
                  <c:v>2875.81</c:v>
                </c:pt>
                <c:pt idx="260">
                  <c:v>2889.76</c:v>
                </c:pt>
                <c:pt idx="261">
                  <c:v>2859.34</c:v>
                </c:pt>
                <c:pt idx="262">
                  <c:v>2844.51</c:v>
                </c:pt>
                <c:pt idx="263">
                  <c:v>2813.18</c:v>
                </c:pt>
                <c:pt idx="264">
                  <c:v>2786.9</c:v>
                </c:pt>
                <c:pt idx="265">
                  <c:v>2847.42</c:v>
                </c:pt>
                <c:pt idx="266">
                  <c:v>2775.56</c:v>
                </c:pt>
                <c:pt idx="267">
                  <c:v>2786.89</c:v>
                </c:pt>
                <c:pt idx="268">
                  <c:v>2759.13</c:v>
                </c:pt>
                <c:pt idx="269">
                  <c:v>2733.88</c:v>
                </c:pt>
                <c:pt idx="270">
                  <c:v>2747.23</c:v>
                </c:pt>
                <c:pt idx="271">
                  <c:v>2815.11</c:v>
                </c:pt>
                <c:pt idx="272">
                  <c:v>2827.63</c:v>
                </c:pt>
                <c:pt idx="273">
                  <c:v>2777.77</c:v>
                </c:pt>
                <c:pt idx="274">
                  <c:v>2837.66</c:v>
                </c:pt>
                <c:pt idx="275">
                  <c:v>2831.18</c:v>
                </c:pt>
                <c:pt idx="276">
                  <c:v>2814.04</c:v>
                </c:pt>
                <c:pt idx="277">
                  <c:v>2798.13</c:v>
                </c:pt>
                <c:pt idx="278">
                  <c:v>2787.26</c:v>
                </c:pt>
                <c:pt idx="279">
                  <c:v>2772.55</c:v>
                </c:pt>
                <c:pt idx="280">
                  <c:v>2829.27</c:v>
                </c:pt>
                <c:pt idx="281">
                  <c:v>2859.54</c:v>
                </c:pt>
                <c:pt idx="282">
                  <c:v>2905.56</c:v>
                </c:pt>
                <c:pt idx="283">
                  <c:v>2903.65</c:v>
                </c:pt>
                <c:pt idx="284">
                  <c:v>2882.23</c:v>
                </c:pt>
                <c:pt idx="285">
                  <c:v>2873.59</c:v>
                </c:pt>
                <c:pt idx="286">
                  <c:v>2869.05</c:v>
                </c:pt>
                <c:pt idx="287">
                  <c:v>2876.4</c:v>
                </c:pt>
                <c:pt idx="288">
                  <c:v>2824.53</c:v>
                </c:pt>
                <c:pt idx="289">
                  <c:v>2768.02</c:v>
                </c:pt>
                <c:pt idx="290">
                  <c:v>2740.44</c:v>
                </c:pt>
                <c:pt idx="291">
                  <c:v>2705.16</c:v>
                </c:pt>
                <c:pt idx="292">
                  <c:v>2779.37</c:v>
                </c:pt>
                <c:pt idx="293">
                  <c:v>2744.07</c:v>
                </c:pt>
                <c:pt idx="294">
                  <c:v>2794.38</c:v>
                </c:pt>
                <c:pt idx="295">
                  <c:v>2795.31</c:v>
                </c:pt>
                <c:pt idx="296">
                  <c:v>2785.87</c:v>
                </c:pt>
                <c:pt idx="297">
                  <c:v>2780.96</c:v>
                </c:pt>
                <c:pt idx="298">
                  <c:v>2723.26</c:v>
                </c:pt>
                <c:pt idx="299">
                  <c:v>2705.19</c:v>
                </c:pt>
                <c:pt idx="300">
                  <c:v>2668.97</c:v>
                </c:pt>
                <c:pt idx="301">
                  <c:v>2698.47</c:v>
                </c:pt>
                <c:pt idx="302">
                  <c:v>2733.83</c:v>
                </c:pt>
                <c:pt idx="303">
                  <c:v>2714.61</c:v>
                </c:pt>
                <c:pt idx="304">
                  <c:v>2724.62</c:v>
                </c:pt>
                <c:pt idx="305">
                  <c:v>2729.43</c:v>
                </c:pt>
                <c:pt idx="306">
                  <c:v>2780.9</c:v>
                </c:pt>
                <c:pt idx="307">
                  <c:v>2777.98</c:v>
                </c:pt>
                <c:pt idx="308">
                  <c:v>2769.29</c:v>
                </c:pt>
                <c:pt idx="309">
                  <c:v>2737.74</c:v>
                </c:pt>
                <c:pt idx="310">
                  <c:v>2725.25</c:v>
                </c:pt>
                <c:pt idx="311">
                  <c:v>2720.73</c:v>
                </c:pt>
                <c:pt idx="312">
                  <c:v>2750.58</c:v>
                </c:pt>
                <c:pt idx="313">
                  <c:v>2704.34</c:v>
                </c:pt>
                <c:pt idx="314">
                  <c:v>2691.59</c:v>
                </c:pt>
                <c:pt idx="315">
                  <c:v>2702.3</c:v>
                </c:pt>
                <c:pt idx="316">
                  <c:v>2669.48</c:v>
                </c:pt>
                <c:pt idx="317">
                  <c:v>2664.8</c:v>
                </c:pt>
                <c:pt idx="318">
                  <c:v>2656.11</c:v>
                </c:pt>
                <c:pt idx="319">
                  <c:v>2686.58</c:v>
                </c:pt>
                <c:pt idx="320">
                  <c:v>2681.64</c:v>
                </c:pt>
                <c:pt idx="321">
                  <c:v>2651.79</c:v>
                </c:pt>
                <c:pt idx="322">
                  <c:v>2699.95</c:v>
                </c:pt>
                <c:pt idx="323">
                  <c:v>2730.85</c:v>
                </c:pt>
                <c:pt idx="324">
                  <c:v>2729.24</c:v>
                </c:pt>
                <c:pt idx="325">
                  <c:v>2797.48</c:v>
                </c:pt>
                <c:pt idx="326">
                  <c:v>2781.14</c:v>
                </c:pt>
                <c:pt idx="327">
                  <c:v>2806.81</c:v>
                </c:pt>
                <c:pt idx="328">
                  <c:v>2791.77</c:v>
                </c:pt>
                <c:pt idx="329">
                  <c:v>2821.35</c:v>
                </c:pt>
                <c:pt idx="330">
                  <c:v>2716.51</c:v>
                </c:pt>
                <c:pt idx="331">
                  <c:v>2721.01</c:v>
                </c:pt>
                <c:pt idx="332">
                  <c:v>2725.84</c:v>
                </c:pt>
                <c:pt idx="333">
                  <c:v>2583.46</c:v>
                </c:pt>
                <c:pt idx="334">
                  <c:v>2606.91</c:v>
                </c:pt>
                <c:pt idx="335">
                  <c:v>2568.1</c:v>
                </c:pt>
                <c:pt idx="336">
                  <c:v>2546.33</c:v>
                </c:pt>
                <c:pt idx="337">
                  <c:v>2561.61</c:v>
                </c:pt>
                <c:pt idx="338">
                  <c:v>2486.42</c:v>
                </c:pt>
                <c:pt idx="339">
                  <c:v>2550.4699999999998</c:v>
                </c:pt>
                <c:pt idx="340">
                  <c:v>2654.88</c:v>
                </c:pt>
                <c:pt idx="341">
                  <c:v>2594.83</c:v>
                </c:pt>
                <c:pt idx="342">
                  <c:v>2603.3000000000002</c:v>
                </c:pt>
                <c:pt idx="343">
                  <c:v>2603.8000000000002</c:v>
                </c:pt>
                <c:pt idx="344">
                  <c:v>2598.85</c:v>
                </c:pt>
                <c:pt idx="345">
                  <c:v>2542.1</c:v>
                </c:pt>
                <c:pt idx="346">
                  <c:v>2568.0500000000002</c:v>
                </c:pt>
                <c:pt idx="347">
                  <c:v>2602.7800000000002</c:v>
                </c:pt>
                <c:pt idx="348">
                  <c:v>2606.2399999999998</c:v>
                </c:pt>
                <c:pt idx="349">
                  <c:v>2676.48</c:v>
                </c:pt>
                <c:pt idx="350">
                  <c:v>2665.43</c:v>
                </c:pt>
                <c:pt idx="351">
                  <c:v>2659.36</c:v>
                </c:pt>
                <c:pt idx="352">
                  <c:v>2641.34</c:v>
                </c:pt>
                <c:pt idx="353">
                  <c:v>2635.63</c:v>
                </c:pt>
                <c:pt idx="354">
                  <c:v>2598.87</c:v>
                </c:pt>
                <c:pt idx="355">
                  <c:v>2630.52</c:v>
                </c:pt>
                <c:pt idx="356">
                  <c:v>2654.88</c:v>
                </c:pt>
                <c:pt idx="357">
                  <c:v>2632.24</c:v>
                </c:pt>
                <c:pt idx="358">
                  <c:v>2668.17</c:v>
                </c:pt>
                <c:pt idx="359">
                  <c:v>2679.11</c:v>
                </c:pt>
                <c:pt idx="360">
                  <c:v>2703.51</c:v>
                </c:pt>
                <c:pt idx="361">
                  <c:v>2645.85</c:v>
                </c:pt>
                <c:pt idx="362">
                  <c:v>2651.51</c:v>
                </c:pt>
                <c:pt idx="363">
                  <c:v>2645.43</c:v>
                </c:pt>
                <c:pt idx="364">
                  <c:v>2579.48</c:v>
                </c:pt>
                <c:pt idx="365">
                  <c:v>2575.81</c:v>
                </c:pt>
                <c:pt idx="366">
                  <c:v>2574.6799999999998</c:v>
                </c:pt>
                <c:pt idx="367">
                  <c:v>2601.7399999999998</c:v>
                </c:pt>
                <c:pt idx="368">
                  <c:v>2567.44</c:v>
                </c:pt>
                <c:pt idx="369">
                  <c:v>2588.19</c:v>
                </c:pt>
                <c:pt idx="370">
                  <c:v>2654.8</c:v>
                </c:pt>
                <c:pt idx="371">
                  <c:v>2665.96</c:v>
                </c:pt>
                <c:pt idx="372">
                  <c:v>2649.81</c:v>
                </c:pt>
                <c:pt idx="373">
                  <c:v>2605.1799999999998</c:v>
                </c:pt>
                <c:pt idx="374">
                  <c:v>2605.89</c:v>
                </c:pt>
                <c:pt idx="375">
                  <c:v>2584.58</c:v>
                </c:pt>
                <c:pt idx="376">
                  <c:v>2594.09</c:v>
                </c:pt>
                <c:pt idx="377">
                  <c:v>2602.15</c:v>
                </c:pt>
                <c:pt idx="378">
                  <c:v>2634.05</c:v>
                </c:pt>
                <c:pt idx="379">
                  <c:v>2593.7399999999998</c:v>
                </c:pt>
                <c:pt idx="380">
                  <c:v>2597.9699999999998</c:v>
                </c:pt>
                <c:pt idx="381">
                  <c:v>2576.65</c:v>
                </c:pt>
                <c:pt idx="382">
                  <c:v>2549.56</c:v>
                </c:pt>
                <c:pt idx="383">
                  <c:v>2536.27</c:v>
                </c:pt>
                <c:pt idx="384">
                  <c:v>2516.25</c:v>
                </c:pt>
                <c:pt idx="385">
                  <c:v>2527.0100000000002</c:v>
                </c:pt>
                <c:pt idx="386">
                  <c:v>2504.8200000000002</c:v>
                </c:pt>
                <c:pt idx="387">
                  <c:v>2498.29</c:v>
                </c:pt>
                <c:pt idx="388">
                  <c:v>2483.09</c:v>
                </c:pt>
                <c:pt idx="389">
                  <c:v>2493.9</c:v>
                </c:pt>
              </c:numCache>
            </c:numRef>
          </c:val>
          <c:smooth val="0"/>
        </c:ser>
        <c:ser>
          <c:idx val="1"/>
          <c:order val="1"/>
          <c:tx>
            <c:strRef>
              <c:f>工作表1!$C$1</c:f>
              <c:strCache>
                <c:ptCount val="1"/>
                <c:pt idx="0">
                  <c:v>深圳综合股價指數</c:v>
                </c:pt>
              </c:strCache>
            </c:strRef>
          </c:tx>
          <c:marker>
            <c:symbol val="none"/>
          </c:marker>
          <c:cat>
            <c:numRef>
              <c:f>工作表1!$A$2:$A$391</c:f>
              <c:numCache>
                <c:formatCode>\ [$-1028]yyyy/m/d</c:formatCode>
                <c:ptCount val="390"/>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42962</c:v>
                </c:pt>
                <c:pt idx="54">
                  <c:v>42963</c:v>
                </c:pt>
                <c:pt idx="55">
                  <c:v>42964</c:v>
                </c:pt>
                <c:pt idx="56">
                  <c:v>42965</c:v>
                </c:pt>
                <c:pt idx="57">
                  <c:v>42968</c:v>
                </c:pt>
                <c:pt idx="58">
                  <c:v>42969</c:v>
                </c:pt>
                <c:pt idx="59">
                  <c:v>42970</c:v>
                </c:pt>
                <c:pt idx="60">
                  <c:v>42971</c:v>
                </c:pt>
                <c:pt idx="61">
                  <c:v>42972</c:v>
                </c:pt>
                <c:pt idx="62">
                  <c:v>42975</c:v>
                </c:pt>
                <c:pt idx="63">
                  <c:v>42976</c:v>
                </c:pt>
                <c:pt idx="64">
                  <c:v>42977</c:v>
                </c:pt>
                <c:pt idx="65">
                  <c:v>42978</c:v>
                </c:pt>
                <c:pt idx="66">
                  <c:v>42979</c:v>
                </c:pt>
                <c:pt idx="67">
                  <c:v>42982</c:v>
                </c:pt>
                <c:pt idx="68">
                  <c:v>42983</c:v>
                </c:pt>
                <c:pt idx="69">
                  <c:v>42984</c:v>
                </c:pt>
                <c:pt idx="70">
                  <c:v>42985</c:v>
                </c:pt>
                <c:pt idx="71">
                  <c:v>42986</c:v>
                </c:pt>
                <c:pt idx="72">
                  <c:v>42989</c:v>
                </c:pt>
                <c:pt idx="73">
                  <c:v>42990</c:v>
                </c:pt>
                <c:pt idx="74">
                  <c:v>42991</c:v>
                </c:pt>
                <c:pt idx="75">
                  <c:v>42992</c:v>
                </c:pt>
                <c:pt idx="76">
                  <c:v>42993</c:v>
                </c:pt>
                <c:pt idx="77">
                  <c:v>42996</c:v>
                </c:pt>
                <c:pt idx="78">
                  <c:v>42997</c:v>
                </c:pt>
                <c:pt idx="79">
                  <c:v>42998</c:v>
                </c:pt>
                <c:pt idx="80">
                  <c:v>42999</c:v>
                </c:pt>
                <c:pt idx="81">
                  <c:v>43000</c:v>
                </c:pt>
                <c:pt idx="82">
                  <c:v>43003</c:v>
                </c:pt>
                <c:pt idx="83">
                  <c:v>43004</c:v>
                </c:pt>
                <c:pt idx="84">
                  <c:v>43005</c:v>
                </c:pt>
                <c:pt idx="85">
                  <c:v>43006</c:v>
                </c:pt>
                <c:pt idx="86">
                  <c:v>43007</c:v>
                </c:pt>
                <c:pt idx="87">
                  <c:v>43017</c:v>
                </c:pt>
                <c:pt idx="88">
                  <c:v>43018</c:v>
                </c:pt>
                <c:pt idx="89">
                  <c:v>43019</c:v>
                </c:pt>
                <c:pt idx="90">
                  <c:v>43020</c:v>
                </c:pt>
                <c:pt idx="91">
                  <c:v>43021</c:v>
                </c:pt>
                <c:pt idx="92">
                  <c:v>43024</c:v>
                </c:pt>
                <c:pt idx="93">
                  <c:v>43025</c:v>
                </c:pt>
                <c:pt idx="94">
                  <c:v>43026</c:v>
                </c:pt>
                <c:pt idx="95">
                  <c:v>43027</c:v>
                </c:pt>
                <c:pt idx="96">
                  <c:v>43028</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43094</c:v>
                </c:pt>
                <c:pt idx="143">
                  <c:v>43095</c:v>
                </c:pt>
                <c:pt idx="144">
                  <c:v>43096</c:v>
                </c:pt>
                <c:pt idx="145">
                  <c:v>43097</c:v>
                </c:pt>
                <c:pt idx="146">
                  <c:v>43098</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43126</c:v>
                </c:pt>
                <c:pt idx="166">
                  <c:v>43129</c:v>
                </c:pt>
                <c:pt idx="167">
                  <c:v>43130</c:v>
                </c:pt>
                <c:pt idx="168">
                  <c:v>43131</c:v>
                </c:pt>
                <c:pt idx="169">
                  <c:v>43132</c:v>
                </c:pt>
                <c:pt idx="170">
                  <c:v>43133</c:v>
                </c:pt>
                <c:pt idx="171">
                  <c:v>43136</c:v>
                </c:pt>
                <c:pt idx="172">
                  <c:v>43137</c:v>
                </c:pt>
                <c:pt idx="173">
                  <c:v>43138</c:v>
                </c:pt>
                <c:pt idx="174">
                  <c:v>43139</c:v>
                </c:pt>
                <c:pt idx="175">
                  <c:v>43140</c:v>
                </c:pt>
                <c:pt idx="176">
                  <c:v>43143</c:v>
                </c:pt>
                <c:pt idx="177">
                  <c:v>43144</c:v>
                </c:pt>
                <c:pt idx="178">
                  <c:v>43145</c:v>
                </c:pt>
                <c:pt idx="179">
                  <c:v>43153</c:v>
                </c:pt>
                <c:pt idx="180">
                  <c:v>43154</c:v>
                </c:pt>
                <c:pt idx="181">
                  <c:v>43157</c:v>
                </c:pt>
                <c:pt idx="182">
                  <c:v>43158</c:v>
                </c:pt>
                <c:pt idx="183">
                  <c:v>43159</c:v>
                </c:pt>
                <c:pt idx="184">
                  <c:v>43160</c:v>
                </c:pt>
                <c:pt idx="185">
                  <c:v>43161</c:v>
                </c:pt>
                <c:pt idx="186">
                  <c:v>43164</c:v>
                </c:pt>
                <c:pt idx="187">
                  <c:v>43165</c:v>
                </c:pt>
                <c:pt idx="188">
                  <c:v>43166</c:v>
                </c:pt>
                <c:pt idx="189">
                  <c:v>43167</c:v>
                </c:pt>
                <c:pt idx="190">
                  <c:v>43168</c:v>
                </c:pt>
                <c:pt idx="191">
                  <c:v>43171</c:v>
                </c:pt>
                <c:pt idx="192">
                  <c:v>43172</c:v>
                </c:pt>
                <c:pt idx="193">
                  <c:v>43173</c:v>
                </c:pt>
                <c:pt idx="194">
                  <c:v>43174</c:v>
                </c:pt>
                <c:pt idx="195">
                  <c:v>43175</c:v>
                </c:pt>
                <c:pt idx="196">
                  <c:v>43178</c:v>
                </c:pt>
                <c:pt idx="197">
                  <c:v>43179</c:v>
                </c:pt>
                <c:pt idx="198">
                  <c:v>43180</c:v>
                </c:pt>
                <c:pt idx="199">
                  <c:v>43181</c:v>
                </c:pt>
                <c:pt idx="200">
                  <c:v>43182</c:v>
                </c:pt>
                <c:pt idx="201">
                  <c:v>43185</c:v>
                </c:pt>
                <c:pt idx="202">
                  <c:v>43186</c:v>
                </c:pt>
                <c:pt idx="203">
                  <c:v>43187</c:v>
                </c:pt>
                <c:pt idx="204">
                  <c:v>43188</c:v>
                </c:pt>
                <c:pt idx="205">
                  <c:v>43189</c:v>
                </c:pt>
                <c:pt idx="206">
                  <c:v>43192</c:v>
                </c:pt>
                <c:pt idx="207">
                  <c:v>43193</c:v>
                </c:pt>
                <c:pt idx="208">
                  <c:v>43194</c:v>
                </c:pt>
                <c:pt idx="209">
                  <c:v>43199</c:v>
                </c:pt>
                <c:pt idx="210">
                  <c:v>43200</c:v>
                </c:pt>
                <c:pt idx="211">
                  <c:v>43201</c:v>
                </c:pt>
                <c:pt idx="212">
                  <c:v>43202</c:v>
                </c:pt>
                <c:pt idx="213">
                  <c:v>43203</c:v>
                </c:pt>
                <c:pt idx="214">
                  <c:v>43206</c:v>
                </c:pt>
                <c:pt idx="215">
                  <c:v>43207</c:v>
                </c:pt>
                <c:pt idx="216">
                  <c:v>43208</c:v>
                </c:pt>
                <c:pt idx="217">
                  <c:v>43209</c:v>
                </c:pt>
                <c:pt idx="218">
                  <c:v>43210</c:v>
                </c:pt>
                <c:pt idx="219">
                  <c:v>43213</c:v>
                </c:pt>
                <c:pt idx="220">
                  <c:v>43214</c:v>
                </c:pt>
                <c:pt idx="221">
                  <c:v>43215</c:v>
                </c:pt>
                <c:pt idx="222">
                  <c:v>43216</c:v>
                </c:pt>
                <c:pt idx="223">
                  <c:v>43217</c:v>
                </c:pt>
                <c:pt idx="224">
                  <c:v>43222</c:v>
                </c:pt>
                <c:pt idx="225">
                  <c:v>43223</c:v>
                </c:pt>
                <c:pt idx="226">
                  <c:v>43224</c:v>
                </c:pt>
                <c:pt idx="227">
                  <c:v>43227</c:v>
                </c:pt>
                <c:pt idx="228">
                  <c:v>43228</c:v>
                </c:pt>
                <c:pt idx="229">
                  <c:v>43229</c:v>
                </c:pt>
                <c:pt idx="230">
                  <c:v>43230</c:v>
                </c:pt>
                <c:pt idx="231">
                  <c:v>43231</c:v>
                </c:pt>
                <c:pt idx="232">
                  <c:v>43234</c:v>
                </c:pt>
                <c:pt idx="233">
                  <c:v>43235</c:v>
                </c:pt>
                <c:pt idx="234">
                  <c:v>43236</c:v>
                </c:pt>
                <c:pt idx="235">
                  <c:v>43237</c:v>
                </c:pt>
                <c:pt idx="236">
                  <c:v>43238</c:v>
                </c:pt>
                <c:pt idx="237">
                  <c:v>43241</c:v>
                </c:pt>
                <c:pt idx="238">
                  <c:v>43242</c:v>
                </c:pt>
                <c:pt idx="239">
                  <c:v>43243</c:v>
                </c:pt>
                <c:pt idx="240">
                  <c:v>43244</c:v>
                </c:pt>
                <c:pt idx="241">
                  <c:v>43245</c:v>
                </c:pt>
                <c:pt idx="242">
                  <c:v>43248</c:v>
                </c:pt>
                <c:pt idx="243">
                  <c:v>43249</c:v>
                </c:pt>
                <c:pt idx="244">
                  <c:v>43250</c:v>
                </c:pt>
                <c:pt idx="245">
                  <c:v>43251</c:v>
                </c:pt>
                <c:pt idx="246">
                  <c:v>43252</c:v>
                </c:pt>
                <c:pt idx="247">
                  <c:v>43255</c:v>
                </c:pt>
                <c:pt idx="248">
                  <c:v>43256</c:v>
                </c:pt>
                <c:pt idx="249">
                  <c:v>43257</c:v>
                </c:pt>
                <c:pt idx="250">
                  <c:v>43258</c:v>
                </c:pt>
                <c:pt idx="251">
                  <c:v>43259</c:v>
                </c:pt>
                <c:pt idx="252">
                  <c:v>43262</c:v>
                </c:pt>
                <c:pt idx="253">
                  <c:v>43263</c:v>
                </c:pt>
                <c:pt idx="254">
                  <c:v>43264</c:v>
                </c:pt>
                <c:pt idx="255">
                  <c:v>43265</c:v>
                </c:pt>
                <c:pt idx="256">
                  <c:v>43266</c:v>
                </c:pt>
                <c:pt idx="257">
                  <c:v>43270</c:v>
                </c:pt>
                <c:pt idx="258">
                  <c:v>43271</c:v>
                </c:pt>
                <c:pt idx="259">
                  <c:v>43272</c:v>
                </c:pt>
                <c:pt idx="260">
                  <c:v>43273</c:v>
                </c:pt>
                <c:pt idx="261">
                  <c:v>43276</c:v>
                </c:pt>
                <c:pt idx="262">
                  <c:v>43277</c:v>
                </c:pt>
                <c:pt idx="263">
                  <c:v>43278</c:v>
                </c:pt>
                <c:pt idx="264">
                  <c:v>43279</c:v>
                </c:pt>
                <c:pt idx="265">
                  <c:v>43280</c:v>
                </c:pt>
                <c:pt idx="266">
                  <c:v>43283</c:v>
                </c:pt>
                <c:pt idx="267">
                  <c:v>43284</c:v>
                </c:pt>
                <c:pt idx="268">
                  <c:v>43285</c:v>
                </c:pt>
                <c:pt idx="269">
                  <c:v>43286</c:v>
                </c:pt>
                <c:pt idx="270">
                  <c:v>43287</c:v>
                </c:pt>
                <c:pt idx="271">
                  <c:v>43290</c:v>
                </c:pt>
                <c:pt idx="272">
                  <c:v>43291</c:v>
                </c:pt>
                <c:pt idx="273">
                  <c:v>43292</c:v>
                </c:pt>
                <c:pt idx="274">
                  <c:v>43293</c:v>
                </c:pt>
                <c:pt idx="275">
                  <c:v>43294</c:v>
                </c:pt>
                <c:pt idx="276">
                  <c:v>43297</c:v>
                </c:pt>
                <c:pt idx="277">
                  <c:v>43298</c:v>
                </c:pt>
                <c:pt idx="278">
                  <c:v>43299</c:v>
                </c:pt>
                <c:pt idx="279">
                  <c:v>43300</c:v>
                </c:pt>
                <c:pt idx="280">
                  <c:v>43301</c:v>
                </c:pt>
                <c:pt idx="281">
                  <c:v>43304</c:v>
                </c:pt>
                <c:pt idx="282">
                  <c:v>43305</c:v>
                </c:pt>
                <c:pt idx="283">
                  <c:v>43306</c:v>
                </c:pt>
                <c:pt idx="284">
                  <c:v>43307</c:v>
                </c:pt>
                <c:pt idx="285">
                  <c:v>43308</c:v>
                </c:pt>
                <c:pt idx="286">
                  <c:v>43311</c:v>
                </c:pt>
                <c:pt idx="287">
                  <c:v>43312</c:v>
                </c:pt>
                <c:pt idx="288">
                  <c:v>43313</c:v>
                </c:pt>
                <c:pt idx="289">
                  <c:v>43314</c:v>
                </c:pt>
                <c:pt idx="290">
                  <c:v>43315</c:v>
                </c:pt>
                <c:pt idx="291">
                  <c:v>43318</c:v>
                </c:pt>
                <c:pt idx="292">
                  <c:v>43319</c:v>
                </c:pt>
                <c:pt idx="293">
                  <c:v>43320</c:v>
                </c:pt>
                <c:pt idx="294">
                  <c:v>43321</c:v>
                </c:pt>
                <c:pt idx="295">
                  <c:v>43322</c:v>
                </c:pt>
                <c:pt idx="296">
                  <c:v>43325</c:v>
                </c:pt>
                <c:pt idx="297">
                  <c:v>43326</c:v>
                </c:pt>
                <c:pt idx="298">
                  <c:v>43327</c:v>
                </c:pt>
                <c:pt idx="299">
                  <c:v>43328</c:v>
                </c:pt>
                <c:pt idx="300">
                  <c:v>43329</c:v>
                </c:pt>
                <c:pt idx="301">
                  <c:v>43332</c:v>
                </c:pt>
                <c:pt idx="302">
                  <c:v>43333</c:v>
                </c:pt>
                <c:pt idx="303">
                  <c:v>43334</c:v>
                </c:pt>
                <c:pt idx="304">
                  <c:v>43335</c:v>
                </c:pt>
                <c:pt idx="305">
                  <c:v>43336</c:v>
                </c:pt>
                <c:pt idx="306">
                  <c:v>43339</c:v>
                </c:pt>
                <c:pt idx="307">
                  <c:v>43340</c:v>
                </c:pt>
                <c:pt idx="308">
                  <c:v>43341</c:v>
                </c:pt>
                <c:pt idx="309">
                  <c:v>43342</c:v>
                </c:pt>
                <c:pt idx="310">
                  <c:v>43343</c:v>
                </c:pt>
                <c:pt idx="311">
                  <c:v>43346</c:v>
                </c:pt>
                <c:pt idx="312">
                  <c:v>43347</c:v>
                </c:pt>
                <c:pt idx="313">
                  <c:v>43348</c:v>
                </c:pt>
                <c:pt idx="314">
                  <c:v>43349</c:v>
                </c:pt>
                <c:pt idx="315">
                  <c:v>43350</c:v>
                </c:pt>
                <c:pt idx="316">
                  <c:v>43353</c:v>
                </c:pt>
                <c:pt idx="317">
                  <c:v>43354</c:v>
                </c:pt>
                <c:pt idx="318">
                  <c:v>43355</c:v>
                </c:pt>
                <c:pt idx="319">
                  <c:v>43356</c:v>
                </c:pt>
                <c:pt idx="320">
                  <c:v>43357</c:v>
                </c:pt>
                <c:pt idx="321">
                  <c:v>43360</c:v>
                </c:pt>
                <c:pt idx="322">
                  <c:v>43361</c:v>
                </c:pt>
                <c:pt idx="323">
                  <c:v>43362</c:v>
                </c:pt>
                <c:pt idx="324">
                  <c:v>43363</c:v>
                </c:pt>
                <c:pt idx="325">
                  <c:v>43364</c:v>
                </c:pt>
                <c:pt idx="326">
                  <c:v>43368</c:v>
                </c:pt>
                <c:pt idx="327">
                  <c:v>43369</c:v>
                </c:pt>
                <c:pt idx="328">
                  <c:v>43370</c:v>
                </c:pt>
                <c:pt idx="329">
                  <c:v>43371</c:v>
                </c:pt>
                <c:pt idx="330">
                  <c:v>43381</c:v>
                </c:pt>
                <c:pt idx="331">
                  <c:v>43382</c:v>
                </c:pt>
                <c:pt idx="332">
                  <c:v>43383</c:v>
                </c:pt>
                <c:pt idx="333">
                  <c:v>43384</c:v>
                </c:pt>
                <c:pt idx="334">
                  <c:v>43385</c:v>
                </c:pt>
                <c:pt idx="335">
                  <c:v>43388</c:v>
                </c:pt>
                <c:pt idx="336">
                  <c:v>43389</c:v>
                </c:pt>
                <c:pt idx="337">
                  <c:v>43390</c:v>
                </c:pt>
                <c:pt idx="338">
                  <c:v>43391</c:v>
                </c:pt>
                <c:pt idx="339">
                  <c:v>43392</c:v>
                </c:pt>
                <c:pt idx="340">
                  <c:v>43395</c:v>
                </c:pt>
                <c:pt idx="341">
                  <c:v>43396</c:v>
                </c:pt>
                <c:pt idx="342">
                  <c:v>43397</c:v>
                </c:pt>
                <c:pt idx="343">
                  <c:v>43398</c:v>
                </c:pt>
                <c:pt idx="344">
                  <c:v>43399</c:v>
                </c:pt>
                <c:pt idx="345">
                  <c:v>43402</c:v>
                </c:pt>
                <c:pt idx="346">
                  <c:v>43403</c:v>
                </c:pt>
                <c:pt idx="347">
                  <c:v>43404</c:v>
                </c:pt>
                <c:pt idx="348">
                  <c:v>43405</c:v>
                </c:pt>
                <c:pt idx="349">
                  <c:v>43406</c:v>
                </c:pt>
                <c:pt idx="350">
                  <c:v>43409</c:v>
                </c:pt>
                <c:pt idx="351">
                  <c:v>43410</c:v>
                </c:pt>
                <c:pt idx="352">
                  <c:v>43411</c:v>
                </c:pt>
                <c:pt idx="353">
                  <c:v>43412</c:v>
                </c:pt>
                <c:pt idx="354">
                  <c:v>43413</c:v>
                </c:pt>
                <c:pt idx="355">
                  <c:v>43416</c:v>
                </c:pt>
                <c:pt idx="356">
                  <c:v>43417</c:v>
                </c:pt>
                <c:pt idx="357">
                  <c:v>43418</c:v>
                </c:pt>
                <c:pt idx="358">
                  <c:v>43419</c:v>
                </c:pt>
                <c:pt idx="359">
                  <c:v>43420</c:v>
                </c:pt>
                <c:pt idx="360">
                  <c:v>43423</c:v>
                </c:pt>
                <c:pt idx="361">
                  <c:v>43424</c:v>
                </c:pt>
                <c:pt idx="362">
                  <c:v>43425</c:v>
                </c:pt>
                <c:pt idx="363">
                  <c:v>43426</c:v>
                </c:pt>
                <c:pt idx="364">
                  <c:v>43427</c:v>
                </c:pt>
                <c:pt idx="365">
                  <c:v>43430</c:v>
                </c:pt>
                <c:pt idx="366">
                  <c:v>43431</c:v>
                </c:pt>
                <c:pt idx="367">
                  <c:v>43432</c:v>
                </c:pt>
                <c:pt idx="368">
                  <c:v>43433</c:v>
                </c:pt>
                <c:pt idx="369">
                  <c:v>43434</c:v>
                </c:pt>
                <c:pt idx="370">
                  <c:v>43437</c:v>
                </c:pt>
                <c:pt idx="371">
                  <c:v>43438</c:v>
                </c:pt>
                <c:pt idx="372">
                  <c:v>43439</c:v>
                </c:pt>
                <c:pt idx="373">
                  <c:v>43440</c:v>
                </c:pt>
                <c:pt idx="374">
                  <c:v>43441</c:v>
                </c:pt>
                <c:pt idx="375">
                  <c:v>43444</c:v>
                </c:pt>
                <c:pt idx="376">
                  <c:v>43445</c:v>
                </c:pt>
                <c:pt idx="377">
                  <c:v>43446</c:v>
                </c:pt>
                <c:pt idx="378">
                  <c:v>43447</c:v>
                </c:pt>
                <c:pt idx="379">
                  <c:v>43448</c:v>
                </c:pt>
                <c:pt idx="380">
                  <c:v>43451</c:v>
                </c:pt>
                <c:pt idx="381">
                  <c:v>43452</c:v>
                </c:pt>
                <c:pt idx="382">
                  <c:v>43453</c:v>
                </c:pt>
                <c:pt idx="383">
                  <c:v>43454</c:v>
                </c:pt>
                <c:pt idx="384">
                  <c:v>43455</c:v>
                </c:pt>
                <c:pt idx="385">
                  <c:v>43458</c:v>
                </c:pt>
                <c:pt idx="386">
                  <c:v>43459</c:v>
                </c:pt>
                <c:pt idx="387">
                  <c:v>43460</c:v>
                </c:pt>
                <c:pt idx="388">
                  <c:v>43461</c:v>
                </c:pt>
                <c:pt idx="389">
                  <c:v>43462</c:v>
                </c:pt>
              </c:numCache>
            </c:numRef>
          </c:cat>
          <c:val>
            <c:numRef>
              <c:f>工作表1!$C$2:$C$391</c:f>
              <c:numCache>
                <c:formatCode>#,##0.000</c:formatCode>
                <c:ptCount val="390"/>
                <c:pt idx="0">
                  <c:v>1773.606</c:v>
                </c:pt>
                <c:pt idx="1">
                  <c:v>1788.6030000000001</c:v>
                </c:pt>
                <c:pt idx="2">
                  <c:v>1800.932</c:v>
                </c:pt>
                <c:pt idx="3">
                  <c:v>1810.8019999999999</c:v>
                </c:pt>
                <c:pt idx="4">
                  <c:v>1850.5329999999999</c:v>
                </c:pt>
                <c:pt idx="5">
                  <c:v>1852.857</c:v>
                </c:pt>
                <c:pt idx="6">
                  <c:v>1857.165</c:v>
                </c:pt>
                <c:pt idx="7">
                  <c:v>1836.7619999999999</c:v>
                </c:pt>
                <c:pt idx="8">
                  <c:v>1859.8810000000001</c:v>
                </c:pt>
                <c:pt idx="9">
                  <c:v>1852.7850000000001</c:v>
                </c:pt>
                <c:pt idx="10">
                  <c:v>1869.712</c:v>
                </c:pt>
                <c:pt idx="11">
                  <c:v>1866.0519999999999</c:v>
                </c:pt>
                <c:pt idx="12">
                  <c:v>1876.85</c:v>
                </c:pt>
                <c:pt idx="13">
                  <c:v>1879.0640000000001</c:v>
                </c:pt>
                <c:pt idx="14">
                  <c:v>1887.193</c:v>
                </c:pt>
                <c:pt idx="15">
                  <c:v>1862.8389999999999</c:v>
                </c:pt>
                <c:pt idx="16">
                  <c:v>1871.337</c:v>
                </c:pt>
                <c:pt idx="17">
                  <c:v>1896.7950000000001</c:v>
                </c:pt>
                <c:pt idx="18">
                  <c:v>1898.5350000000001</c:v>
                </c:pt>
                <c:pt idx="19">
                  <c:v>1883.3710000000001</c:v>
                </c:pt>
                <c:pt idx="20">
                  <c:v>1892.269</c:v>
                </c:pt>
                <c:pt idx="21">
                  <c:v>1897.6869999999999</c:v>
                </c:pt>
                <c:pt idx="22">
                  <c:v>1905.204</c:v>
                </c:pt>
                <c:pt idx="23">
                  <c:v>1896.527</c:v>
                </c:pt>
                <c:pt idx="24">
                  <c:v>1913.1379999999999</c:v>
                </c:pt>
                <c:pt idx="25">
                  <c:v>1914.586</c:v>
                </c:pt>
                <c:pt idx="26">
                  <c:v>1918.1320000000001</c:v>
                </c:pt>
                <c:pt idx="27">
                  <c:v>1905.3679999999999</c:v>
                </c:pt>
                <c:pt idx="28">
                  <c:v>1891.596</c:v>
                </c:pt>
                <c:pt idx="29">
                  <c:v>1889.4469999999999</c:v>
                </c:pt>
                <c:pt idx="30">
                  <c:v>1888.6980000000001</c:v>
                </c:pt>
                <c:pt idx="31">
                  <c:v>1881.011</c:v>
                </c:pt>
                <c:pt idx="32">
                  <c:v>1800.54</c:v>
                </c:pt>
                <c:pt idx="33">
                  <c:v>1811.326</c:v>
                </c:pt>
                <c:pt idx="34">
                  <c:v>1839.057</c:v>
                </c:pt>
                <c:pt idx="35">
                  <c:v>1847.9739999999999</c:v>
                </c:pt>
                <c:pt idx="36">
                  <c:v>1845.8140000000001</c:v>
                </c:pt>
                <c:pt idx="37">
                  <c:v>1854.665</c:v>
                </c:pt>
                <c:pt idx="38">
                  <c:v>1848.5920000000001</c:v>
                </c:pt>
                <c:pt idx="39">
                  <c:v>1843.123</c:v>
                </c:pt>
                <c:pt idx="40">
                  <c:v>1865.9580000000001</c:v>
                </c:pt>
                <c:pt idx="41">
                  <c:v>1868.3720000000001</c:v>
                </c:pt>
                <c:pt idx="42">
                  <c:v>1879.096</c:v>
                </c:pt>
                <c:pt idx="43">
                  <c:v>1882.4680000000001</c:v>
                </c:pt>
                <c:pt idx="44">
                  <c:v>1869.317</c:v>
                </c:pt>
                <c:pt idx="45">
                  <c:v>1869.212</c:v>
                </c:pt>
                <c:pt idx="46">
                  <c:v>1858.4939999999999</c:v>
                </c:pt>
                <c:pt idx="47">
                  <c:v>1872.289</c:v>
                </c:pt>
                <c:pt idx="48">
                  <c:v>1879.165</c:v>
                </c:pt>
                <c:pt idx="49">
                  <c:v>1885.5530000000001</c:v>
                </c:pt>
                <c:pt idx="50">
                  <c:v>1872.597</c:v>
                </c:pt>
                <c:pt idx="51">
                  <c:v>1842.598</c:v>
                </c:pt>
                <c:pt idx="52">
                  <c:v>1879.7660000000001</c:v>
                </c:pt>
                <c:pt idx="53">
                  <c:v>1887.2829999999999</c:v>
                </c:pt>
                <c:pt idx="54">
                  <c:v>1898.386</c:v>
                </c:pt>
                <c:pt idx="55">
                  <c:v>1909.385</c:v>
                </c:pt>
                <c:pt idx="56">
                  <c:v>1902.2539999999999</c:v>
                </c:pt>
                <c:pt idx="57">
                  <c:v>1916.4190000000001</c:v>
                </c:pt>
                <c:pt idx="58">
                  <c:v>1908.32</c:v>
                </c:pt>
                <c:pt idx="59">
                  <c:v>1901.9960000000001</c:v>
                </c:pt>
                <c:pt idx="60">
                  <c:v>1890.4839999999999</c:v>
                </c:pt>
                <c:pt idx="61">
                  <c:v>1910.13</c:v>
                </c:pt>
                <c:pt idx="62">
                  <c:v>1936.761</c:v>
                </c:pt>
                <c:pt idx="63">
                  <c:v>1932.056</c:v>
                </c:pt>
                <c:pt idx="64">
                  <c:v>1938.9</c:v>
                </c:pt>
                <c:pt idx="65">
                  <c:v>1944.9390000000001</c:v>
                </c:pt>
                <c:pt idx="66">
                  <c:v>1956.3520000000001</c:v>
                </c:pt>
                <c:pt idx="67">
                  <c:v>1968.1220000000001</c:v>
                </c:pt>
                <c:pt idx="68">
                  <c:v>1972.1379999999999</c:v>
                </c:pt>
                <c:pt idx="69">
                  <c:v>1979.5340000000001</c:v>
                </c:pt>
                <c:pt idx="70">
                  <c:v>1972.739</c:v>
                </c:pt>
                <c:pt idx="71">
                  <c:v>1975.8689999999999</c:v>
                </c:pt>
                <c:pt idx="72">
                  <c:v>1991.732</c:v>
                </c:pt>
                <c:pt idx="73">
                  <c:v>1986.2080000000001</c:v>
                </c:pt>
                <c:pt idx="74">
                  <c:v>1994.9760000000001</c:v>
                </c:pt>
                <c:pt idx="75">
                  <c:v>1993.5319999999999</c:v>
                </c:pt>
                <c:pt idx="76">
                  <c:v>1987.9849999999999</c:v>
                </c:pt>
                <c:pt idx="77">
                  <c:v>2002.741</c:v>
                </c:pt>
                <c:pt idx="78">
                  <c:v>1995.6010000000001</c:v>
                </c:pt>
                <c:pt idx="79">
                  <c:v>2012.2339999999999</c:v>
                </c:pt>
                <c:pt idx="80">
                  <c:v>1995.422</c:v>
                </c:pt>
                <c:pt idx="81">
                  <c:v>1988.5889999999999</c:v>
                </c:pt>
                <c:pt idx="82">
                  <c:v>1963.895</c:v>
                </c:pt>
                <c:pt idx="83">
                  <c:v>1964.03</c:v>
                </c:pt>
                <c:pt idx="84">
                  <c:v>1979.28</c:v>
                </c:pt>
                <c:pt idx="85">
                  <c:v>1974.7829999999999</c:v>
                </c:pt>
                <c:pt idx="86">
                  <c:v>1988.492</c:v>
                </c:pt>
                <c:pt idx="87">
                  <c:v>2014.43</c:v>
                </c:pt>
                <c:pt idx="88">
                  <c:v>2030.1780000000001</c:v>
                </c:pt>
                <c:pt idx="89">
                  <c:v>2026.4690000000001</c:v>
                </c:pt>
                <c:pt idx="90">
                  <c:v>2023.356</c:v>
                </c:pt>
                <c:pt idx="91">
                  <c:v>2036.806</c:v>
                </c:pt>
                <c:pt idx="92">
                  <c:v>2005.9459999999999</c:v>
                </c:pt>
                <c:pt idx="93">
                  <c:v>2008.06</c:v>
                </c:pt>
                <c:pt idx="94">
                  <c:v>2000.11</c:v>
                </c:pt>
                <c:pt idx="95">
                  <c:v>1983.7180000000001</c:v>
                </c:pt>
                <c:pt idx="96">
                  <c:v>1999.6780000000001</c:v>
                </c:pt>
                <c:pt idx="97">
                  <c:v>2012.0519999999999</c:v>
                </c:pt>
                <c:pt idx="98">
                  <c:v>2009.652</c:v>
                </c:pt>
                <c:pt idx="99">
                  <c:v>2025.317</c:v>
                </c:pt>
                <c:pt idx="100">
                  <c:v>2030.3510000000001</c:v>
                </c:pt>
                <c:pt idx="101">
                  <c:v>2023.5</c:v>
                </c:pt>
                <c:pt idx="102">
                  <c:v>1988.481</c:v>
                </c:pt>
                <c:pt idx="103">
                  <c:v>2002.2840000000001</c:v>
                </c:pt>
                <c:pt idx="104">
                  <c:v>2003.444</c:v>
                </c:pt>
                <c:pt idx="105">
                  <c:v>1989.981</c:v>
                </c:pt>
                <c:pt idx="106">
                  <c:v>1975.923</c:v>
                </c:pt>
                <c:pt idx="107">
                  <c:v>1999.3019999999999</c:v>
                </c:pt>
                <c:pt idx="108">
                  <c:v>2012.7190000000001</c:v>
                </c:pt>
                <c:pt idx="109">
                  <c:v>2013.7070000000001</c:v>
                </c:pt>
                <c:pt idx="110">
                  <c:v>2028.692</c:v>
                </c:pt>
                <c:pt idx="111">
                  <c:v>2039.165</c:v>
                </c:pt>
                <c:pt idx="112">
                  <c:v>2045.1769999999999</c:v>
                </c:pt>
                <c:pt idx="113">
                  <c:v>2025.7829999999999</c:v>
                </c:pt>
                <c:pt idx="114">
                  <c:v>2005.6130000000001</c:v>
                </c:pt>
                <c:pt idx="115">
                  <c:v>2010.1320000000001</c:v>
                </c:pt>
                <c:pt idx="116">
                  <c:v>1954.299</c:v>
                </c:pt>
                <c:pt idx="117">
                  <c:v>1971.934</c:v>
                </c:pt>
                <c:pt idx="118">
                  <c:v>1987.451</c:v>
                </c:pt>
                <c:pt idx="119">
                  <c:v>1982.2819999999999</c:v>
                </c:pt>
                <c:pt idx="120">
                  <c:v>1924.4480000000001</c:v>
                </c:pt>
                <c:pt idx="121">
                  <c:v>1922.72</c:v>
                </c:pt>
                <c:pt idx="122">
                  <c:v>1892.8230000000001</c:v>
                </c:pt>
                <c:pt idx="123">
                  <c:v>1918.319</c:v>
                </c:pt>
                <c:pt idx="124">
                  <c:v>1919.059</c:v>
                </c:pt>
                <c:pt idx="125">
                  <c:v>1901.855</c:v>
                </c:pt>
                <c:pt idx="126">
                  <c:v>1916.8019999999999</c:v>
                </c:pt>
                <c:pt idx="127">
                  <c:v>1902.9110000000001</c:v>
                </c:pt>
                <c:pt idx="128">
                  <c:v>1866.982</c:v>
                </c:pt>
                <c:pt idx="129">
                  <c:v>1879.6510000000001</c:v>
                </c:pt>
                <c:pt idx="130">
                  <c:v>1868.424</c:v>
                </c:pt>
                <c:pt idx="131">
                  <c:v>1891.509</c:v>
                </c:pt>
                <c:pt idx="132">
                  <c:v>1919.691</c:v>
                </c:pt>
                <c:pt idx="133">
                  <c:v>1901.0889999999999</c:v>
                </c:pt>
                <c:pt idx="134">
                  <c:v>1915.7739999999999</c:v>
                </c:pt>
                <c:pt idx="135">
                  <c:v>1915.0039999999999</c:v>
                </c:pt>
                <c:pt idx="136">
                  <c:v>1901.203</c:v>
                </c:pt>
                <c:pt idx="137">
                  <c:v>1889.1320000000001</c:v>
                </c:pt>
                <c:pt idx="138">
                  <c:v>1905.624</c:v>
                </c:pt>
                <c:pt idx="139">
                  <c:v>1891.5229999999999</c:v>
                </c:pt>
                <c:pt idx="140">
                  <c:v>1905.048</c:v>
                </c:pt>
                <c:pt idx="141">
                  <c:v>1901.5609999999999</c:v>
                </c:pt>
                <c:pt idx="142">
                  <c:v>1883.8910000000001</c:v>
                </c:pt>
                <c:pt idx="143">
                  <c:v>1892.018</c:v>
                </c:pt>
                <c:pt idx="144">
                  <c:v>1878.8030000000001</c:v>
                </c:pt>
                <c:pt idx="145">
                  <c:v>1887.34</c:v>
                </c:pt>
                <c:pt idx="146">
                  <c:v>1899.3440000000001</c:v>
                </c:pt>
                <c:pt idx="147">
                  <c:v>1919.1980000000001</c:v>
                </c:pt>
                <c:pt idx="148">
                  <c:v>1933.998</c:v>
                </c:pt>
                <c:pt idx="149">
                  <c:v>1940.9559999999999</c:v>
                </c:pt>
                <c:pt idx="150">
                  <c:v>1941.7950000000001</c:v>
                </c:pt>
                <c:pt idx="151">
                  <c:v>1945.9760000000001</c:v>
                </c:pt>
                <c:pt idx="152">
                  <c:v>1952.1769999999999</c:v>
                </c:pt>
                <c:pt idx="153">
                  <c:v>1945.663</c:v>
                </c:pt>
                <c:pt idx="154">
                  <c:v>1953.1220000000001</c:v>
                </c:pt>
                <c:pt idx="155">
                  <c:v>1948.932</c:v>
                </c:pt>
                <c:pt idx="156">
                  <c:v>1913.771</c:v>
                </c:pt>
                <c:pt idx="157">
                  <c:v>1927.557</c:v>
                </c:pt>
                <c:pt idx="158">
                  <c:v>1921.7439999999999</c:v>
                </c:pt>
                <c:pt idx="159">
                  <c:v>1924.1959999999999</c:v>
                </c:pt>
                <c:pt idx="160">
                  <c:v>1921.5360000000001</c:v>
                </c:pt>
                <c:pt idx="161">
                  <c:v>1943.905</c:v>
                </c:pt>
                <c:pt idx="162">
                  <c:v>1950.99</c:v>
                </c:pt>
                <c:pt idx="163">
                  <c:v>1960.932</c:v>
                </c:pt>
                <c:pt idx="164">
                  <c:v>1953.298</c:v>
                </c:pt>
                <c:pt idx="165">
                  <c:v>1950.2139999999999</c:v>
                </c:pt>
                <c:pt idx="166">
                  <c:v>1919.8009999999999</c:v>
                </c:pt>
                <c:pt idx="167">
                  <c:v>1909.5709999999999</c:v>
                </c:pt>
                <c:pt idx="168">
                  <c:v>1877.818</c:v>
                </c:pt>
                <c:pt idx="169">
                  <c:v>1821.0609999999999</c:v>
                </c:pt>
                <c:pt idx="170">
                  <c:v>1821.529</c:v>
                </c:pt>
                <c:pt idx="171">
                  <c:v>1806.3009999999999</c:v>
                </c:pt>
                <c:pt idx="172">
                  <c:v>1726.0920000000001</c:v>
                </c:pt>
                <c:pt idx="173">
                  <c:v>1714.393</c:v>
                </c:pt>
                <c:pt idx="174">
                  <c:v>1734.569</c:v>
                </c:pt>
                <c:pt idx="175">
                  <c:v>1679.2619999999999</c:v>
                </c:pt>
                <c:pt idx="176">
                  <c:v>1723.7280000000001</c:v>
                </c:pt>
                <c:pt idx="177">
                  <c:v>1730.83</c:v>
                </c:pt>
                <c:pt idx="178">
                  <c:v>1739.146</c:v>
                </c:pt>
                <c:pt idx="179">
                  <c:v>1771.9670000000001</c:v>
                </c:pt>
                <c:pt idx="180">
                  <c:v>1775.1690000000001</c:v>
                </c:pt>
                <c:pt idx="181">
                  <c:v>1815.0170000000001</c:v>
                </c:pt>
                <c:pt idx="182">
                  <c:v>1808.9159999999999</c:v>
                </c:pt>
                <c:pt idx="183">
                  <c:v>1811.7819999999999</c:v>
                </c:pt>
                <c:pt idx="184">
                  <c:v>1834.011</c:v>
                </c:pt>
                <c:pt idx="185">
                  <c:v>1822.2149999999999</c:v>
                </c:pt>
                <c:pt idx="186">
                  <c:v>1830.836</c:v>
                </c:pt>
                <c:pt idx="187">
                  <c:v>1852.2239999999999</c:v>
                </c:pt>
                <c:pt idx="188">
                  <c:v>1837.8689999999999</c:v>
                </c:pt>
                <c:pt idx="189">
                  <c:v>1856.473</c:v>
                </c:pt>
                <c:pt idx="190">
                  <c:v>1885.384</c:v>
                </c:pt>
                <c:pt idx="191">
                  <c:v>1908.838</c:v>
                </c:pt>
                <c:pt idx="192">
                  <c:v>1895.308</c:v>
                </c:pt>
                <c:pt idx="193">
                  <c:v>1878.5150000000001</c:v>
                </c:pt>
                <c:pt idx="194">
                  <c:v>1874.4110000000001</c:v>
                </c:pt>
                <c:pt idx="195">
                  <c:v>1863.0260000000001</c:v>
                </c:pt>
                <c:pt idx="196">
                  <c:v>1868.0530000000001</c:v>
                </c:pt>
                <c:pt idx="197">
                  <c:v>1872.3330000000001</c:v>
                </c:pt>
                <c:pt idx="198">
                  <c:v>1858.6110000000001</c:v>
                </c:pt>
                <c:pt idx="199">
                  <c:v>1849.6030000000001</c:v>
                </c:pt>
                <c:pt idx="200">
                  <c:v>1766.6110000000001</c:v>
                </c:pt>
                <c:pt idx="201">
                  <c:v>1790.355</c:v>
                </c:pt>
                <c:pt idx="202">
                  <c:v>1829.694</c:v>
                </c:pt>
                <c:pt idx="203">
                  <c:v>1812.356</c:v>
                </c:pt>
                <c:pt idx="204">
                  <c:v>1830.0940000000001</c:v>
                </c:pt>
                <c:pt idx="205">
                  <c:v>1853.722</c:v>
                </c:pt>
                <c:pt idx="206">
                  <c:v>1856.664</c:v>
                </c:pt>
                <c:pt idx="207">
                  <c:v>1842.23</c:v>
                </c:pt>
                <c:pt idx="208">
                  <c:v>1831.704</c:v>
                </c:pt>
                <c:pt idx="209">
                  <c:v>1831.825</c:v>
                </c:pt>
                <c:pt idx="210">
                  <c:v>1841.22</c:v>
                </c:pt>
                <c:pt idx="211">
                  <c:v>1850.9659999999999</c:v>
                </c:pt>
                <c:pt idx="212">
                  <c:v>1840.2719999999999</c:v>
                </c:pt>
                <c:pt idx="213">
                  <c:v>1834.38</c:v>
                </c:pt>
                <c:pt idx="214">
                  <c:v>1824.7719999999999</c:v>
                </c:pt>
                <c:pt idx="215">
                  <c:v>1784.556</c:v>
                </c:pt>
                <c:pt idx="216">
                  <c:v>1803.837</c:v>
                </c:pt>
                <c:pt idx="217">
                  <c:v>1814.636</c:v>
                </c:pt>
                <c:pt idx="218">
                  <c:v>1778.3389999999999</c:v>
                </c:pt>
                <c:pt idx="219">
                  <c:v>1764.1969999999999</c:v>
                </c:pt>
                <c:pt idx="220">
                  <c:v>1804.4059999999999</c:v>
                </c:pt>
                <c:pt idx="221">
                  <c:v>1809.26</c:v>
                </c:pt>
                <c:pt idx="222">
                  <c:v>1770.4010000000001</c:v>
                </c:pt>
                <c:pt idx="223">
                  <c:v>1776.1279999999999</c:v>
                </c:pt>
                <c:pt idx="224">
                  <c:v>1774.8989999999999</c:v>
                </c:pt>
                <c:pt idx="225">
                  <c:v>1792.8879999999999</c:v>
                </c:pt>
                <c:pt idx="226">
                  <c:v>1789.068</c:v>
                </c:pt>
                <c:pt idx="227">
                  <c:v>1822.183</c:v>
                </c:pt>
                <c:pt idx="228">
                  <c:v>1836.2249999999999</c:v>
                </c:pt>
                <c:pt idx="229">
                  <c:v>1834.56</c:v>
                </c:pt>
                <c:pt idx="230">
                  <c:v>1844.038</c:v>
                </c:pt>
                <c:pt idx="231">
                  <c:v>1825.135</c:v>
                </c:pt>
                <c:pt idx="232">
                  <c:v>1823.25</c:v>
                </c:pt>
                <c:pt idx="233">
                  <c:v>1839.8779999999999</c:v>
                </c:pt>
                <c:pt idx="234">
                  <c:v>1832.2650000000001</c:v>
                </c:pt>
                <c:pt idx="235">
                  <c:v>1822.6980000000001</c:v>
                </c:pt>
                <c:pt idx="236">
                  <c:v>1828.7860000000001</c:v>
                </c:pt>
                <c:pt idx="237">
                  <c:v>1848.0630000000001</c:v>
                </c:pt>
                <c:pt idx="238">
                  <c:v>1855.1590000000001</c:v>
                </c:pt>
                <c:pt idx="239">
                  <c:v>1834.7170000000001</c:v>
                </c:pt>
                <c:pt idx="240">
                  <c:v>1827.0550000000001</c:v>
                </c:pt>
                <c:pt idx="241">
                  <c:v>1810.0319999999999</c:v>
                </c:pt>
                <c:pt idx="242">
                  <c:v>1806.0820000000001</c:v>
                </c:pt>
                <c:pt idx="243">
                  <c:v>1786.71</c:v>
                </c:pt>
                <c:pt idx="244">
                  <c:v>1736.337</c:v>
                </c:pt>
                <c:pt idx="245">
                  <c:v>1767.55</c:v>
                </c:pt>
                <c:pt idx="246">
                  <c:v>1746.3309999999999</c:v>
                </c:pt>
                <c:pt idx="247">
                  <c:v>1747.9559999999999</c:v>
                </c:pt>
                <c:pt idx="248">
                  <c:v>1777.73</c:v>
                </c:pt>
                <c:pt idx="249">
                  <c:v>1779.145</c:v>
                </c:pt>
                <c:pt idx="250">
                  <c:v>1767.963</c:v>
                </c:pt>
                <c:pt idx="251">
                  <c:v>1751.4</c:v>
                </c:pt>
                <c:pt idx="252">
                  <c:v>1741.175</c:v>
                </c:pt>
                <c:pt idx="253">
                  <c:v>1759.1590000000001</c:v>
                </c:pt>
                <c:pt idx="254">
                  <c:v>1731.4280000000001</c:v>
                </c:pt>
                <c:pt idx="255">
                  <c:v>1721.89</c:v>
                </c:pt>
                <c:pt idx="256">
                  <c:v>1691.6479999999999</c:v>
                </c:pt>
                <c:pt idx="257">
                  <c:v>1594.0450000000001</c:v>
                </c:pt>
                <c:pt idx="258">
                  <c:v>1612.6010000000001</c:v>
                </c:pt>
                <c:pt idx="259">
                  <c:v>1578.3320000000001</c:v>
                </c:pt>
                <c:pt idx="260">
                  <c:v>1597.3910000000001</c:v>
                </c:pt>
                <c:pt idx="261">
                  <c:v>1587.306</c:v>
                </c:pt>
                <c:pt idx="262">
                  <c:v>1596.172</c:v>
                </c:pt>
                <c:pt idx="263">
                  <c:v>1575.5740000000001</c:v>
                </c:pt>
                <c:pt idx="264">
                  <c:v>1556.8240000000001</c:v>
                </c:pt>
                <c:pt idx="265">
                  <c:v>1607.6210000000001</c:v>
                </c:pt>
                <c:pt idx="266">
                  <c:v>1582.2629999999999</c:v>
                </c:pt>
                <c:pt idx="267">
                  <c:v>1594.241</c:v>
                </c:pt>
                <c:pt idx="268">
                  <c:v>1563.0039999999999</c:v>
                </c:pt>
                <c:pt idx="269">
                  <c:v>1528.672</c:v>
                </c:pt>
                <c:pt idx="270">
                  <c:v>1535.9829999999999</c:v>
                </c:pt>
                <c:pt idx="271">
                  <c:v>1574.5409999999999</c:v>
                </c:pt>
                <c:pt idx="272">
                  <c:v>1585.778</c:v>
                </c:pt>
                <c:pt idx="273">
                  <c:v>1554.6179999999999</c:v>
                </c:pt>
                <c:pt idx="274">
                  <c:v>1597.1659999999999</c:v>
                </c:pt>
                <c:pt idx="275">
                  <c:v>1604.452</c:v>
                </c:pt>
                <c:pt idx="276">
                  <c:v>1602.8389999999999</c:v>
                </c:pt>
                <c:pt idx="277">
                  <c:v>1600.079</c:v>
                </c:pt>
                <c:pt idx="278">
                  <c:v>1588.117</c:v>
                </c:pt>
                <c:pt idx="279">
                  <c:v>1575.5830000000001</c:v>
                </c:pt>
                <c:pt idx="280">
                  <c:v>1593.3019999999999</c:v>
                </c:pt>
                <c:pt idx="281">
                  <c:v>1601.693</c:v>
                </c:pt>
                <c:pt idx="282">
                  <c:v>1625.838</c:v>
                </c:pt>
                <c:pt idx="283">
                  <c:v>1624.7159999999999</c:v>
                </c:pt>
                <c:pt idx="284">
                  <c:v>1609.729</c:v>
                </c:pt>
                <c:pt idx="285">
                  <c:v>1599.0820000000001</c:v>
                </c:pt>
                <c:pt idx="286">
                  <c:v>1576.7929999999999</c:v>
                </c:pt>
                <c:pt idx="287">
                  <c:v>1576.4079999999999</c:v>
                </c:pt>
                <c:pt idx="288">
                  <c:v>1549.2809999999999</c:v>
                </c:pt>
                <c:pt idx="289">
                  <c:v>1512.0450000000001</c:v>
                </c:pt>
                <c:pt idx="290">
                  <c:v>1486.058</c:v>
                </c:pt>
                <c:pt idx="291">
                  <c:v>1455.088</c:v>
                </c:pt>
                <c:pt idx="292">
                  <c:v>1495.0530000000001</c:v>
                </c:pt>
                <c:pt idx="293">
                  <c:v>1466.6969999999999</c:v>
                </c:pt>
                <c:pt idx="294">
                  <c:v>1505.6369999999999</c:v>
                </c:pt>
                <c:pt idx="295">
                  <c:v>1515.9639999999999</c:v>
                </c:pt>
                <c:pt idx="296">
                  <c:v>1520.711</c:v>
                </c:pt>
                <c:pt idx="297">
                  <c:v>1513.8989999999999</c:v>
                </c:pt>
                <c:pt idx="298">
                  <c:v>1481.8240000000001</c:v>
                </c:pt>
                <c:pt idx="299">
                  <c:v>1467.116</c:v>
                </c:pt>
                <c:pt idx="300">
                  <c:v>1442.3820000000001</c:v>
                </c:pt>
                <c:pt idx="301">
                  <c:v>1451.0719999999999</c:v>
                </c:pt>
                <c:pt idx="302">
                  <c:v>1471.279</c:v>
                </c:pt>
                <c:pt idx="303">
                  <c:v>1454.52</c:v>
                </c:pt>
                <c:pt idx="304">
                  <c:v>1463.6949999999999</c:v>
                </c:pt>
                <c:pt idx="305">
                  <c:v>1460.3309999999999</c:v>
                </c:pt>
                <c:pt idx="306">
                  <c:v>1496.712</c:v>
                </c:pt>
                <c:pt idx="307">
                  <c:v>1497.6980000000001</c:v>
                </c:pt>
                <c:pt idx="308">
                  <c:v>1489.287</c:v>
                </c:pt>
                <c:pt idx="309">
                  <c:v>1467.182</c:v>
                </c:pt>
                <c:pt idx="310">
                  <c:v>1451.385</c:v>
                </c:pt>
                <c:pt idx="311">
                  <c:v>1448.9280000000001</c:v>
                </c:pt>
                <c:pt idx="312">
                  <c:v>1465.787</c:v>
                </c:pt>
                <c:pt idx="313">
                  <c:v>1442.2539999999999</c:v>
                </c:pt>
                <c:pt idx="314">
                  <c:v>1431.8620000000001</c:v>
                </c:pt>
                <c:pt idx="315">
                  <c:v>1433.364</c:v>
                </c:pt>
                <c:pt idx="316">
                  <c:v>1406.921</c:v>
                </c:pt>
                <c:pt idx="317">
                  <c:v>1409.3389999999999</c:v>
                </c:pt>
                <c:pt idx="318">
                  <c:v>1403.6020000000001</c:v>
                </c:pt>
                <c:pt idx="319">
                  <c:v>1413.567</c:v>
                </c:pt>
                <c:pt idx="320">
                  <c:v>1402.51</c:v>
                </c:pt>
                <c:pt idx="321">
                  <c:v>1380.9760000000001</c:v>
                </c:pt>
                <c:pt idx="322">
                  <c:v>1404.1489999999999</c:v>
                </c:pt>
                <c:pt idx="323">
                  <c:v>1423.22</c:v>
                </c:pt>
                <c:pt idx="324">
                  <c:v>1420.019</c:v>
                </c:pt>
                <c:pt idx="325">
                  <c:v>1445.1120000000001</c:v>
                </c:pt>
                <c:pt idx="326">
                  <c:v>1437.3140000000001</c:v>
                </c:pt>
                <c:pt idx="327">
                  <c:v>1447.848</c:v>
                </c:pt>
                <c:pt idx="328">
                  <c:v>1429.607</c:v>
                </c:pt>
                <c:pt idx="329">
                  <c:v>1441.539</c:v>
                </c:pt>
                <c:pt idx="330">
                  <c:v>1386.277</c:v>
                </c:pt>
                <c:pt idx="331">
                  <c:v>1385.09</c:v>
                </c:pt>
                <c:pt idx="332">
                  <c:v>1383.048</c:v>
                </c:pt>
                <c:pt idx="333">
                  <c:v>1293.904</c:v>
                </c:pt>
                <c:pt idx="334">
                  <c:v>1296.357</c:v>
                </c:pt>
                <c:pt idx="335">
                  <c:v>1281.08</c:v>
                </c:pt>
                <c:pt idx="336">
                  <c:v>1256.3720000000001</c:v>
                </c:pt>
                <c:pt idx="337">
                  <c:v>1266.5530000000001</c:v>
                </c:pt>
                <c:pt idx="338">
                  <c:v>1232.0060000000001</c:v>
                </c:pt>
                <c:pt idx="339">
                  <c:v>1263.8130000000001</c:v>
                </c:pt>
                <c:pt idx="340">
                  <c:v>1325.73</c:v>
                </c:pt>
                <c:pt idx="341">
                  <c:v>1300.2909999999999</c:v>
                </c:pt>
                <c:pt idx="342">
                  <c:v>1297.22</c:v>
                </c:pt>
                <c:pt idx="343">
                  <c:v>1292.8019999999999</c:v>
                </c:pt>
                <c:pt idx="344">
                  <c:v>1290.6210000000001</c:v>
                </c:pt>
                <c:pt idx="345">
                  <c:v>1264.575</c:v>
                </c:pt>
                <c:pt idx="346">
                  <c:v>1276.4490000000001</c:v>
                </c:pt>
                <c:pt idx="347">
                  <c:v>1294.222</c:v>
                </c:pt>
                <c:pt idx="348">
                  <c:v>1306.31</c:v>
                </c:pt>
                <c:pt idx="349">
                  <c:v>1351.0940000000001</c:v>
                </c:pt>
                <c:pt idx="350">
                  <c:v>1351.0039999999999</c:v>
                </c:pt>
                <c:pt idx="351">
                  <c:v>1346.19</c:v>
                </c:pt>
                <c:pt idx="352">
                  <c:v>1340.3710000000001</c:v>
                </c:pt>
                <c:pt idx="353">
                  <c:v>1333.9770000000001</c:v>
                </c:pt>
                <c:pt idx="354">
                  <c:v>1328.19</c:v>
                </c:pt>
                <c:pt idx="355">
                  <c:v>1361.7429999999999</c:v>
                </c:pt>
                <c:pt idx="356">
                  <c:v>1383.9159999999999</c:v>
                </c:pt>
                <c:pt idx="357">
                  <c:v>1378.36</c:v>
                </c:pt>
                <c:pt idx="358">
                  <c:v>1398.396</c:v>
                </c:pt>
                <c:pt idx="359">
                  <c:v>1410.181</c:v>
                </c:pt>
                <c:pt idx="360">
                  <c:v>1417.4259999999999</c:v>
                </c:pt>
                <c:pt idx="361">
                  <c:v>1378.921</c:v>
                </c:pt>
                <c:pt idx="362">
                  <c:v>1386.4280000000001</c:v>
                </c:pt>
                <c:pt idx="363">
                  <c:v>1385.838</c:v>
                </c:pt>
                <c:pt idx="364">
                  <c:v>1335.153</c:v>
                </c:pt>
                <c:pt idx="365">
                  <c:v>1330.93</c:v>
                </c:pt>
                <c:pt idx="366">
                  <c:v>1336.68</c:v>
                </c:pt>
                <c:pt idx="367">
                  <c:v>1355.38</c:v>
                </c:pt>
                <c:pt idx="368">
                  <c:v>1325.43</c:v>
                </c:pt>
                <c:pt idx="369">
                  <c:v>1337.74</c:v>
                </c:pt>
                <c:pt idx="370">
                  <c:v>1381.55</c:v>
                </c:pt>
                <c:pt idx="371">
                  <c:v>1387.49</c:v>
                </c:pt>
                <c:pt idx="372">
                  <c:v>1380.78</c:v>
                </c:pt>
                <c:pt idx="373">
                  <c:v>1350.75</c:v>
                </c:pt>
                <c:pt idx="374">
                  <c:v>1350.7</c:v>
                </c:pt>
                <c:pt idx="375">
                  <c:v>1332.53</c:v>
                </c:pt>
                <c:pt idx="376">
                  <c:v>1343.9</c:v>
                </c:pt>
                <c:pt idx="377">
                  <c:v>1346.03</c:v>
                </c:pt>
                <c:pt idx="378">
                  <c:v>1360.92</c:v>
                </c:pt>
                <c:pt idx="379">
                  <c:v>1327.42</c:v>
                </c:pt>
                <c:pt idx="380">
                  <c:v>1323.32</c:v>
                </c:pt>
                <c:pt idx="381">
                  <c:v>1312.55</c:v>
                </c:pt>
                <c:pt idx="382">
                  <c:v>1294.49</c:v>
                </c:pt>
                <c:pt idx="383">
                  <c:v>1297.0999999999999</c:v>
                </c:pt>
                <c:pt idx="384">
                  <c:v>1284.67</c:v>
                </c:pt>
                <c:pt idx="385">
                  <c:v>1295.72</c:v>
                </c:pt>
                <c:pt idx="386">
                  <c:v>1285.19</c:v>
                </c:pt>
                <c:pt idx="387">
                  <c:v>1279.79</c:v>
                </c:pt>
                <c:pt idx="388">
                  <c:v>1264.23</c:v>
                </c:pt>
                <c:pt idx="389">
                  <c:v>1267.8699999999999</c:v>
                </c:pt>
              </c:numCache>
            </c:numRef>
          </c:val>
          <c:smooth val="0"/>
        </c:ser>
        <c:dLbls>
          <c:showLegendKey val="0"/>
          <c:showVal val="0"/>
          <c:showCatName val="0"/>
          <c:showSerName val="0"/>
          <c:showPercent val="0"/>
          <c:showBubbleSize val="0"/>
        </c:dLbls>
        <c:marker val="1"/>
        <c:smooth val="0"/>
        <c:axId val="678454272"/>
        <c:axId val="647193728"/>
      </c:lineChart>
      <c:dateAx>
        <c:axId val="678454272"/>
        <c:scaling>
          <c:orientation val="minMax"/>
        </c:scaling>
        <c:delete val="0"/>
        <c:axPos val="b"/>
        <c:numFmt formatCode="\ [$-1028]yyyy/m/d" sourceLinked="1"/>
        <c:majorTickMark val="out"/>
        <c:minorTickMark val="none"/>
        <c:tickLblPos val="nextTo"/>
        <c:txPr>
          <a:bodyPr/>
          <a:lstStyle/>
          <a:p>
            <a:pPr>
              <a:defRPr sz="800" b="0">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647193728"/>
        <c:crosses val="autoZero"/>
        <c:auto val="1"/>
        <c:lblOffset val="100"/>
        <c:baseTimeUnit val="days"/>
      </c:dateAx>
      <c:valAx>
        <c:axId val="647193728"/>
        <c:scaling>
          <c:orientation val="minMax"/>
          <c:max val="3600"/>
          <c:min val="1000"/>
        </c:scaling>
        <c:delete val="0"/>
        <c:axPos val="l"/>
        <c:numFmt formatCode="#,##0" sourceLinked="0"/>
        <c:majorTickMark val="out"/>
        <c:minorTickMark val="none"/>
        <c:tickLblPos val="nextTo"/>
        <c:crossAx val="678454272"/>
        <c:crosses val="autoZero"/>
        <c:crossBetween val="between"/>
      </c:valAx>
    </c:plotArea>
    <c:legend>
      <c:legendPos val="b"/>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工作表1!$B$1</c:f>
              <c:strCache>
                <c:ptCount val="1"/>
                <c:pt idx="0">
                  <c:v>數列 1</c:v>
                </c:pt>
              </c:strCache>
            </c:strRef>
          </c:tx>
          <c:marker>
            <c:symbol val="none"/>
          </c:marker>
          <c:cat>
            <c:numRef>
              <c:f>工作表1!$A$2:$A$391</c:f>
              <c:numCache>
                <c:formatCode>\ [$-1028]yyyy/m/d</c:formatCode>
                <c:ptCount val="390"/>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42962</c:v>
                </c:pt>
                <c:pt idx="54">
                  <c:v>42963</c:v>
                </c:pt>
                <c:pt idx="55">
                  <c:v>42964</c:v>
                </c:pt>
                <c:pt idx="56">
                  <c:v>42965</c:v>
                </c:pt>
                <c:pt idx="57">
                  <c:v>42968</c:v>
                </c:pt>
                <c:pt idx="58">
                  <c:v>42969</c:v>
                </c:pt>
                <c:pt idx="59">
                  <c:v>42970</c:v>
                </c:pt>
                <c:pt idx="60">
                  <c:v>42971</c:v>
                </c:pt>
                <c:pt idx="61">
                  <c:v>42972</c:v>
                </c:pt>
                <c:pt idx="62">
                  <c:v>42975</c:v>
                </c:pt>
                <c:pt idx="63">
                  <c:v>42976</c:v>
                </c:pt>
                <c:pt idx="64">
                  <c:v>42977</c:v>
                </c:pt>
                <c:pt idx="65">
                  <c:v>42978</c:v>
                </c:pt>
                <c:pt idx="66">
                  <c:v>42979</c:v>
                </c:pt>
                <c:pt idx="67">
                  <c:v>42982</c:v>
                </c:pt>
                <c:pt idx="68">
                  <c:v>42983</c:v>
                </c:pt>
                <c:pt idx="69">
                  <c:v>42984</c:v>
                </c:pt>
                <c:pt idx="70">
                  <c:v>42985</c:v>
                </c:pt>
                <c:pt idx="71">
                  <c:v>42986</c:v>
                </c:pt>
                <c:pt idx="72">
                  <c:v>42989</c:v>
                </c:pt>
                <c:pt idx="73">
                  <c:v>42990</c:v>
                </c:pt>
                <c:pt idx="74">
                  <c:v>42991</c:v>
                </c:pt>
                <c:pt idx="75">
                  <c:v>42992</c:v>
                </c:pt>
                <c:pt idx="76">
                  <c:v>42993</c:v>
                </c:pt>
                <c:pt idx="77">
                  <c:v>42996</c:v>
                </c:pt>
                <c:pt idx="78">
                  <c:v>42997</c:v>
                </c:pt>
                <c:pt idx="79">
                  <c:v>42998</c:v>
                </c:pt>
                <c:pt idx="80">
                  <c:v>42999</c:v>
                </c:pt>
                <c:pt idx="81">
                  <c:v>43000</c:v>
                </c:pt>
                <c:pt idx="82">
                  <c:v>43003</c:v>
                </c:pt>
                <c:pt idx="83">
                  <c:v>43004</c:v>
                </c:pt>
                <c:pt idx="84">
                  <c:v>43005</c:v>
                </c:pt>
                <c:pt idx="85">
                  <c:v>43006</c:v>
                </c:pt>
                <c:pt idx="86">
                  <c:v>43007</c:v>
                </c:pt>
                <c:pt idx="87">
                  <c:v>43017</c:v>
                </c:pt>
                <c:pt idx="88">
                  <c:v>43018</c:v>
                </c:pt>
                <c:pt idx="89">
                  <c:v>43019</c:v>
                </c:pt>
                <c:pt idx="90">
                  <c:v>43020</c:v>
                </c:pt>
                <c:pt idx="91">
                  <c:v>43021</c:v>
                </c:pt>
                <c:pt idx="92">
                  <c:v>43024</c:v>
                </c:pt>
                <c:pt idx="93">
                  <c:v>43025</c:v>
                </c:pt>
                <c:pt idx="94">
                  <c:v>43026</c:v>
                </c:pt>
                <c:pt idx="95">
                  <c:v>43027</c:v>
                </c:pt>
                <c:pt idx="96">
                  <c:v>43028</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43094</c:v>
                </c:pt>
                <c:pt idx="143">
                  <c:v>43095</c:v>
                </c:pt>
                <c:pt idx="144">
                  <c:v>43096</c:v>
                </c:pt>
                <c:pt idx="145">
                  <c:v>43097</c:v>
                </c:pt>
                <c:pt idx="146">
                  <c:v>43098</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43126</c:v>
                </c:pt>
                <c:pt idx="166">
                  <c:v>43129</c:v>
                </c:pt>
                <c:pt idx="167">
                  <c:v>43130</c:v>
                </c:pt>
                <c:pt idx="168">
                  <c:v>43131</c:v>
                </c:pt>
                <c:pt idx="169">
                  <c:v>43132</c:v>
                </c:pt>
                <c:pt idx="170">
                  <c:v>43133</c:v>
                </c:pt>
                <c:pt idx="171">
                  <c:v>43136</c:v>
                </c:pt>
                <c:pt idx="172">
                  <c:v>43137</c:v>
                </c:pt>
                <c:pt idx="173">
                  <c:v>43138</c:v>
                </c:pt>
                <c:pt idx="174">
                  <c:v>43139</c:v>
                </c:pt>
                <c:pt idx="175">
                  <c:v>43140</c:v>
                </c:pt>
                <c:pt idx="176">
                  <c:v>43143</c:v>
                </c:pt>
                <c:pt idx="177">
                  <c:v>43144</c:v>
                </c:pt>
                <c:pt idx="178">
                  <c:v>43145</c:v>
                </c:pt>
                <c:pt idx="179">
                  <c:v>43153</c:v>
                </c:pt>
                <c:pt idx="180">
                  <c:v>43154</c:v>
                </c:pt>
                <c:pt idx="181">
                  <c:v>43157</c:v>
                </c:pt>
                <c:pt idx="182">
                  <c:v>43158</c:v>
                </c:pt>
                <c:pt idx="183">
                  <c:v>43159</c:v>
                </c:pt>
                <c:pt idx="184">
                  <c:v>43160</c:v>
                </c:pt>
                <c:pt idx="185">
                  <c:v>43161</c:v>
                </c:pt>
                <c:pt idx="186">
                  <c:v>43164</c:v>
                </c:pt>
                <c:pt idx="187">
                  <c:v>43165</c:v>
                </c:pt>
                <c:pt idx="188">
                  <c:v>43166</c:v>
                </c:pt>
                <c:pt idx="189">
                  <c:v>43167</c:v>
                </c:pt>
                <c:pt idx="190">
                  <c:v>43168</c:v>
                </c:pt>
                <c:pt idx="191">
                  <c:v>43171</c:v>
                </c:pt>
                <c:pt idx="192">
                  <c:v>43172</c:v>
                </c:pt>
                <c:pt idx="193">
                  <c:v>43173</c:v>
                </c:pt>
                <c:pt idx="194">
                  <c:v>43174</c:v>
                </c:pt>
                <c:pt idx="195">
                  <c:v>43175</c:v>
                </c:pt>
                <c:pt idx="196">
                  <c:v>43178</c:v>
                </c:pt>
                <c:pt idx="197">
                  <c:v>43179</c:v>
                </c:pt>
                <c:pt idx="198">
                  <c:v>43180</c:v>
                </c:pt>
                <c:pt idx="199">
                  <c:v>43181</c:v>
                </c:pt>
                <c:pt idx="200">
                  <c:v>43182</c:v>
                </c:pt>
                <c:pt idx="201">
                  <c:v>43185</c:v>
                </c:pt>
                <c:pt idx="202">
                  <c:v>43186</c:v>
                </c:pt>
                <c:pt idx="203">
                  <c:v>43187</c:v>
                </c:pt>
                <c:pt idx="204">
                  <c:v>43188</c:v>
                </c:pt>
                <c:pt idx="205">
                  <c:v>43189</c:v>
                </c:pt>
                <c:pt idx="206">
                  <c:v>43192</c:v>
                </c:pt>
                <c:pt idx="207">
                  <c:v>43193</c:v>
                </c:pt>
                <c:pt idx="208">
                  <c:v>43194</c:v>
                </c:pt>
                <c:pt idx="209">
                  <c:v>43199</c:v>
                </c:pt>
                <c:pt idx="210">
                  <c:v>43200</c:v>
                </c:pt>
                <c:pt idx="211">
                  <c:v>43201</c:v>
                </c:pt>
                <c:pt idx="212">
                  <c:v>43202</c:v>
                </c:pt>
                <c:pt idx="213">
                  <c:v>43203</c:v>
                </c:pt>
                <c:pt idx="214">
                  <c:v>43206</c:v>
                </c:pt>
                <c:pt idx="215">
                  <c:v>43207</c:v>
                </c:pt>
                <c:pt idx="216">
                  <c:v>43208</c:v>
                </c:pt>
                <c:pt idx="217">
                  <c:v>43209</c:v>
                </c:pt>
                <c:pt idx="218">
                  <c:v>43210</c:v>
                </c:pt>
                <c:pt idx="219">
                  <c:v>43213</c:v>
                </c:pt>
                <c:pt idx="220">
                  <c:v>43214</c:v>
                </c:pt>
                <c:pt idx="221">
                  <c:v>43215</c:v>
                </c:pt>
                <c:pt idx="222">
                  <c:v>43216</c:v>
                </c:pt>
                <c:pt idx="223">
                  <c:v>43217</c:v>
                </c:pt>
                <c:pt idx="224">
                  <c:v>43222</c:v>
                </c:pt>
                <c:pt idx="225">
                  <c:v>43223</c:v>
                </c:pt>
                <c:pt idx="226">
                  <c:v>43224</c:v>
                </c:pt>
                <c:pt idx="227">
                  <c:v>43227</c:v>
                </c:pt>
                <c:pt idx="228">
                  <c:v>43228</c:v>
                </c:pt>
                <c:pt idx="229">
                  <c:v>43229</c:v>
                </c:pt>
                <c:pt idx="230">
                  <c:v>43230</c:v>
                </c:pt>
                <c:pt idx="231">
                  <c:v>43231</c:v>
                </c:pt>
                <c:pt idx="232">
                  <c:v>43234</c:v>
                </c:pt>
                <c:pt idx="233">
                  <c:v>43235</c:v>
                </c:pt>
                <c:pt idx="234">
                  <c:v>43236</c:v>
                </c:pt>
                <c:pt idx="235">
                  <c:v>43237</c:v>
                </c:pt>
                <c:pt idx="236">
                  <c:v>43238</c:v>
                </c:pt>
                <c:pt idx="237">
                  <c:v>43241</c:v>
                </c:pt>
                <c:pt idx="238">
                  <c:v>43242</c:v>
                </c:pt>
                <c:pt idx="239">
                  <c:v>43243</c:v>
                </c:pt>
                <c:pt idx="240">
                  <c:v>43244</c:v>
                </c:pt>
                <c:pt idx="241">
                  <c:v>43245</c:v>
                </c:pt>
                <c:pt idx="242">
                  <c:v>43248</c:v>
                </c:pt>
                <c:pt idx="243">
                  <c:v>43249</c:v>
                </c:pt>
                <c:pt idx="244">
                  <c:v>43250</c:v>
                </c:pt>
                <c:pt idx="245">
                  <c:v>43251</c:v>
                </c:pt>
                <c:pt idx="246">
                  <c:v>43252</c:v>
                </c:pt>
                <c:pt idx="247">
                  <c:v>43255</c:v>
                </c:pt>
                <c:pt idx="248">
                  <c:v>43256</c:v>
                </c:pt>
                <c:pt idx="249">
                  <c:v>43257</c:v>
                </c:pt>
                <c:pt idx="250">
                  <c:v>43258</c:v>
                </c:pt>
                <c:pt idx="251">
                  <c:v>43259</c:v>
                </c:pt>
                <c:pt idx="252">
                  <c:v>43262</c:v>
                </c:pt>
                <c:pt idx="253">
                  <c:v>43263</c:v>
                </c:pt>
                <c:pt idx="254">
                  <c:v>43264</c:v>
                </c:pt>
                <c:pt idx="255">
                  <c:v>43265</c:v>
                </c:pt>
                <c:pt idx="256">
                  <c:v>43266</c:v>
                </c:pt>
                <c:pt idx="257">
                  <c:v>43270</c:v>
                </c:pt>
                <c:pt idx="258">
                  <c:v>43271</c:v>
                </c:pt>
                <c:pt idx="259">
                  <c:v>43272</c:v>
                </c:pt>
                <c:pt idx="260">
                  <c:v>43273</c:v>
                </c:pt>
                <c:pt idx="261">
                  <c:v>43276</c:v>
                </c:pt>
                <c:pt idx="262">
                  <c:v>43277</c:v>
                </c:pt>
                <c:pt idx="263">
                  <c:v>43278</c:v>
                </c:pt>
                <c:pt idx="264">
                  <c:v>43279</c:v>
                </c:pt>
                <c:pt idx="265">
                  <c:v>43280</c:v>
                </c:pt>
                <c:pt idx="266">
                  <c:v>43283</c:v>
                </c:pt>
                <c:pt idx="267">
                  <c:v>43284</c:v>
                </c:pt>
                <c:pt idx="268">
                  <c:v>43285</c:v>
                </c:pt>
                <c:pt idx="269">
                  <c:v>43286</c:v>
                </c:pt>
                <c:pt idx="270">
                  <c:v>43287</c:v>
                </c:pt>
                <c:pt idx="271">
                  <c:v>43290</c:v>
                </c:pt>
                <c:pt idx="272">
                  <c:v>43291</c:v>
                </c:pt>
                <c:pt idx="273">
                  <c:v>43292</c:v>
                </c:pt>
                <c:pt idx="274">
                  <c:v>43293</c:v>
                </c:pt>
                <c:pt idx="275">
                  <c:v>43294</c:v>
                </c:pt>
                <c:pt idx="276">
                  <c:v>43297</c:v>
                </c:pt>
                <c:pt idx="277">
                  <c:v>43298</c:v>
                </c:pt>
                <c:pt idx="278">
                  <c:v>43299</c:v>
                </c:pt>
                <c:pt idx="279">
                  <c:v>43300</c:v>
                </c:pt>
                <c:pt idx="280">
                  <c:v>43301</c:v>
                </c:pt>
                <c:pt idx="281">
                  <c:v>43304</c:v>
                </c:pt>
                <c:pt idx="282">
                  <c:v>43305</c:v>
                </c:pt>
                <c:pt idx="283">
                  <c:v>43306</c:v>
                </c:pt>
                <c:pt idx="284">
                  <c:v>43307</c:v>
                </c:pt>
                <c:pt idx="285">
                  <c:v>43308</c:v>
                </c:pt>
                <c:pt idx="286">
                  <c:v>43311</c:v>
                </c:pt>
                <c:pt idx="287">
                  <c:v>43312</c:v>
                </c:pt>
                <c:pt idx="288">
                  <c:v>43313</c:v>
                </c:pt>
                <c:pt idx="289">
                  <c:v>43314</c:v>
                </c:pt>
                <c:pt idx="290">
                  <c:v>43315</c:v>
                </c:pt>
                <c:pt idx="291">
                  <c:v>43318</c:v>
                </c:pt>
                <c:pt idx="292">
                  <c:v>43319</c:v>
                </c:pt>
                <c:pt idx="293">
                  <c:v>43320</c:v>
                </c:pt>
                <c:pt idx="294">
                  <c:v>43321</c:v>
                </c:pt>
                <c:pt idx="295">
                  <c:v>43322</c:v>
                </c:pt>
                <c:pt idx="296">
                  <c:v>43325</c:v>
                </c:pt>
                <c:pt idx="297">
                  <c:v>43326</c:v>
                </c:pt>
                <c:pt idx="298">
                  <c:v>43327</c:v>
                </c:pt>
                <c:pt idx="299">
                  <c:v>43328</c:v>
                </c:pt>
                <c:pt idx="300">
                  <c:v>43329</c:v>
                </c:pt>
                <c:pt idx="301">
                  <c:v>43332</c:v>
                </c:pt>
                <c:pt idx="302">
                  <c:v>43333</c:v>
                </c:pt>
                <c:pt idx="303">
                  <c:v>43334</c:v>
                </c:pt>
                <c:pt idx="304">
                  <c:v>43335</c:v>
                </c:pt>
                <c:pt idx="305">
                  <c:v>43336</c:v>
                </c:pt>
                <c:pt idx="306">
                  <c:v>43339</c:v>
                </c:pt>
                <c:pt idx="307">
                  <c:v>43340</c:v>
                </c:pt>
                <c:pt idx="308">
                  <c:v>43341</c:v>
                </c:pt>
                <c:pt idx="309">
                  <c:v>43342</c:v>
                </c:pt>
                <c:pt idx="310">
                  <c:v>43343</c:v>
                </c:pt>
                <c:pt idx="311">
                  <c:v>43346</c:v>
                </c:pt>
                <c:pt idx="312">
                  <c:v>43347</c:v>
                </c:pt>
                <c:pt idx="313">
                  <c:v>43348</c:v>
                </c:pt>
                <c:pt idx="314">
                  <c:v>43349</c:v>
                </c:pt>
                <c:pt idx="315">
                  <c:v>43350</c:v>
                </c:pt>
                <c:pt idx="316">
                  <c:v>43353</c:v>
                </c:pt>
                <c:pt idx="317">
                  <c:v>43354</c:v>
                </c:pt>
                <c:pt idx="318">
                  <c:v>43355</c:v>
                </c:pt>
                <c:pt idx="319">
                  <c:v>43356</c:v>
                </c:pt>
                <c:pt idx="320">
                  <c:v>43357</c:v>
                </c:pt>
                <c:pt idx="321">
                  <c:v>43360</c:v>
                </c:pt>
                <c:pt idx="322">
                  <c:v>43361</c:v>
                </c:pt>
                <c:pt idx="323">
                  <c:v>43362</c:v>
                </c:pt>
                <c:pt idx="324">
                  <c:v>43363</c:v>
                </c:pt>
                <c:pt idx="325">
                  <c:v>43364</c:v>
                </c:pt>
                <c:pt idx="326">
                  <c:v>43368</c:v>
                </c:pt>
                <c:pt idx="327">
                  <c:v>43369</c:v>
                </c:pt>
                <c:pt idx="328">
                  <c:v>43370</c:v>
                </c:pt>
                <c:pt idx="329">
                  <c:v>43371</c:v>
                </c:pt>
                <c:pt idx="330">
                  <c:v>43381</c:v>
                </c:pt>
                <c:pt idx="331">
                  <c:v>43382</c:v>
                </c:pt>
                <c:pt idx="332">
                  <c:v>43383</c:v>
                </c:pt>
                <c:pt idx="333">
                  <c:v>43384</c:v>
                </c:pt>
                <c:pt idx="334">
                  <c:v>43385</c:v>
                </c:pt>
                <c:pt idx="335">
                  <c:v>43388</c:v>
                </c:pt>
                <c:pt idx="336">
                  <c:v>43389</c:v>
                </c:pt>
                <c:pt idx="337">
                  <c:v>43390</c:v>
                </c:pt>
                <c:pt idx="338">
                  <c:v>43391</c:v>
                </c:pt>
                <c:pt idx="339">
                  <c:v>43392</c:v>
                </c:pt>
                <c:pt idx="340">
                  <c:v>43395</c:v>
                </c:pt>
                <c:pt idx="341">
                  <c:v>43396</c:v>
                </c:pt>
                <c:pt idx="342">
                  <c:v>43397</c:v>
                </c:pt>
                <c:pt idx="343">
                  <c:v>43398</c:v>
                </c:pt>
                <c:pt idx="344">
                  <c:v>43399</c:v>
                </c:pt>
                <c:pt idx="345">
                  <c:v>43402</c:v>
                </c:pt>
                <c:pt idx="346">
                  <c:v>43403</c:v>
                </c:pt>
                <c:pt idx="347">
                  <c:v>43404</c:v>
                </c:pt>
                <c:pt idx="348">
                  <c:v>43405</c:v>
                </c:pt>
                <c:pt idx="349">
                  <c:v>43406</c:v>
                </c:pt>
                <c:pt idx="350">
                  <c:v>43409</c:v>
                </c:pt>
                <c:pt idx="351">
                  <c:v>43410</c:v>
                </c:pt>
                <c:pt idx="352">
                  <c:v>43411</c:v>
                </c:pt>
                <c:pt idx="353">
                  <c:v>43412</c:v>
                </c:pt>
                <c:pt idx="354">
                  <c:v>43413</c:v>
                </c:pt>
                <c:pt idx="355">
                  <c:v>43416</c:v>
                </c:pt>
                <c:pt idx="356">
                  <c:v>43417</c:v>
                </c:pt>
                <c:pt idx="357">
                  <c:v>43418</c:v>
                </c:pt>
                <c:pt idx="358">
                  <c:v>43419</c:v>
                </c:pt>
                <c:pt idx="359">
                  <c:v>43420</c:v>
                </c:pt>
                <c:pt idx="360">
                  <c:v>43423</c:v>
                </c:pt>
                <c:pt idx="361">
                  <c:v>43424</c:v>
                </c:pt>
                <c:pt idx="362">
                  <c:v>43425</c:v>
                </c:pt>
                <c:pt idx="363">
                  <c:v>43426</c:v>
                </c:pt>
                <c:pt idx="364">
                  <c:v>43427</c:v>
                </c:pt>
                <c:pt idx="365">
                  <c:v>43430</c:v>
                </c:pt>
                <c:pt idx="366">
                  <c:v>43431</c:v>
                </c:pt>
                <c:pt idx="367">
                  <c:v>43432</c:v>
                </c:pt>
                <c:pt idx="368">
                  <c:v>43433</c:v>
                </c:pt>
                <c:pt idx="369">
                  <c:v>43434</c:v>
                </c:pt>
                <c:pt idx="370">
                  <c:v>43437</c:v>
                </c:pt>
                <c:pt idx="371">
                  <c:v>43438</c:v>
                </c:pt>
                <c:pt idx="372">
                  <c:v>43439</c:v>
                </c:pt>
                <c:pt idx="373">
                  <c:v>43440</c:v>
                </c:pt>
                <c:pt idx="374">
                  <c:v>43441</c:v>
                </c:pt>
                <c:pt idx="375">
                  <c:v>43444</c:v>
                </c:pt>
                <c:pt idx="376">
                  <c:v>43445</c:v>
                </c:pt>
                <c:pt idx="377">
                  <c:v>43446</c:v>
                </c:pt>
                <c:pt idx="378">
                  <c:v>43447</c:v>
                </c:pt>
                <c:pt idx="379">
                  <c:v>43448</c:v>
                </c:pt>
                <c:pt idx="380">
                  <c:v>43451</c:v>
                </c:pt>
                <c:pt idx="381">
                  <c:v>43452</c:v>
                </c:pt>
                <c:pt idx="382">
                  <c:v>43453</c:v>
                </c:pt>
                <c:pt idx="383">
                  <c:v>43454</c:v>
                </c:pt>
                <c:pt idx="384">
                  <c:v>43455</c:v>
                </c:pt>
                <c:pt idx="385">
                  <c:v>43458</c:v>
                </c:pt>
                <c:pt idx="386">
                  <c:v>43459</c:v>
                </c:pt>
                <c:pt idx="387">
                  <c:v>43460</c:v>
                </c:pt>
                <c:pt idx="388">
                  <c:v>43461</c:v>
                </c:pt>
                <c:pt idx="389">
                  <c:v>43462</c:v>
                </c:pt>
              </c:numCache>
            </c:numRef>
          </c:cat>
          <c:val>
            <c:numRef>
              <c:f>工作表1!$B$2:$B$391</c:f>
              <c:numCache>
                <c:formatCode>#,##0.000</c:formatCode>
                <c:ptCount val="390"/>
                <c:pt idx="0">
                  <c:v>6.8090000000000002</c:v>
                </c:pt>
                <c:pt idx="1">
                  <c:v>6.8070000000000004</c:v>
                </c:pt>
                <c:pt idx="2">
                  <c:v>6.7934999999999999</c:v>
                </c:pt>
                <c:pt idx="3">
                  <c:v>6.7934000000000001</c:v>
                </c:pt>
                <c:pt idx="4">
                  <c:v>6.7858000000000001</c:v>
                </c:pt>
                <c:pt idx="5">
                  <c:v>6.7930000000000001</c:v>
                </c:pt>
                <c:pt idx="6">
                  <c:v>6.7971000000000004</c:v>
                </c:pt>
                <c:pt idx="7">
                  <c:v>6.7948000000000004</c:v>
                </c:pt>
                <c:pt idx="8">
                  <c:v>6.7953999999999999</c:v>
                </c:pt>
                <c:pt idx="9">
                  <c:v>6.7938999999999998</c:v>
                </c:pt>
                <c:pt idx="10">
                  <c:v>6.7851999999999997</c:v>
                </c:pt>
                <c:pt idx="11">
                  <c:v>6.7995000000000001</c:v>
                </c:pt>
                <c:pt idx="12">
                  <c:v>6.7972000000000001</c:v>
                </c:pt>
                <c:pt idx="13">
                  <c:v>6.8095999999999997</c:v>
                </c:pt>
                <c:pt idx="14">
                  <c:v>6.8193000000000001</c:v>
                </c:pt>
                <c:pt idx="15">
                  <c:v>6.8197000000000001</c:v>
                </c:pt>
                <c:pt idx="16">
                  <c:v>6.8238000000000003</c:v>
                </c:pt>
                <c:pt idx="17">
                  <c:v>6.8220000000000001</c:v>
                </c:pt>
                <c:pt idx="18">
                  <c:v>6.8292000000000002</c:v>
                </c:pt>
                <c:pt idx="19">
                  <c:v>6.8052999999999999</c:v>
                </c:pt>
                <c:pt idx="20">
                  <c:v>6.7939999999999996</c:v>
                </c:pt>
                <c:pt idx="21">
                  <c:v>6.7744</c:v>
                </c:pt>
                <c:pt idx="22">
                  <c:v>6.7771999999999997</c:v>
                </c:pt>
                <c:pt idx="23">
                  <c:v>6.7888999999999999</c:v>
                </c:pt>
                <c:pt idx="24">
                  <c:v>6.7922000000000002</c:v>
                </c:pt>
                <c:pt idx="25">
                  <c:v>6.7953000000000001</c:v>
                </c:pt>
                <c:pt idx="26">
                  <c:v>6.7914000000000003</c:v>
                </c:pt>
                <c:pt idx="27">
                  <c:v>6.7964000000000002</c:v>
                </c:pt>
                <c:pt idx="28">
                  <c:v>6.7983000000000002</c:v>
                </c:pt>
                <c:pt idx="29">
                  <c:v>6.7868000000000004</c:v>
                </c:pt>
                <c:pt idx="30">
                  <c:v>6.7801999999999998</c:v>
                </c:pt>
                <c:pt idx="31">
                  <c:v>6.7774000000000001</c:v>
                </c:pt>
                <c:pt idx="32">
                  <c:v>6.7561999999999998</c:v>
                </c:pt>
                <c:pt idx="33">
                  <c:v>6.7610999999999999</c:v>
                </c:pt>
                <c:pt idx="34">
                  <c:v>6.7450999999999999</c:v>
                </c:pt>
                <c:pt idx="35">
                  <c:v>6.7464000000000004</c:v>
                </c:pt>
                <c:pt idx="36">
                  <c:v>6.7415000000000003</c:v>
                </c:pt>
                <c:pt idx="37">
                  <c:v>6.7409999999999997</c:v>
                </c:pt>
                <c:pt idx="38">
                  <c:v>6.7484999999999999</c:v>
                </c:pt>
                <c:pt idx="39">
                  <c:v>6.7529000000000003</c:v>
                </c:pt>
                <c:pt idx="40">
                  <c:v>6.7306999999999997</c:v>
                </c:pt>
                <c:pt idx="41">
                  <c:v>6.7373000000000003</c:v>
                </c:pt>
                <c:pt idx="42">
                  <c:v>6.7282999999999999</c:v>
                </c:pt>
                <c:pt idx="43">
                  <c:v>6.7148000000000003</c:v>
                </c:pt>
                <c:pt idx="44">
                  <c:v>6.7205000000000004</c:v>
                </c:pt>
                <c:pt idx="45">
                  <c:v>6.7210999999999999</c:v>
                </c:pt>
                <c:pt idx="46">
                  <c:v>6.7131999999999996</c:v>
                </c:pt>
                <c:pt idx="47">
                  <c:v>6.7228000000000003</c:v>
                </c:pt>
                <c:pt idx="48">
                  <c:v>6.7183999999999999</c:v>
                </c:pt>
                <c:pt idx="49">
                  <c:v>6.7074999999999996</c:v>
                </c:pt>
                <c:pt idx="50">
                  <c:v>6.6769999999999996</c:v>
                </c:pt>
                <c:pt idx="51">
                  <c:v>6.6642000000000001</c:v>
                </c:pt>
                <c:pt idx="52">
                  <c:v>6.6600999999999999</c:v>
                </c:pt>
                <c:pt idx="53">
                  <c:v>6.6688999999999998</c:v>
                </c:pt>
                <c:pt idx="54">
                  <c:v>6.6779000000000002</c:v>
                </c:pt>
                <c:pt idx="55">
                  <c:v>6.6708999999999996</c:v>
                </c:pt>
                <c:pt idx="56">
                  <c:v>6.6744000000000003</c:v>
                </c:pt>
                <c:pt idx="57">
                  <c:v>6.6708999999999996</c:v>
                </c:pt>
                <c:pt idx="58">
                  <c:v>6.6597</c:v>
                </c:pt>
                <c:pt idx="59">
                  <c:v>6.6632999999999996</c:v>
                </c:pt>
                <c:pt idx="60">
                  <c:v>6.6524999999999999</c:v>
                </c:pt>
                <c:pt idx="61">
                  <c:v>6.6578999999999997</c:v>
                </c:pt>
                <c:pt idx="62">
                  <c:v>6.6353</c:v>
                </c:pt>
                <c:pt idx="63">
                  <c:v>6.6292999999999997</c:v>
                </c:pt>
                <c:pt idx="64">
                  <c:v>6.6101999999999999</c:v>
                </c:pt>
                <c:pt idx="65">
                  <c:v>6.601</c:v>
                </c:pt>
                <c:pt idx="66">
                  <c:v>6.5909000000000004</c:v>
                </c:pt>
                <c:pt idx="67">
                  <c:v>6.5667999999999997</c:v>
                </c:pt>
                <c:pt idx="68">
                  <c:v>6.5369999999999999</c:v>
                </c:pt>
                <c:pt idx="69">
                  <c:v>6.5311000000000003</c:v>
                </c:pt>
                <c:pt idx="70">
                  <c:v>6.5269000000000004</c:v>
                </c:pt>
                <c:pt idx="71">
                  <c:v>6.5031999999999996</c:v>
                </c:pt>
                <c:pt idx="72">
                  <c:v>6.4996999999999998</c:v>
                </c:pt>
                <c:pt idx="73">
                  <c:v>6.5277000000000003</c:v>
                </c:pt>
                <c:pt idx="74">
                  <c:v>6.5381999999999998</c:v>
                </c:pt>
                <c:pt idx="75">
                  <c:v>6.5465</c:v>
                </c:pt>
                <c:pt idx="76">
                  <c:v>6.5423</c:v>
                </c:pt>
                <c:pt idx="77">
                  <c:v>6.5419</c:v>
                </c:pt>
                <c:pt idx="78">
                  <c:v>6.5529999999999999</c:v>
                </c:pt>
                <c:pt idx="79">
                  <c:v>6.5670000000000002</c:v>
                </c:pt>
                <c:pt idx="80">
                  <c:v>6.5867000000000004</c:v>
                </c:pt>
                <c:pt idx="81">
                  <c:v>6.5861000000000001</c:v>
                </c:pt>
                <c:pt idx="82">
                  <c:v>6.5945</c:v>
                </c:pt>
                <c:pt idx="83">
                  <c:v>6.6075999999999997</c:v>
                </c:pt>
                <c:pt idx="84">
                  <c:v>6.6192000000000002</c:v>
                </c:pt>
                <c:pt idx="85">
                  <c:v>6.6284999999999998</c:v>
                </c:pt>
                <c:pt idx="86">
                  <c:v>6.6368999999999998</c:v>
                </c:pt>
                <c:pt idx="87">
                  <c:v>6.6493000000000002</c:v>
                </c:pt>
                <c:pt idx="88">
                  <c:v>6.6273</c:v>
                </c:pt>
                <c:pt idx="89">
                  <c:v>6.5841000000000003</c:v>
                </c:pt>
                <c:pt idx="90">
                  <c:v>6.5808</c:v>
                </c:pt>
                <c:pt idx="91">
                  <c:v>6.5865999999999998</c:v>
                </c:pt>
                <c:pt idx="92">
                  <c:v>6.5838999999999999</c:v>
                </c:pt>
                <c:pt idx="93">
                  <c:v>6.5883000000000003</c:v>
                </c:pt>
                <c:pt idx="94">
                  <c:v>6.5991</c:v>
                </c:pt>
                <c:pt idx="95">
                  <c:v>6.6093000000000002</c:v>
                </c:pt>
                <c:pt idx="96">
                  <c:v>6.6092000000000004</c:v>
                </c:pt>
                <c:pt idx="97">
                  <c:v>6.6204999999999998</c:v>
                </c:pt>
                <c:pt idx="98">
                  <c:v>6.6268000000000002</c:v>
                </c:pt>
                <c:pt idx="99">
                  <c:v>6.6322000000000001</c:v>
                </c:pt>
                <c:pt idx="100">
                  <c:v>6.6288</c:v>
                </c:pt>
                <c:pt idx="101">
                  <c:v>6.6473000000000004</c:v>
                </c:pt>
                <c:pt idx="102">
                  <c:v>6.6486999999999998</c:v>
                </c:pt>
                <c:pt idx="103">
                  <c:v>6.6397000000000004</c:v>
                </c:pt>
                <c:pt idx="104">
                  <c:v>6.63</c:v>
                </c:pt>
                <c:pt idx="105">
                  <c:v>6.6196000000000002</c:v>
                </c:pt>
                <c:pt idx="106">
                  <c:v>6.6071999999999997</c:v>
                </c:pt>
                <c:pt idx="107">
                  <c:v>6.6246999999999998</c:v>
                </c:pt>
                <c:pt idx="108">
                  <c:v>6.6215999999999999</c:v>
                </c:pt>
                <c:pt idx="109">
                  <c:v>6.6276999999999999</c:v>
                </c:pt>
                <c:pt idx="110">
                  <c:v>6.6325000000000003</c:v>
                </c:pt>
                <c:pt idx="111">
                  <c:v>6.6281999999999996</c:v>
                </c:pt>
                <c:pt idx="112">
                  <c:v>6.6346999999999996</c:v>
                </c:pt>
                <c:pt idx="113">
                  <c:v>6.6398999999999999</c:v>
                </c:pt>
                <c:pt idx="114">
                  <c:v>6.6262999999999996</c:v>
                </c:pt>
                <c:pt idx="115">
                  <c:v>6.6285999999999996</c:v>
                </c:pt>
                <c:pt idx="116">
                  <c:v>6.6276999999999999</c:v>
                </c:pt>
                <c:pt idx="117">
                  <c:v>6.6271000000000004</c:v>
                </c:pt>
                <c:pt idx="118">
                  <c:v>6.6356000000000002</c:v>
                </c:pt>
                <c:pt idx="119">
                  <c:v>6.6289999999999996</c:v>
                </c:pt>
                <c:pt idx="120">
                  <c:v>6.6021000000000001</c:v>
                </c:pt>
                <c:pt idx="121">
                  <c:v>6.5810000000000004</c:v>
                </c:pt>
                <c:pt idx="122">
                  <c:v>6.5873999999999997</c:v>
                </c:pt>
                <c:pt idx="123">
                  <c:v>6.5944000000000003</c:v>
                </c:pt>
                <c:pt idx="124">
                  <c:v>6.6010999999999997</c:v>
                </c:pt>
                <c:pt idx="125">
                  <c:v>6.6033999999999997</c:v>
                </c:pt>
                <c:pt idx="126">
                  <c:v>6.6067</c:v>
                </c:pt>
                <c:pt idx="127">
                  <c:v>6.6105</c:v>
                </c:pt>
                <c:pt idx="128">
                  <c:v>6.6113</c:v>
                </c:pt>
                <c:pt idx="129">
                  <c:v>6.6162999999999998</c:v>
                </c:pt>
                <c:pt idx="130">
                  <c:v>6.6195000000000004</c:v>
                </c:pt>
                <c:pt idx="131">
                  <c:v>6.6218000000000004</c:v>
                </c:pt>
                <c:pt idx="132">
                  <c:v>6.6151999999999997</c:v>
                </c:pt>
                <c:pt idx="133">
                  <c:v>6.6162000000000001</c:v>
                </c:pt>
                <c:pt idx="134">
                  <c:v>6.6250999999999998</c:v>
                </c:pt>
                <c:pt idx="135">
                  <c:v>6.6032999999999999</c:v>
                </c:pt>
                <c:pt idx="136">
                  <c:v>6.6113</c:v>
                </c:pt>
                <c:pt idx="137">
                  <c:v>6.6162000000000001</c:v>
                </c:pt>
                <c:pt idx="138">
                  <c:v>6.6097999999999999</c:v>
                </c:pt>
                <c:pt idx="139">
                  <c:v>6.6066000000000003</c:v>
                </c:pt>
                <c:pt idx="140">
                  <c:v>6.5795000000000003</c:v>
                </c:pt>
                <c:pt idx="141">
                  <c:v>6.5820999999999996</c:v>
                </c:pt>
                <c:pt idx="142">
                  <c:v>6.5682999999999998</c:v>
                </c:pt>
                <c:pt idx="143">
                  <c:v>6.5415999999999999</c:v>
                </c:pt>
                <c:pt idx="144">
                  <c:v>6.5420999999999996</c:v>
                </c:pt>
                <c:pt idx="145">
                  <c:v>6.5411999999999999</c:v>
                </c:pt>
                <c:pt idx="146">
                  <c:v>6.5342000000000002</c:v>
                </c:pt>
                <c:pt idx="147">
                  <c:v>6.5079000000000002</c:v>
                </c:pt>
                <c:pt idx="148">
                  <c:v>6.492</c:v>
                </c:pt>
                <c:pt idx="149">
                  <c:v>6.5042999999999997</c:v>
                </c:pt>
                <c:pt idx="150">
                  <c:v>6.4915000000000003</c:v>
                </c:pt>
                <c:pt idx="151">
                  <c:v>6.4832000000000001</c:v>
                </c:pt>
                <c:pt idx="152">
                  <c:v>6.4968000000000004</c:v>
                </c:pt>
                <c:pt idx="153">
                  <c:v>6.5206999999999997</c:v>
                </c:pt>
                <c:pt idx="154">
                  <c:v>6.5147000000000004</c:v>
                </c:pt>
                <c:pt idx="155">
                  <c:v>6.4931999999999999</c:v>
                </c:pt>
                <c:pt idx="156">
                  <c:v>6.4573999999999998</c:v>
                </c:pt>
                <c:pt idx="157">
                  <c:v>6.4371999999999998</c:v>
                </c:pt>
                <c:pt idx="158">
                  <c:v>6.4335000000000004</c:v>
                </c:pt>
                <c:pt idx="159">
                  <c:v>6.4401000000000002</c:v>
                </c:pt>
                <c:pt idx="160">
                  <c:v>6.4169</c:v>
                </c:pt>
                <c:pt idx="161">
                  <c:v>6.4112</c:v>
                </c:pt>
                <c:pt idx="162">
                  <c:v>6.4009</c:v>
                </c:pt>
                <c:pt idx="163">
                  <c:v>6.3916000000000004</c:v>
                </c:pt>
                <c:pt idx="164">
                  <c:v>6.3723999999999998</c:v>
                </c:pt>
                <c:pt idx="165">
                  <c:v>6.3436000000000003</c:v>
                </c:pt>
                <c:pt idx="166">
                  <c:v>6.3266999999999998</c:v>
                </c:pt>
                <c:pt idx="167">
                  <c:v>6.3311999999999999</c:v>
                </c:pt>
                <c:pt idx="168">
                  <c:v>6.3338999999999999</c:v>
                </c:pt>
                <c:pt idx="169">
                  <c:v>6.3045</c:v>
                </c:pt>
                <c:pt idx="170">
                  <c:v>6.2885</c:v>
                </c:pt>
                <c:pt idx="171">
                  <c:v>6.3018999999999998</c:v>
                </c:pt>
                <c:pt idx="172">
                  <c:v>6.3071999999999999</c:v>
                </c:pt>
                <c:pt idx="173">
                  <c:v>6.2881999999999998</c:v>
                </c:pt>
                <c:pt idx="174">
                  <c:v>6.2821999999999996</c:v>
                </c:pt>
                <c:pt idx="175">
                  <c:v>6.3193999999999999</c:v>
                </c:pt>
                <c:pt idx="176">
                  <c:v>6.3000999999999996</c:v>
                </c:pt>
                <c:pt idx="177">
                  <c:v>6.3247</c:v>
                </c:pt>
                <c:pt idx="178">
                  <c:v>6.3428000000000004</c:v>
                </c:pt>
                <c:pt idx="179">
                  <c:v>6.3529999999999998</c:v>
                </c:pt>
                <c:pt idx="180">
                  <c:v>6.3482000000000003</c:v>
                </c:pt>
                <c:pt idx="181">
                  <c:v>6.3377999999999997</c:v>
                </c:pt>
                <c:pt idx="182">
                  <c:v>6.3146000000000004</c:v>
                </c:pt>
                <c:pt idx="183">
                  <c:v>6.3293999999999997</c:v>
                </c:pt>
                <c:pt idx="184">
                  <c:v>6.3352000000000004</c:v>
                </c:pt>
                <c:pt idx="185">
                  <c:v>6.3334000000000001</c:v>
                </c:pt>
                <c:pt idx="186">
                  <c:v>6.3430999999999997</c:v>
                </c:pt>
                <c:pt idx="187">
                  <c:v>6.3385999999999996</c:v>
                </c:pt>
                <c:pt idx="188">
                  <c:v>6.3293999999999997</c:v>
                </c:pt>
                <c:pt idx="189">
                  <c:v>6.3239000000000001</c:v>
                </c:pt>
                <c:pt idx="190">
                  <c:v>6.3451000000000004</c:v>
                </c:pt>
                <c:pt idx="191">
                  <c:v>6.3333000000000004</c:v>
                </c:pt>
                <c:pt idx="192">
                  <c:v>6.3217999999999996</c:v>
                </c:pt>
                <c:pt idx="193">
                  <c:v>6.3205</c:v>
                </c:pt>
                <c:pt idx="194">
                  <c:v>6.3140999999999998</c:v>
                </c:pt>
                <c:pt idx="195">
                  <c:v>6.3339999999999996</c:v>
                </c:pt>
                <c:pt idx="196">
                  <c:v>6.3319999999999999</c:v>
                </c:pt>
                <c:pt idx="197">
                  <c:v>6.3246000000000002</c:v>
                </c:pt>
                <c:pt idx="198">
                  <c:v>6.3395999999999999</c:v>
                </c:pt>
                <c:pt idx="199">
                  <c:v>6.3167</c:v>
                </c:pt>
                <c:pt idx="200">
                  <c:v>6.3272000000000004</c:v>
                </c:pt>
                <c:pt idx="201">
                  <c:v>6.3193000000000001</c:v>
                </c:pt>
                <c:pt idx="202">
                  <c:v>6.2816000000000001</c:v>
                </c:pt>
                <c:pt idx="203">
                  <c:v>6.2785000000000002</c:v>
                </c:pt>
                <c:pt idx="204">
                  <c:v>6.3045999999999998</c:v>
                </c:pt>
                <c:pt idx="205">
                  <c:v>6.2881</c:v>
                </c:pt>
                <c:pt idx="206">
                  <c:v>6.2763999999999998</c:v>
                </c:pt>
                <c:pt idx="207">
                  <c:v>6.2832999999999997</c:v>
                </c:pt>
                <c:pt idx="208">
                  <c:v>6.2926000000000002</c:v>
                </c:pt>
                <c:pt idx="209">
                  <c:v>6.3113999999999999</c:v>
                </c:pt>
                <c:pt idx="210">
                  <c:v>6.3071000000000002</c:v>
                </c:pt>
                <c:pt idx="211">
                  <c:v>6.2911000000000001</c:v>
                </c:pt>
                <c:pt idx="212">
                  <c:v>6.2834000000000003</c:v>
                </c:pt>
                <c:pt idx="213">
                  <c:v>6.2897999999999996</c:v>
                </c:pt>
                <c:pt idx="214">
                  <c:v>6.2884000000000002</c:v>
                </c:pt>
                <c:pt idx="215">
                  <c:v>6.2770999999999999</c:v>
                </c:pt>
                <c:pt idx="216">
                  <c:v>6.2816999999999998</c:v>
                </c:pt>
                <c:pt idx="217">
                  <c:v>6.2831999999999999</c:v>
                </c:pt>
                <c:pt idx="218">
                  <c:v>6.2896999999999998</c:v>
                </c:pt>
                <c:pt idx="219">
                  <c:v>6.3033999999999999</c:v>
                </c:pt>
                <c:pt idx="220">
                  <c:v>6.3228999999999997</c:v>
                </c:pt>
                <c:pt idx="221">
                  <c:v>6.3066000000000004</c:v>
                </c:pt>
                <c:pt idx="222">
                  <c:v>6.3282999999999996</c:v>
                </c:pt>
                <c:pt idx="223">
                  <c:v>6.3392999999999997</c:v>
                </c:pt>
                <c:pt idx="224">
                  <c:v>6.367</c:v>
                </c:pt>
                <c:pt idx="225">
                  <c:v>6.3731999999999998</c:v>
                </c:pt>
                <c:pt idx="226">
                  <c:v>6.3521000000000001</c:v>
                </c:pt>
                <c:pt idx="227">
                  <c:v>6.3583999999999996</c:v>
                </c:pt>
                <c:pt idx="228">
                  <c:v>6.3673999999999999</c:v>
                </c:pt>
                <c:pt idx="229">
                  <c:v>6.3733000000000004</c:v>
                </c:pt>
                <c:pt idx="230">
                  <c:v>6.3768000000000002</c:v>
                </c:pt>
                <c:pt idx="231">
                  <c:v>6.3524000000000003</c:v>
                </c:pt>
                <c:pt idx="232">
                  <c:v>6.3345000000000002</c:v>
                </c:pt>
                <c:pt idx="233">
                  <c:v>6.3486000000000002</c:v>
                </c:pt>
                <c:pt idx="234">
                  <c:v>6.3745000000000003</c:v>
                </c:pt>
                <c:pt idx="235">
                  <c:v>6.3678999999999997</c:v>
                </c:pt>
                <c:pt idx="236">
                  <c:v>6.3762999999999996</c:v>
                </c:pt>
                <c:pt idx="237">
                  <c:v>6.3852000000000002</c:v>
                </c:pt>
                <c:pt idx="238">
                  <c:v>6.3799000000000001</c:v>
                </c:pt>
                <c:pt idx="239">
                  <c:v>6.3773</c:v>
                </c:pt>
                <c:pt idx="240">
                  <c:v>6.3815999999999997</c:v>
                </c:pt>
                <c:pt idx="241">
                  <c:v>6.3867000000000003</c:v>
                </c:pt>
                <c:pt idx="242">
                  <c:v>6.3962000000000003</c:v>
                </c:pt>
                <c:pt idx="243">
                  <c:v>6.4020999999999999</c:v>
                </c:pt>
                <c:pt idx="244">
                  <c:v>6.4207000000000001</c:v>
                </c:pt>
                <c:pt idx="245">
                  <c:v>6.4143999999999997</c:v>
                </c:pt>
                <c:pt idx="246">
                  <c:v>6.4077999999999999</c:v>
                </c:pt>
                <c:pt idx="247">
                  <c:v>6.4207999999999998</c:v>
                </c:pt>
                <c:pt idx="248">
                  <c:v>6.4157000000000002</c:v>
                </c:pt>
                <c:pt idx="249">
                  <c:v>6.4039999999999999</c:v>
                </c:pt>
                <c:pt idx="250">
                  <c:v>6.3918999999999997</c:v>
                </c:pt>
                <c:pt idx="251">
                  <c:v>6.4002999999999997</c:v>
                </c:pt>
                <c:pt idx="252">
                  <c:v>6.4063999999999997</c:v>
                </c:pt>
                <c:pt idx="253">
                  <c:v>6.4120999999999997</c:v>
                </c:pt>
                <c:pt idx="254">
                  <c:v>6.4156000000000004</c:v>
                </c:pt>
                <c:pt idx="255">
                  <c:v>6.3962000000000003</c:v>
                </c:pt>
                <c:pt idx="256">
                  <c:v>6.4306000000000001</c:v>
                </c:pt>
                <c:pt idx="257">
                  <c:v>6.4234999999999998</c:v>
                </c:pt>
                <c:pt idx="258">
                  <c:v>6.4585999999999997</c:v>
                </c:pt>
                <c:pt idx="259">
                  <c:v>6.4706000000000001</c:v>
                </c:pt>
                <c:pt idx="260">
                  <c:v>6.4804000000000004</c:v>
                </c:pt>
                <c:pt idx="261">
                  <c:v>6.4893000000000001</c:v>
                </c:pt>
                <c:pt idx="262">
                  <c:v>6.5179999999999998</c:v>
                </c:pt>
                <c:pt idx="263">
                  <c:v>6.5568999999999997</c:v>
                </c:pt>
                <c:pt idx="264">
                  <c:v>6.5960000000000001</c:v>
                </c:pt>
                <c:pt idx="265">
                  <c:v>6.6166</c:v>
                </c:pt>
                <c:pt idx="266">
                  <c:v>6.6157000000000004</c:v>
                </c:pt>
                <c:pt idx="267">
                  <c:v>6.6497000000000002</c:v>
                </c:pt>
                <c:pt idx="268">
                  <c:v>6.6595000000000004</c:v>
                </c:pt>
                <c:pt idx="269">
                  <c:v>6.6180000000000003</c:v>
                </c:pt>
                <c:pt idx="270">
                  <c:v>6.6336000000000004</c:v>
                </c:pt>
                <c:pt idx="271">
                  <c:v>6.6393000000000004</c:v>
                </c:pt>
                <c:pt idx="272">
                  <c:v>6.6258999999999997</c:v>
                </c:pt>
                <c:pt idx="273">
                  <c:v>6.6234000000000002</c:v>
                </c:pt>
                <c:pt idx="274">
                  <c:v>6.6726000000000001</c:v>
                </c:pt>
                <c:pt idx="275">
                  <c:v>6.6726999999999999</c:v>
                </c:pt>
                <c:pt idx="276">
                  <c:v>6.6757999999999997</c:v>
                </c:pt>
                <c:pt idx="277">
                  <c:v>6.6821000000000002</c:v>
                </c:pt>
                <c:pt idx="278">
                  <c:v>6.6913999999999998</c:v>
                </c:pt>
                <c:pt idx="279">
                  <c:v>6.7065999999999999</c:v>
                </c:pt>
                <c:pt idx="280">
                  <c:v>6.7671000000000001</c:v>
                </c:pt>
                <c:pt idx="281">
                  <c:v>6.7592999999999996</c:v>
                </c:pt>
                <c:pt idx="282">
                  <c:v>6.7891000000000004</c:v>
                </c:pt>
                <c:pt idx="283">
                  <c:v>6.8040000000000003</c:v>
                </c:pt>
                <c:pt idx="284">
                  <c:v>6.7662000000000004</c:v>
                </c:pt>
                <c:pt idx="285">
                  <c:v>6.7942</c:v>
                </c:pt>
                <c:pt idx="286">
                  <c:v>6.8131000000000004</c:v>
                </c:pt>
                <c:pt idx="287">
                  <c:v>6.8164999999999996</c:v>
                </c:pt>
                <c:pt idx="288">
                  <c:v>6.8292999999999999</c:v>
                </c:pt>
                <c:pt idx="289">
                  <c:v>6.7942</c:v>
                </c:pt>
                <c:pt idx="290">
                  <c:v>6.8322000000000003</c:v>
                </c:pt>
                <c:pt idx="291">
                  <c:v>6.8513000000000002</c:v>
                </c:pt>
                <c:pt idx="292">
                  <c:v>6.8430999999999997</c:v>
                </c:pt>
                <c:pt idx="293">
                  <c:v>6.8312999999999997</c:v>
                </c:pt>
                <c:pt idx="294">
                  <c:v>6.8316999999999997</c:v>
                </c:pt>
                <c:pt idx="295">
                  <c:v>6.8395000000000001</c:v>
                </c:pt>
                <c:pt idx="296">
                  <c:v>6.8628999999999998</c:v>
                </c:pt>
                <c:pt idx="297">
                  <c:v>6.8695000000000004</c:v>
                </c:pt>
                <c:pt idx="298">
                  <c:v>6.8856000000000002</c:v>
                </c:pt>
                <c:pt idx="299">
                  <c:v>6.8945999999999996</c:v>
                </c:pt>
                <c:pt idx="300">
                  <c:v>6.8894000000000002</c:v>
                </c:pt>
                <c:pt idx="301">
                  <c:v>6.8718000000000004</c:v>
                </c:pt>
                <c:pt idx="302">
                  <c:v>6.8360000000000003</c:v>
                </c:pt>
                <c:pt idx="303">
                  <c:v>6.8270999999999997</c:v>
                </c:pt>
                <c:pt idx="304">
                  <c:v>6.8367000000000004</c:v>
                </c:pt>
                <c:pt idx="305">
                  <c:v>6.8710000000000004</c:v>
                </c:pt>
                <c:pt idx="306">
                  <c:v>6.8507999999999996</c:v>
                </c:pt>
                <c:pt idx="307">
                  <c:v>6.8052000000000001</c:v>
                </c:pt>
                <c:pt idx="308">
                  <c:v>6.8071999999999999</c:v>
                </c:pt>
                <c:pt idx="309">
                  <c:v>6.8113000000000001</c:v>
                </c:pt>
                <c:pt idx="310">
                  <c:v>6.8246000000000002</c:v>
                </c:pt>
                <c:pt idx="311">
                  <c:v>6.8346999999999998</c:v>
                </c:pt>
                <c:pt idx="312">
                  <c:v>6.8182999999999998</c:v>
                </c:pt>
                <c:pt idx="313">
                  <c:v>6.8266</c:v>
                </c:pt>
                <c:pt idx="314">
                  <c:v>6.8216999999999999</c:v>
                </c:pt>
                <c:pt idx="315">
                  <c:v>6.8212000000000002</c:v>
                </c:pt>
                <c:pt idx="316">
                  <c:v>6.8388999999999998</c:v>
                </c:pt>
                <c:pt idx="317">
                  <c:v>6.8487999999999998</c:v>
                </c:pt>
                <c:pt idx="318">
                  <c:v>6.8545999999999996</c:v>
                </c:pt>
                <c:pt idx="319">
                  <c:v>6.8487999999999998</c:v>
                </c:pt>
                <c:pt idx="320">
                  <c:v>6.8361999999999998</c:v>
                </c:pt>
                <c:pt idx="321">
                  <c:v>6.8509000000000002</c:v>
                </c:pt>
                <c:pt idx="322">
                  <c:v>6.8554000000000004</c:v>
                </c:pt>
                <c:pt idx="323">
                  <c:v>6.8569000000000004</c:v>
                </c:pt>
                <c:pt idx="324">
                  <c:v>6.8529999999999998</c:v>
                </c:pt>
                <c:pt idx="325">
                  <c:v>6.8357000000000001</c:v>
                </c:pt>
                <c:pt idx="326">
                  <c:v>6.8440000000000003</c:v>
                </c:pt>
                <c:pt idx="327">
                  <c:v>6.8571</c:v>
                </c:pt>
                <c:pt idx="328">
                  <c:v>6.8642000000000003</c:v>
                </c:pt>
                <c:pt idx="329">
                  <c:v>6.8792</c:v>
                </c:pt>
                <c:pt idx="330">
                  <c:v>6.8956999999999997</c:v>
                </c:pt>
                <c:pt idx="331">
                  <c:v>6.9019000000000004</c:v>
                </c:pt>
                <c:pt idx="332">
                  <c:v>6.9071999999999996</c:v>
                </c:pt>
                <c:pt idx="333">
                  <c:v>6.9097999999999997</c:v>
                </c:pt>
                <c:pt idx="334">
                  <c:v>6.9119999999999999</c:v>
                </c:pt>
                <c:pt idx="335">
                  <c:v>6.9154</c:v>
                </c:pt>
                <c:pt idx="336">
                  <c:v>6.9119000000000002</c:v>
                </c:pt>
                <c:pt idx="337">
                  <c:v>6.9103000000000003</c:v>
                </c:pt>
                <c:pt idx="338">
                  <c:v>6.9275000000000002</c:v>
                </c:pt>
                <c:pt idx="339">
                  <c:v>6.9386999999999999</c:v>
                </c:pt>
                <c:pt idx="340">
                  <c:v>6.9236000000000004</c:v>
                </c:pt>
                <c:pt idx="341">
                  <c:v>6.9337999999999997</c:v>
                </c:pt>
                <c:pt idx="342">
                  <c:v>6.9356999999999998</c:v>
                </c:pt>
                <c:pt idx="343">
                  <c:v>6.9409000000000001</c:v>
                </c:pt>
                <c:pt idx="344">
                  <c:v>6.9509999999999996</c:v>
                </c:pt>
                <c:pt idx="345">
                  <c:v>6.9377000000000004</c:v>
                </c:pt>
                <c:pt idx="346">
                  <c:v>6.9573999999999998</c:v>
                </c:pt>
                <c:pt idx="347">
                  <c:v>6.9645999999999999</c:v>
                </c:pt>
                <c:pt idx="348">
                  <c:v>6.9669999999999996</c:v>
                </c:pt>
                <c:pt idx="349">
                  <c:v>6.9371</c:v>
                </c:pt>
                <c:pt idx="350">
                  <c:v>6.8975999999999997</c:v>
                </c:pt>
                <c:pt idx="351">
                  <c:v>6.9074999999999998</c:v>
                </c:pt>
                <c:pt idx="352">
                  <c:v>6.9065000000000003</c:v>
                </c:pt>
                <c:pt idx="353">
                  <c:v>6.9162999999999997</c:v>
                </c:pt>
                <c:pt idx="354">
                  <c:v>6.9329000000000001</c:v>
                </c:pt>
                <c:pt idx="355">
                  <c:v>6.9476000000000004</c:v>
                </c:pt>
                <c:pt idx="356">
                  <c:v>6.9629000000000003</c:v>
                </c:pt>
                <c:pt idx="357">
                  <c:v>6.9401999999999999</c:v>
                </c:pt>
                <c:pt idx="358">
                  <c:v>6.9391999999999996</c:v>
                </c:pt>
                <c:pt idx="359">
                  <c:v>6.9377000000000004</c:v>
                </c:pt>
                <c:pt idx="360">
                  <c:v>6.9245000000000001</c:v>
                </c:pt>
                <c:pt idx="361">
                  <c:v>6.9279999999999999</c:v>
                </c:pt>
                <c:pt idx="362">
                  <c:v>6.9448999999999996</c:v>
                </c:pt>
                <c:pt idx="363">
                  <c:v>6.9390999999999998</c:v>
                </c:pt>
                <c:pt idx="364">
                  <c:v>6.9306000000000001</c:v>
                </c:pt>
                <c:pt idx="365">
                  <c:v>6.9452999999999996</c:v>
                </c:pt>
                <c:pt idx="366">
                  <c:v>6.9462999999999999</c:v>
                </c:pt>
                <c:pt idx="367">
                  <c:v>6.95</c:v>
                </c:pt>
                <c:pt idx="368">
                  <c:v>6.9352999999999998</c:v>
                </c:pt>
                <c:pt idx="369">
                  <c:v>6.9356999999999998</c:v>
                </c:pt>
                <c:pt idx="370">
                  <c:v>6.9431000000000003</c:v>
                </c:pt>
                <c:pt idx="371">
                  <c:v>6.8939000000000004</c:v>
                </c:pt>
                <c:pt idx="372">
                  <c:v>6.8475999999999999</c:v>
                </c:pt>
                <c:pt idx="373">
                  <c:v>6.8598999999999997</c:v>
                </c:pt>
                <c:pt idx="374">
                  <c:v>6.8663999999999996</c:v>
                </c:pt>
                <c:pt idx="375">
                  <c:v>6.8693</c:v>
                </c:pt>
                <c:pt idx="376">
                  <c:v>6.8996000000000004</c:v>
                </c:pt>
                <c:pt idx="377">
                  <c:v>6.9063999999999997</c:v>
                </c:pt>
                <c:pt idx="378">
                  <c:v>6.8769</c:v>
                </c:pt>
                <c:pt idx="379">
                  <c:v>6.875</c:v>
                </c:pt>
                <c:pt idx="380">
                  <c:v>6.8907999999999996</c:v>
                </c:pt>
                <c:pt idx="381">
                  <c:v>6.8853999999999997</c:v>
                </c:pt>
                <c:pt idx="382">
                  <c:v>6.8868999999999998</c:v>
                </c:pt>
                <c:pt idx="383">
                  <c:v>6.8936000000000002</c:v>
                </c:pt>
                <c:pt idx="384">
                  <c:v>6.8825000000000003</c:v>
                </c:pt>
                <c:pt idx="385">
                  <c:v>6.9005999999999998</c:v>
                </c:pt>
                <c:pt idx="386">
                  <c:v>6.8918999999999997</c:v>
                </c:pt>
                <c:pt idx="387">
                  <c:v>6.8845000000000001</c:v>
                </c:pt>
                <c:pt idx="388">
                  <c:v>6.8894000000000002</c:v>
                </c:pt>
                <c:pt idx="389">
                  <c:v>6.8632</c:v>
                </c:pt>
              </c:numCache>
            </c:numRef>
          </c:val>
          <c:smooth val="0"/>
        </c:ser>
        <c:dLbls>
          <c:showLegendKey val="0"/>
          <c:showVal val="0"/>
          <c:showCatName val="0"/>
          <c:showSerName val="0"/>
          <c:showPercent val="0"/>
          <c:showBubbleSize val="0"/>
        </c:dLbls>
        <c:marker val="1"/>
        <c:smooth val="0"/>
        <c:axId val="678637568"/>
        <c:axId val="647195456"/>
      </c:lineChart>
      <c:dateAx>
        <c:axId val="678637568"/>
        <c:scaling>
          <c:orientation val="minMax"/>
        </c:scaling>
        <c:delete val="0"/>
        <c:axPos val="b"/>
        <c:numFmt formatCode="\ [$-1028]yyyy/m/d" sourceLinked="1"/>
        <c:majorTickMark val="out"/>
        <c:minorTickMark val="none"/>
        <c:tickLblPos val="nextTo"/>
        <c:txPr>
          <a:bodyPr/>
          <a:lstStyle/>
          <a:p>
            <a:pPr>
              <a:defRPr sz="800"/>
            </a:pPr>
            <a:endParaRPr lang="zh-TW"/>
          </a:p>
        </c:txPr>
        <c:crossAx val="647195456"/>
        <c:crosses val="autoZero"/>
        <c:auto val="1"/>
        <c:lblOffset val="100"/>
        <c:baseTimeUnit val="days"/>
      </c:dateAx>
      <c:valAx>
        <c:axId val="647195456"/>
        <c:scaling>
          <c:orientation val="minMax"/>
          <c:max val="7"/>
          <c:min val="6.2"/>
        </c:scaling>
        <c:delete val="0"/>
        <c:axPos val="l"/>
        <c:numFmt formatCode="#,##0.0" sourceLinked="0"/>
        <c:majorTickMark val="out"/>
        <c:minorTickMark val="none"/>
        <c:tickLblPos val="nextTo"/>
        <c:crossAx val="678637568"/>
        <c:crosses val="autoZero"/>
        <c:crossBetween val="between"/>
        <c:majorUnit val="0.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zh-TW" altLang="en-US">
                        <a:latin typeface="標楷體" panose="03000509000000000000" pitchFamily="65" charset="-120"/>
                        <a:ea typeface="標楷體" panose="03000509000000000000" pitchFamily="65" charset="-120"/>
                      </a:rPr>
                      <a:t>電子產品
</a:t>
                    </a:r>
                    <a:r>
                      <a:rPr lang="en-US" altLang="zh-TW">
                        <a:latin typeface="標楷體" panose="03000509000000000000" pitchFamily="65" charset="-120"/>
                        <a:ea typeface="標楷體" panose="03000509000000000000" pitchFamily="65" charset="-120"/>
                      </a:rPr>
                      <a:t>38.2%</a:t>
                    </a:r>
                    <a:endParaRPr lang="zh-TW" altLang="en-US"/>
                  </a:p>
                </c:rich>
              </c:tx>
              <c:showLegendKey val="0"/>
              <c:showVal val="0"/>
              <c:showCatName val="1"/>
              <c:showSerName val="0"/>
              <c:showPercent val="1"/>
              <c:showBubbleSize val="0"/>
            </c:dLbl>
            <c:dLbl>
              <c:idx val="1"/>
              <c:tx>
                <c:rich>
                  <a:bodyPr/>
                  <a:lstStyle/>
                  <a:p>
                    <a:r>
                      <a:rPr lang="zh-TW" altLang="en-US">
                        <a:latin typeface="標楷體" panose="03000509000000000000" pitchFamily="65" charset="-120"/>
                        <a:ea typeface="標楷體" panose="03000509000000000000" pitchFamily="65" charset="-120"/>
                      </a:rPr>
                      <a:t>化學品
</a:t>
                    </a:r>
                    <a:r>
                      <a:rPr lang="en-US" altLang="zh-TW">
                        <a:latin typeface="標楷體" panose="03000509000000000000" pitchFamily="65" charset="-120"/>
                        <a:ea typeface="標楷體" panose="03000509000000000000" pitchFamily="65" charset="-120"/>
                      </a:rPr>
                      <a:t>10.3%</a:t>
                    </a:r>
                    <a:endParaRPr lang="en-US" altLang="zh-TW"/>
                  </a:p>
                </c:rich>
              </c:tx>
              <c:showLegendKey val="0"/>
              <c:showVal val="0"/>
              <c:showCatName val="1"/>
              <c:showSerName val="0"/>
              <c:showPercent val="1"/>
              <c:showBubbleSize val="0"/>
            </c:dLbl>
            <c:dLbl>
              <c:idx val="2"/>
              <c:tx>
                <c:rich>
                  <a:bodyPr/>
                  <a:lstStyle/>
                  <a:p>
                    <a:r>
                      <a:rPr lang="zh-TW" altLang="en-US">
                        <a:latin typeface="標楷體" panose="03000509000000000000" pitchFamily="65" charset="-120"/>
                        <a:ea typeface="標楷體" panose="03000509000000000000" pitchFamily="65" charset="-120"/>
                      </a:rPr>
                      <a:t>塑橡膠製品
</a:t>
                    </a:r>
                    <a:r>
                      <a:rPr lang="en-US" altLang="zh-TW">
                        <a:latin typeface="標楷體" panose="03000509000000000000" pitchFamily="65" charset="-120"/>
                        <a:ea typeface="標楷體" panose="03000509000000000000" pitchFamily="65" charset="-120"/>
                      </a:rPr>
                      <a:t>8.8%</a:t>
                    </a:r>
                    <a:endParaRPr lang="zh-TW" altLang="en-US"/>
                  </a:p>
                </c:rich>
              </c:tx>
              <c:showLegendKey val="0"/>
              <c:showVal val="0"/>
              <c:showCatName val="1"/>
              <c:showSerName val="0"/>
              <c:showPercent val="1"/>
              <c:showBubbleSize val="0"/>
            </c:dLbl>
            <c:dLbl>
              <c:idx val="3"/>
              <c:tx>
                <c:rich>
                  <a:bodyPr/>
                  <a:lstStyle/>
                  <a:p>
                    <a:r>
                      <a:rPr lang="zh-TW" altLang="en-US">
                        <a:latin typeface="標楷體" panose="03000509000000000000" pitchFamily="65" charset="-120"/>
                        <a:ea typeface="標楷體" panose="03000509000000000000" pitchFamily="65" charset="-120"/>
                      </a:rPr>
                      <a:t>資通產品
</a:t>
                    </a:r>
                    <a:r>
                      <a:rPr lang="en-US" altLang="zh-TW">
                        <a:latin typeface="標楷體" panose="03000509000000000000" pitchFamily="65" charset="-120"/>
                        <a:ea typeface="標楷體" panose="03000509000000000000" pitchFamily="65" charset="-120"/>
                      </a:rPr>
                      <a:t>8.5%</a:t>
                    </a:r>
                    <a:endParaRPr lang="en-US" altLang="zh-TW"/>
                  </a:p>
                </c:rich>
              </c:tx>
              <c:showLegendKey val="0"/>
              <c:showVal val="0"/>
              <c:showCatName val="1"/>
              <c:showSerName val="0"/>
              <c:showPercent val="1"/>
              <c:showBubbleSize val="0"/>
            </c:dLbl>
            <c:dLbl>
              <c:idx val="4"/>
              <c:tx>
                <c:rich>
                  <a:bodyPr/>
                  <a:lstStyle/>
                  <a:p>
                    <a:r>
                      <a:rPr lang="zh-TW" altLang="en-US">
                        <a:latin typeface="標楷體" panose="03000509000000000000" pitchFamily="65" charset="-120"/>
                        <a:ea typeface="標楷體" panose="03000509000000000000" pitchFamily="65" charset="-120"/>
                      </a:rPr>
                      <a:t>機械
</a:t>
                    </a:r>
                    <a:r>
                      <a:rPr lang="en-US" altLang="zh-TW">
                        <a:latin typeface="標楷體" panose="03000509000000000000" pitchFamily="65" charset="-120"/>
                        <a:ea typeface="標楷體" panose="03000509000000000000" pitchFamily="65" charset="-120"/>
                      </a:rPr>
                      <a:t>8.3%</a:t>
                    </a:r>
                    <a:endParaRPr lang="zh-TW" altLang="en-US"/>
                  </a:p>
                </c:rich>
              </c:tx>
              <c:showLegendKey val="0"/>
              <c:showVal val="0"/>
              <c:showCatName val="1"/>
              <c:showSerName val="0"/>
              <c:showPercent val="1"/>
              <c:showBubbleSize val="0"/>
            </c:dLbl>
            <c:dLbl>
              <c:idx val="5"/>
              <c:tx>
                <c:rich>
                  <a:bodyPr/>
                  <a:lstStyle/>
                  <a:p>
                    <a:r>
                      <a:rPr lang="zh-TW" altLang="en-US">
                        <a:latin typeface="標楷體" panose="03000509000000000000" pitchFamily="65" charset="-120"/>
                        <a:ea typeface="標楷體" panose="03000509000000000000" pitchFamily="65" charset="-120"/>
                      </a:rPr>
                      <a:t>光學器材
</a:t>
                    </a:r>
                    <a:r>
                      <a:rPr lang="en-US" altLang="zh-TW">
                        <a:latin typeface="標楷體" panose="03000509000000000000" pitchFamily="65" charset="-120"/>
                        <a:ea typeface="標楷體" panose="03000509000000000000" pitchFamily="65" charset="-120"/>
                      </a:rPr>
                      <a:t>7.9%</a:t>
                    </a:r>
                    <a:endParaRPr lang="en-US" altLang="zh-TW"/>
                  </a:p>
                </c:rich>
              </c:tx>
              <c:showLegendKey val="0"/>
              <c:showVal val="0"/>
              <c:showCatName val="1"/>
              <c:showSerName val="0"/>
              <c:showPercent val="1"/>
              <c:showBubbleSize val="0"/>
            </c:dLbl>
            <c:dLbl>
              <c:idx val="6"/>
              <c:tx>
                <c:rich>
                  <a:bodyPr/>
                  <a:lstStyle/>
                  <a:p>
                    <a:r>
                      <a:rPr lang="zh-TW" altLang="en-US">
                        <a:latin typeface="標楷體" panose="03000509000000000000" pitchFamily="65" charset="-120"/>
                        <a:ea typeface="標楷體" panose="03000509000000000000" pitchFamily="65" charset="-120"/>
                      </a:rPr>
                      <a:t>基本金屬
</a:t>
                    </a:r>
                    <a:r>
                      <a:rPr lang="en-US" altLang="zh-TW">
                        <a:latin typeface="標楷體" panose="03000509000000000000" pitchFamily="65" charset="-120"/>
                        <a:ea typeface="標楷體" panose="03000509000000000000" pitchFamily="65" charset="-120"/>
                      </a:rPr>
                      <a:t>6.2%</a:t>
                    </a:r>
                    <a:endParaRPr lang="zh-TW" altLang="en-US"/>
                  </a:p>
                </c:rich>
              </c:tx>
              <c:showLegendKey val="0"/>
              <c:showVal val="0"/>
              <c:showCatName val="1"/>
              <c:showSerName val="0"/>
              <c:showPercent val="1"/>
              <c:showBubbleSize val="0"/>
            </c:dLbl>
            <c:dLbl>
              <c:idx val="7"/>
              <c:tx>
                <c:rich>
                  <a:bodyPr/>
                  <a:lstStyle/>
                  <a:p>
                    <a:r>
                      <a:rPr lang="zh-TW" altLang="en-US">
                        <a:latin typeface="標楷體" panose="03000509000000000000" pitchFamily="65" charset="-120"/>
                        <a:ea typeface="標楷體" panose="03000509000000000000" pitchFamily="65" charset="-120"/>
                      </a:rPr>
                      <a:t>其他
</a:t>
                    </a:r>
                    <a:r>
                      <a:rPr lang="en-US" altLang="zh-TW">
                        <a:latin typeface="標楷體" panose="03000509000000000000" pitchFamily="65" charset="-120"/>
                        <a:ea typeface="標楷體" panose="03000509000000000000" pitchFamily="65" charset="-120"/>
                      </a:rPr>
                      <a:t>11.8%</a:t>
                    </a:r>
                    <a:endParaRPr lang="en-US" altLang="zh-TW"/>
                  </a:p>
                </c:rich>
              </c:tx>
              <c:showLegendKey val="0"/>
              <c:showVal val="0"/>
              <c:showCatName val="1"/>
              <c:showSerName val="0"/>
              <c:showPercent val="1"/>
              <c:showBubbleSize val="0"/>
            </c:dLbl>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工作表1!$B$1:$I$1</c:f>
              <c:strCache>
                <c:ptCount val="8"/>
                <c:pt idx="0">
                  <c:v>電子產品</c:v>
                </c:pt>
                <c:pt idx="1">
                  <c:v>化學品</c:v>
                </c:pt>
                <c:pt idx="2">
                  <c:v>塑橡膠製品</c:v>
                </c:pt>
                <c:pt idx="3">
                  <c:v>資通產品</c:v>
                </c:pt>
                <c:pt idx="4">
                  <c:v>機械</c:v>
                </c:pt>
                <c:pt idx="5">
                  <c:v>光學器材</c:v>
                </c:pt>
                <c:pt idx="6">
                  <c:v>基本金屬</c:v>
                </c:pt>
                <c:pt idx="7">
                  <c:v>其他</c:v>
                </c:pt>
              </c:strCache>
            </c:strRef>
          </c:cat>
          <c:val>
            <c:numRef>
              <c:f>工作表1!$B$2:$I$2</c:f>
              <c:numCache>
                <c:formatCode>0.0_ </c:formatCode>
                <c:ptCount val="8"/>
                <c:pt idx="0">
                  <c:v>38.200000000000003</c:v>
                </c:pt>
                <c:pt idx="1">
                  <c:v>10.3</c:v>
                </c:pt>
                <c:pt idx="2">
                  <c:v>8.8000000000000007</c:v>
                </c:pt>
                <c:pt idx="3">
                  <c:v>8.5</c:v>
                </c:pt>
                <c:pt idx="4">
                  <c:v>8.3000000000000007</c:v>
                </c:pt>
                <c:pt idx="5">
                  <c:v>7.9</c:v>
                </c:pt>
                <c:pt idx="6">
                  <c:v>6.2</c:v>
                </c:pt>
                <c:pt idx="7">
                  <c:v>11.8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0">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'[台灣對中國進出口(圖).xlsx]工作表1'!$A$16</c:f>
              <c:strCache>
                <c:ptCount val="1"/>
                <c:pt idx="0">
                  <c:v>2017</c:v>
                </c:pt>
              </c:strCache>
            </c:strRef>
          </c:tx>
          <c:invertIfNegative val="0"/>
          <c:dLbls>
            <c:dLbl>
              <c:idx val="1"/>
              <c:layout>
                <c:manualLayout>
                  <c:x val="-1.0230179028132993E-2"/>
                  <c:y val="0"/>
                </c:manualLayout>
              </c:layout>
              <c:dLblPos val="outEnd"/>
              <c:showLegendKey val="0"/>
              <c:showVal val="1"/>
              <c:showCatName val="0"/>
              <c:showSerName val="0"/>
              <c:showPercent val="0"/>
              <c:showBubbleSize val="0"/>
            </c:dLbl>
            <c:dLbl>
              <c:idx val="8"/>
              <c:layout>
                <c:manualLayout>
                  <c:x val="-1.3008130081300813E-2"/>
                  <c:y val="-5.223111552008202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'[台灣對中國進出口(圖).xlsx]工作表1'!$B$15:$K$15</c:f>
              <c:strCache>
                <c:ptCount val="10"/>
                <c:pt idx="0">
                  <c:v>礦產品</c:v>
                </c:pt>
                <c:pt idx="1">
                  <c:v>化學品</c:v>
                </c:pt>
                <c:pt idx="2">
                  <c:v>塑橡膠製品</c:v>
                </c:pt>
                <c:pt idx="3">
                  <c:v>紡織品</c:v>
                </c:pt>
                <c:pt idx="4">
                  <c:v>基本金屬</c:v>
                </c:pt>
                <c:pt idx="5">
                  <c:v>電子產品</c:v>
                </c:pt>
                <c:pt idx="6">
                  <c:v>機械</c:v>
                </c:pt>
                <c:pt idx="7">
                  <c:v>電機產品</c:v>
                </c:pt>
                <c:pt idx="8">
                  <c:v>資通產品</c:v>
                </c:pt>
                <c:pt idx="9">
                  <c:v>光學器材</c:v>
                </c:pt>
              </c:strCache>
            </c:strRef>
          </c:cat>
          <c:val>
            <c:numRef>
              <c:f>'[台灣對中國進出口(圖).xlsx]工作表1'!$B$16:$K$16</c:f>
              <c:numCache>
                <c:formatCode>General</c:formatCode>
                <c:ptCount val="10"/>
                <c:pt idx="0">
                  <c:v>-6.6</c:v>
                </c:pt>
                <c:pt idx="1">
                  <c:v>14.8</c:v>
                </c:pt>
                <c:pt idx="2">
                  <c:v>19.899999999999999</c:v>
                </c:pt>
                <c:pt idx="3">
                  <c:v>4.9000000000000004</c:v>
                </c:pt>
                <c:pt idx="4">
                  <c:v>29.2</c:v>
                </c:pt>
                <c:pt idx="5">
                  <c:v>26.5</c:v>
                </c:pt>
                <c:pt idx="6">
                  <c:v>47.9</c:v>
                </c:pt>
                <c:pt idx="7">
                  <c:v>10.8</c:v>
                </c:pt>
                <c:pt idx="8">
                  <c:v>12.5</c:v>
                </c:pt>
                <c:pt idx="9">
                  <c:v>7.3</c:v>
                </c:pt>
              </c:numCache>
            </c:numRef>
          </c:val>
        </c:ser>
        <c:ser>
          <c:idx val="1"/>
          <c:order val="1"/>
          <c:tx>
            <c:strRef>
              <c:f>'[台灣對中國進出口(圖).xlsx]工作表1'!$A$17</c:f>
              <c:strCache>
                <c:ptCount val="1"/>
                <c:pt idx="0">
                  <c:v>2018</c:v>
                </c:pt>
              </c:strCache>
            </c:strRef>
          </c:tx>
          <c:invertIfNegative val="0"/>
          <c:dLbls>
            <c:dLbl>
              <c:idx val="0"/>
              <c:layout>
                <c:manualLayout>
                  <c:x val="1.0230179028132993E-2"/>
                  <c:y val="5.1779924719328341E-3"/>
                </c:manualLayout>
              </c:layout>
              <c:dLblPos val="outEnd"/>
              <c:showLegendKey val="0"/>
              <c:showVal val="1"/>
              <c:showCatName val="0"/>
              <c:showSerName val="0"/>
              <c:showPercent val="0"/>
              <c:showBubbleSize val="0"/>
            </c:dLbl>
            <c:dLbl>
              <c:idx val="1"/>
              <c:layout>
                <c:manualLayout>
                  <c:x val="6.5040650406504065E-3"/>
                  <c:y val="0"/>
                </c:manualLayout>
              </c:layout>
              <c:dLblPos val="outEnd"/>
              <c:showLegendKey val="0"/>
              <c:showVal val="1"/>
              <c:showCatName val="0"/>
              <c:showSerName val="0"/>
              <c:showPercent val="0"/>
              <c:showBubbleSize val="0"/>
            </c:dLbl>
            <c:dLbl>
              <c:idx val="8"/>
              <c:layout>
                <c:manualLayout>
                  <c:x val="4.3358726500650835E-3"/>
                  <c:y val="-5.6980056980056983E-3"/>
                </c:manualLayout>
              </c:layout>
              <c:dLblPos val="outEnd"/>
              <c:showLegendKey val="0"/>
              <c:showVal val="1"/>
              <c:showCatName val="0"/>
              <c:showSerName val="0"/>
              <c:showPercent val="0"/>
              <c:showBubbleSize val="0"/>
            </c:dLbl>
            <c:dLbl>
              <c:idx val="9"/>
              <c:layout>
                <c:manualLayout>
                  <c:x val="1.5345268542199489E-2"/>
                  <c:y val="2.588996235966417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'[台灣對中國進出口(圖).xlsx]工作表1'!$B$15:$K$15</c:f>
              <c:strCache>
                <c:ptCount val="10"/>
                <c:pt idx="0">
                  <c:v>礦產品</c:v>
                </c:pt>
                <c:pt idx="1">
                  <c:v>化學品</c:v>
                </c:pt>
                <c:pt idx="2">
                  <c:v>塑橡膠製品</c:v>
                </c:pt>
                <c:pt idx="3">
                  <c:v>紡織品</c:v>
                </c:pt>
                <c:pt idx="4">
                  <c:v>基本金屬</c:v>
                </c:pt>
                <c:pt idx="5">
                  <c:v>電子產品</c:v>
                </c:pt>
                <c:pt idx="6">
                  <c:v>機械</c:v>
                </c:pt>
                <c:pt idx="7">
                  <c:v>電機產品</c:v>
                </c:pt>
                <c:pt idx="8">
                  <c:v>資通產品</c:v>
                </c:pt>
                <c:pt idx="9">
                  <c:v>光學器材</c:v>
                </c:pt>
              </c:strCache>
            </c:strRef>
          </c:cat>
          <c:val>
            <c:numRef>
              <c:f>'[台灣對中國進出口(圖).xlsx]工作表1'!$B$17:$K$17</c:f>
              <c:numCache>
                <c:formatCode>General</c:formatCode>
                <c:ptCount val="10"/>
                <c:pt idx="0">
                  <c:v>-7.1</c:v>
                </c:pt>
                <c:pt idx="1">
                  <c:v>15.4</c:v>
                </c:pt>
                <c:pt idx="2">
                  <c:v>9.6</c:v>
                </c:pt>
                <c:pt idx="3">
                  <c:v>-0.2</c:v>
                </c:pt>
                <c:pt idx="4">
                  <c:v>3.8</c:v>
                </c:pt>
                <c:pt idx="5">
                  <c:v>12.4</c:v>
                </c:pt>
                <c:pt idx="6">
                  <c:v>3.2</c:v>
                </c:pt>
                <c:pt idx="7">
                  <c:v>0.7</c:v>
                </c:pt>
                <c:pt idx="8">
                  <c:v>13.5</c:v>
                </c:pt>
                <c:pt idx="9">
                  <c:v>-17.5</c:v>
                </c:pt>
              </c:numCache>
            </c:numRef>
          </c:val>
        </c:ser>
        <c:dLbls>
          <c:dLblPos val="outEnd"/>
          <c:showLegendKey val="0"/>
          <c:showVal val="1"/>
          <c:showCatName val="0"/>
          <c:showSerName val="0"/>
          <c:showPercent val="0"/>
          <c:showBubbleSize val="0"/>
        </c:dLbls>
        <c:gapWidth val="150"/>
        <c:axId val="678456832"/>
        <c:axId val="647200064"/>
      </c:barChart>
      <c:catAx>
        <c:axId val="678456832"/>
        <c:scaling>
          <c:orientation val="minMax"/>
        </c:scaling>
        <c:delete val="0"/>
        <c:axPos val="b"/>
        <c:majorTickMark val="out"/>
        <c:minorTickMark val="none"/>
        <c:tickLblPos val="nextTo"/>
        <c:txPr>
          <a:bodyPr rot="0" vert="eaVert"/>
          <a:lstStyle/>
          <a:p>
            <a:pPr>
              <a:defRPr>
                <a:latin typeface="標楷體" panose="03000509000000000000" pitchFamily="65" charset="-120"/>
                <a:ea typeface="標楷體" panose="03000509000000000000" pitchFamily="65" charset="-120"/>
              </a:defRPr>
            </a:pPr>
            <a:endParaRPr lang="zh-TW"/>
          </a:p>
        </c:txPr>
        <c:crossAx val="647200064"/>
        <c:crosses val="autoZero"/>
        <c:auto val="1"/>
        <c:lblAlgn val="ctr"/>
        <c:lblOffset val="1000"/>
        <c:noMultiLvlLbl val="0"/>
      </c:catAx>
      <c:valAx>
        <c:axId val="647200064"/>
        <c:scaling>
          <c:orientation val="minMax"/>
        </c:scaling>
        <c:delete val="0"/>
        <c:axPos val="l"/>
        <c:numFmt formatCode="General" sourceLinked="1"/>
        <c:majorTickMark val="out"/>
        <c:minorTickMark val="none"/>
        <c:tickLblPos val="nextTo"/>
        <c:crossAx val="67845683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zh-TW" altLang="en-US">
                        <a:latin typeface="標楷體" panose="03000509000000000000" pitchFamily="65" charset="-120"/>
                        <a:ea typeface="標楷體" panose="03000509000000000000" pitchFamily="65" charset="-120"/>
                      </a:rPr>
                      <a:t>電子產品</a:t>
                    </a:r>
                    <a:r>
                      <a:rPr lang="en-US" altLang="zh-TW">
                        <a:latin typeface="標楷體" panose="03000509000000000000" pitchFamily="65" charset="-120"/>
                        <a:ea typeface="標楷體" panose="03000509000000000000" pitchFamily="65" charset="-120"/>
                      </a:rPr>
                      <a:t> 24.1% </a:t>
                    </a:r>
                    <a:endParaRPr lang="en-US" altLang="zh-TW"/>
                  </a:p>
                </c:rich>
              </c:tx>
              <c:showLegendKey val="0"/>
              <c:showVal val="1"/>
              <c:showCatName val="1"/>
              <c:showSerName val="0"/>
              <c:showPercent val="0"/>
              <c:showBubbleSize val="0"/>
            </c:dLbl>
            <c:dLbl>
              <c:idx val="1"/>
              <c:tx>
                <c:rich>
                  <a:bodyPr/>
                  <a:lstStyle/>
                  <a:p>
                    <a:r>
                      <a:rPr lang="zh-TW" altLang="en-US">
                        <a:latin typeface="標楷體" panose="03000509000000000000" pitchFamily="65" charset="-120"/>
                        <a:ea typeface="標楷體" panose="03000509000000000000" pitchFamily="65" charset="-120"/>
                      </a:rPr>
                      <a:t>機械</a:t>
                    </a:r>
                    <a:r>
                      <a:rPr lang="en-US" altLang="zh-TW">
                        <a:latin typeface="標楷體" panose="03000509000000000000" pitchFamily="65" charset="-120"/>
                        <a:ea typeface="標楷體" panose="03000509000000000000" pitchFamily="65" charset="-120"/>
                      </a:rPr>
                      <a:t> 6.7% </a:t>
                    </a:r>
                    <a:endParaRPr lang="zh-TW" altLang="en-US"/>
                  </a:p>
                </c:rich>
              </c:tx>
              <c:showLegendKey val="0"/>
              <c:showVal val="1"/>
              <c:showCatName val="1"/>
              <c:showSerName val="0"/>
              <c:showPercent val="0"/>
              <c:showBubbleSize val="0"/>
            </c:dLbl>
            <c:dLbl>
              <c:idx val="2"/>
              <c:tx>
                <c:rich>
                  <a:bodyPr/>
                  <a:lstStyle/>
                  <a:p>
                    <a:r>
                      <a:rPr lang="zh-TW" altLang="en-US">
                        <a:latin typeface="標楷體" panose="03000509000000000000" pitchFamily="65" charset="-120"/>
                        <a:ea typeface="標楷體" panose="03000509000000000000" pitchFamily="65" charset="-120"/>
                      </a:rPr>
                      <a:t>化學品</a:t>
                    </a:r>
                    <a:r>
                      <a:rPr lang="en-US" altLang="zh-TW">
                        <a:latin typeface="標楷體" panose="03000509000000000000" pitchFamily="65" charset="-120"/>
                        <a:ea typeface="標楷體" panose="03000509000000000000" pitchFamily="65" charset="-120"/>
                      </a:rPr>
                      <a:t> 8.7% </a:t>
                    </a:r>
                    <a:endParaRPr lang="zh-TW" altLang="en-US"/>
                  </a:p>
                </c:rich>
              </c:tx>
              <c:showLegendKey val="0"/>
              <c:showVal val="1"/>
              <c:showCatName val="1"/>
              <c:showSerName val="0"/>
              <c:showPercent val="0"/>
              <c:showBubbleSize val="0"/>
            </c:dLbl>
            <c:dLbl>
              <c:idx val="3"/>
              <c:tx>
                <c:rich>
                  <a:bodyPr/>
                  <a:lstStyle/>
                  <a:p>
                    <a:r>
                      <a:rPr lang="zh-TW" altLang="en-US">
                        <a:latin typeface="標楷體" panose="03000509000000000000" pitchFamily="65" charset="-120"/>
                        <a:ea typeface="標楷體" panose="03000509000000000000" pitchFamily="65" charset="-120"/>
                      </a:rPr>
                      <a:t>資通產品</a:t>
                    </a:r>
                    <a:r>
                      <a:rPr lang="en-US" altLang="zh-TW">
                        <a:latin typeface="標楷體" panose="03000509000000000000" pitchFamily="65" charset="-120"/>
                        <a:ea typeface="標楷體" panose="03000509000000000000" pitchFamily="65" charset="-120"/>
                      </a:rPr>
                      <a:t> 21.3% </a:t>
                    </a:r>
                    <a:endParaRPr lang="zh-TW" altLang="en-US"/>
                  </a:p>
                </c:rich>
              </c:tx>
              <c:showLegendKey val="0"/>
              <c:showVal val="1"/>
              <c:showCatName val="1"/>
              <c:showSerName val="0"/>
              <c:showPercent val="0"/>
              <c:showBubbleSize val="0"/>
            </c:dLbl>
            <c:dLbl>
              <c:idx val="4"/>
              <c:tx>
                <c:rich>
                  <a:bodyPr/>
                  <a:lstStyle/>
                  <a:p>
                    <a:r>
                      <a:rPr lang="zh-TW" altLang="en-US">
                        <a:latin typeface="標楷體" panose="03000509000000000000" pitchFamily="65" charset="-120"/>
                        <a:ea typeface="標楷體" panose="03000509000000000000" pitchFamily="65" charset="-120"/>
                      </a:rPr>
                      <a:t>機械</a:t>
                    </a:r>
                    <a:r>
                      <a:rPr lang="en-US" altLang="zh-TW">
                        <a:latin typeface="標楷體" panose="03000509000000000000" pitchFamily="65" charset="-120"/>
                        <a:ea typeface="標楷體" panose="03000509000000000000" pitchFamily="65" charset="-120"/>
                      </a:rPr>
                      <a:t> 6.7% </a:t>
                    </a:r>
                    <a:endParaRPr lang="zh-TW" altLang="en-US"/>
                  </a:p>
                </c:rich>
              </c:tx>
              <c:showLegendKey val="0"/>
              <c:showVal val="1"/>
              <c:showCatName val="1"/>
              <c:showSerName val="0"/>
              <c:showPercent val="0"/>
              <c:showBubbleSize val="0"/>
            </c:dLbl>
            <c:dLbl>
              <c:idx val="5"/>
              <c:tx>
                <c:rich>
                  <a:bodyPr/>
                  <a:lstStyle/>
                  <a:p>
                    <a:r>
                      <a:rPr lang="zh-TW" altLang="en-US">
                        <a:latin typeface="標楷體" panose="03000509000000000000" pitchFamily="65" charset="-120"/>
                        <a:ea typeface="標楷體" panose="03000509000000000000" pitchFamily="65" charset="-120"/>
                      </a:rPr>
                      <a:t>光學器材</a:t>
                    </a:r>
                    <a:r>
                      <a:rPr lang="en-US" altLang="zh-TW">
                        <a:latin typeface="標楷體" panose="03000509000000000000" pitchFamily="65" charset="-120"/>
                        <a:ea typeface="標楷體" panose="03000509000000000000" pitchFamily="65" charset="-120"/>
                      </a:rPr>
                      <a:t> 3.1% </a:t>
                    </a:r>
                    <a:endParaRPr lang="en-US" altLang="zh-TW"/>
                  </a:p>
                </c:rich>
              </c:tx>
              <c:showLegendKey val="0"/>
              <c:showVal val="1"/>
              <c:showCatName val="1"/>
              <c:showSerName val="0"/>
              <c:showPercent val="0"/>
              <c:showBubbleSize val="0"/>
            </c:dLbl>
            <c:dLbl>
              <c:idx val="6"/>
              <c:tx>
                <c:rich>
                  <a:bodyPr/>
                  <a:lstStyle/>
                  <a:p>
                    <a:r>
                      <a:rPr lang="zh-TW" altLang="en-US">
                        <a:latin typeface="標楷體" panose="03000509000000000000" pitchFamily="65" charset="-120"/>
                        <a:ea typeface="標楷體" panose="03000509000000000000" pitchFamily="65" charset="-120"/>
                      </a:rPr>
                      <a:t>基本金屬</a:t>
                    </a:r>
                    <a:r>
                      <a:rPr lang="en-US" altLang="zh-TW">
                        <a:latin typeface="標楷體" panose="03000509000000000000" pitchFamily="65" charset="-120"/>
                        <a:ea typeface="標楷體" panose="03000509000000000000" pitchFamily="65" charset="-120"/>
                      </a:rPr>
                      <a:t> 9.2% </a:t>
                    </a:r>
                    <a:endParaRPr lang="zh-TW" altLang="en-US"/>
                  </a:p>
                </c:rich>
              </c:tx>
              <c:showLegendKey val="0"/>
              <c:showVal val="1"/>
              <c:showCatName val="1"/>
              <c:showSerName val="0"/>
              <c:showPercent val="0"/>
              <c:showBubbleSize val="0"/>
            </c:dLbl>
            <c:dLbl>
              <c:idx val="7"/>
              <c:tx>
                <c:rich>
                  <a:bodyPr/>
                  <a:lstStyle/>
                  <a:p>
                    <a:r>
                      <a:rPr lang="zh-TW" altLang="en-US">
                        <a:latin typeface="標楷體" panose="03000509000000000000" pitchFamily="65" charset="-120"/>
                        <a:ea typeface="標楷體" panose="03000509000000000000" pitchFamily="65" charset="-120"/>
                      </a:rPr>
                      <a:t>電機產品</a:t>
                    </a:r>
                    <a:r>
                      <a:rPr lang="en-US" altLang="zh-TW">
                        <a:latin typeface="標楷體" panose="03000509000000000000" pitchFamily="65" charset="-120"/>
                        <a:ea typeface="標楷體" panose="03000509000000000000" pitchFamily="65" charset="-120"/>
                      </a:rPr>
                      <a:t> 6.7%</a:t>
                    </a:r>
                    <a:endParaRPr lang="en-US" altLang="zh-TW"/>
                  </a:p>
                </c:rich>
              </c:tx>
              <c:showLegendKey val="0"/>
              <c:showVal val="1"/>
              <c:showCatName val="1"/>
              <c:showSerName val="0"/>
              <c:showPercent val="1"/>
              <c:showBubbleSize val="0"/>
            </c:dLbl>
            <c:dLbl>
              <c:idx val="8"/>
              <c:tx>
                <c:rich>
                  <a:bodyPr/>
                  <a:lstStyle/>
                  <a:p>
                    <a:r>
                      <a:rPr lang="zh-TW" altLang="en-US">
                        <a:latin typeface="標楷體" panose="03000509000000000000" pitchFamily="65" charset="-120"/>
                        <a:ea typeface="標楷體" panose="03000509000000000000" pitchFamily="65" charset="-120"/>
                      </a:rPr>
                      <a:t>其他</a:t>
                    </a:r>
                    <a:r>
                      <a:rPr lang="en-US" altLang="zh-TW">
                        <a:latin typeface="標楷體" panose="03000509000000000000" pitchFamily="65" charset="-120"/>
                        <a:ea typeface="標楷體" panose="03000509000000000000" pitchFamily="65" charset="-120"/>
                      </a:rPr>
                      <a:t> 13.5% </a:t>
                    </a:r>
                    <a:endParaRPr lang="zh-TW" altLang="en-US"/>
                  </a:p>
                </c:rich>
              </c:tx>
              <c:showLegendKey val="0"/>
              <c:showVal val="1"/>
              <c:showCatName val="1"/>
              <c:showSerName val="0"/>
              <c:showPercent val="0"/>
              <c:showBubbleSize val="0"/>
            </c:dLbl>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1"/>
            <c:showSerName val="0"/>
            <c:showPercent val="0"/>
            <c:showBubbleSize val="0"/>
            <c:showLeaderLines val="1"/>
          </c:dLbls>
          <c:cat>
            <c:strRef>
              <c:f>'[台灣對中國進出口(圖).xlsx]工作表2'!$C$3:$K$3</c:f>
              <c:strCache>
                <c:ptCount val="9"/>
                <c:pt idx="0">
                  <c:v>電子產品</c:v>
                </c:pt>
                <c:pt idx="1">
                  <c:v>機械</c:v>
                </c:pt>
                <c:pt idx="2">
                  <c:v>化學品</c:v>
                </c:pt>
                <c:pt idx="3">
                  <c:v>資通產品</c:v>
                </c:pt>
                <c:pt idx="4">
                  <c:v>機械</c:v>
                </c:pt>
                <c:pt idx="5">
                  <c:v>光學器材</c:v>
                </c:pt>
                <c:pt idx="6">
                  <c:v>基本金屬</c:v>
                </c:pt>
                <c:pt idx="7">
                  <c:v>電機產品</c:v>
                </c:pt>
                <c:pt idx="8">
                  <c:v>其他</c:v>
                </c:pt>
              </c:strCache>
            </c:strRef>
          </c:cat>
          <c:val>
            <c:numRef>
              <c:f>'[台灣對中國進出口(圖).xlsx]工作表2'!$C$4:$K$4</c:f>
              <c:numCache>
                <c:formatCode>0.0_ </c:formatCode>
                <c:ptCount val="9"/>
                <c:pt idx="0">
                  <c:v>24.1</c:v>
                </c:pt>
                <c:pt idx="1">
                  <c:v>6.7</c:v>
                </c:pt>
                <c:pt idx="2">
                  <c:v>8.6999999999999993</c:v>
                </c:pt>
                <c:pt idx="3">
                  <c:v>21.3</c:v>
                </c:pt>
                <c:pt idx="4">
                  <c:v>6.7</c:v>
                </c:pt>
                <c:pt idx="5">
                  <c:v>3.1</c:v>
                </c:pt>
                <c:pt idx="6">
                  <c:v>9.1999999999999993</c:v>
                </c:pt>
                <c:pt idx="7">
                  <c:v>6.7</c:v>
                </c:pt>
                <c:pt idx="8">
                  <c:v>13.5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0.00889</cdr:x>
      <cdr:y>0.03705</cdr:y>
    </cdr:from>
    <cdr:to>
      <cdr:x>0.04956</cdr:x>
      <cdr:y>0.14819</cdr:y>
    </cdr:to>
    <cdr:sp macro="" textlink="">
      <cdr:nvSpPr>
        <cdr:cNvPr id="2" name="矩形 1"/>
        <cdr:cNvSpPr/>
      </cdr:nvSpPr>
      <cdr:spPr>
        <a:xfrm xmlns:a="http://schemas.openxmlformats.org/drawingml/2006/main">
          <a:off x="55658" y="87464"/>
          <a:ext cx="254443" cy="2623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a:solidFill>
                <a:sysClr val="windowText" lastClr="000000"/>
              </a:solidFill>
            </a:rPr>
            <a:t>%</a:t>
          </a:r>
          <a:endParaRPr lang="zh-TW">
            <a:solidFill>
              <a:sysClr val="windowText" lastClr="000000"/>
            </a:solidFill>
          </a:endParaRPr>
        </a:p>
      </cdr:txBody>
    </cdr:sp>
  </cdr:relSizeAnchor>
  <cdr:relSizeAnchor xmlns:cdr="http://schemas.openxmlformats.org/drawingml/2006/chartDrawing">
    <cdr:from>
      <cdr:x>0.93702</cdr:x>
      <cdr:y>0.02488</cdr:y>
    </cdr:from>
    <cdr:to>
      <cdr:x>0.97768</cdr:x>
      <cdr:y>0.13602</cdr:y>
    </cdr:to>
    <cdr:sp macro="" textlink="">
      <cdr:nvSpPr>
        <cdr:cNvPr id="4" name="矩形 3"/>
        <cdr:cNvSpPr/>
      </cdr:nvSpPr>
      <cdr:spPr>
        <a:xfrm xmlns:a="http://schemas.openxmlformats.org/drawingml/2006/main">
          <a:off x="5863202" y="58751"/>
          <a:ext cx="254443" cy="2623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0.94288</cdr:x>
      <cdr:y>0.03368</cdr:y>
    </cdr:from>
    <cdr:to>
      <cdr:x>0.98354</cdr:x>
      <cdr:y>0.12461</cdr:y>
    </cdr:to>
    <cdr:sp macro="" textlink="">
      <cdr:nvSpPr>
        <cdr:cNvPr id="7" name="矩形 6"/>
        <cdr:cNvSpPr/>
      </cdr:nvSpPr>
      <cdr:spPr>
        <a:xfrm xmlns:a="http://schemas.openxmlformats.org/drawingml/2006/main">
          <a:off x="5899868" y="79513"/>
          <a:ext cx="254442" cy="2146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a:solidFill>
                <a:sysClr val="windowText" lastClr="000000"/>
              </a:solidFill>
            </a:rPr>
            <a:t>%</a:t>
          </a:r>
          <a:endParaRPr lang="zh-TW">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0.05064</cdr:y>
    </cdr:from>
    <cdr:to>
      <cdr:x>0.16286</cdr:x>
      <cdr:y>0.12978</cdr:y>
    </cdr:to>
    <cdr:sp macro="" textlink="">
      <cdr:nvSpPr>
        <cdr:cNvPr id="2" name="矩形 1"/>
        <cdr:cNvSpPr/>
      </cdr:nvSpPr>
      <cdr:spPr>
        <a:xfrm xmlns:a="http://schemas.openxmlformats.org/drawingml/2006/main">
          <a:off x="0" y="127221"/>
          <a:ext cx="906449" cy="1987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TW" altLang="en-US" sz="800">
              <a:solidFill>
                <a:sysClr val="windowText" lastClr="000000"/>
              </a:solidFill>
              <a:latin typeface="標楷體" panose="03000509000000000000" pitchFamily="65" charset="-120"/>
              <a:ea typeface="標楷體" panose="03000509000000000000" pitchFamily="65" charset="-120"/>
            </a:rPr>
            <a:t>單位：兆元</a:t>
          </a:r>
          <a:endParaRPr lang="zh-TW" sz="800">
            <a:solidFill>
              <a:sysClr val="windowText" lastClr="000000"/>
            </a:solidFill>
            <a:latin typeface="標楷體" panose="03000509000000000000" pitchFamily="65" charset="-120"/>
            <a:ea typeface="標楷體" panose="03000509000000000000" pitchFamily="65"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703F-D4A5-4DCA-94B7-36668820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32</Pages>
  <Words>3428</Words>
  <Characters>19542</Characters>
  <Application>Microsoft Office Word</Application>
  <DocSecurity>0</DocSecurity>
  <Lines>162</Lines>
  <Paragraphs>45</Paragraphs>
  <ScaleCrop>false</ScaleCrop>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李詩怡</dc:creator>
  <cp:lastModifiedBy>李詩怡</cp:lastModifiedBy>
  <cp:revision>20</cp:revision>
  <cp:lastPrinted>2019-03-26T00:25:00Z</cp:lastPrinted>
  <dcterms:created xsi:type="dcterms:W3CDTF">2019-02-25T07:06:00Z</dcterms:created>
  <dcterms:modified xsi:type="dcterms:W3CDTF">2019-03-26T00:43:00Z</dcterms:modified>
</cp:coreProperties>
</file>