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微軟正黑體" w:eastAsia="微軟正黑體" w:hAnsi="微軟正黑體" w:cstheme="minorBidi"/>
          <w:b/>
          <w:bCs/>
          <w:noProof/>
          <w:kern w:val="0"/>
          <w:sz w:val="36"/>
          <w:szCs w:val="36"/>
          <w:lang w:val="zh-TW"/>
        </w:rPr>
        <w:id w:val="-1268779043"/>
        <w:docPartObj>
          <w:docPartGallery w:val="Table of Contents"/>
          <w:docPartUnique/>
        </w:docPartObj>
      </w:sdtPr>
      <w:sdtEndPr>
        <w:rPr>
          <w:rFonts w:ascii="標楷體" w:eastAsia="標楷體" w:hAnsi="標楷體"/>
          <w:bCs w:val="0"/>
          <w:sz w:val="28"/>
          <w:szCs w:val="28"/>
          <w:lang w:val="en-US"/>
        </w:rPr>
      </w:sdtEndPr>
      <w:sdtContent>
        <w:p w:rsidR="006D7283" w:rsidRPr="009C7BD2" w:rsidRDefault="006D7283" w:rsidP="006D7283">
          <w:pPr>
            <w:snapToGrid w:val="0"/>
            <w:spacing w:beforeLines="1000" w:before="3600" w:line="400" w:lineRule="atLeast"/>
            <w:jc w:val="center"/>
            <w:rPr>
              <w:rFonts w:eastAsia="標楷體"/>
              <w:b/>
              <w:sz w:val="52"/>
              <w:szCs w:val="48"/>
            </w:rPr>
          </w:pPr>
          <w:r w:rsidRPr="009C7BD2">
            <w:rPr>
              <w:rFonts w:eastAsia="標楷體"/>
              <w:b/>
              <w:sz w:val="52"/>
              <w:szCs w:val="48"/>
            </w:rPr>
            <w:t>201</w:t>
          </w:r>
          <w:r w:rsidR="00AE1756" w:rsidRPr="009C7BD2">
            <w:rPr>
              <w:rFonts w:eastAsia="標楷體"/>
              <w:b/>
              <w:sz w:val="52"/>
              <w:szCs w:val="48"/>
            </w:rPr>
            <w:t>7</w:t>
          </w:r>
          <w:r w:rsidRPr="009C7BD2">
            <w:rPr>
              <w:rFonts w:eastAsia="標楷體"/>
              <w:b/>
              <w:sz w:val="52"/>
              <w:szCs w:val="48"/>
            </w:rPr>
            <w:t>年兩岸經貿、中國大陸</w:t>
          </w:r>
        </w:p>
        <w:p w:rsidR="006D7283" w:rsidRPr="009C7BD2" w:rsidRDefault="006D7283" w:rsidP="006D7283">
          <w:pPr>
            <w:snapToGrid w:val="0"/>
            <w:spacing w:afterLines="50" w:after="180" w:line="400" w:lineRule="atLeast"/>
            <w:jc w:val="center"/>
            <w:rPr>
              <w:rFonts w:eastAsia="標楷體"/>
              <w:b/>
              <w:sz w:val="52"/>
              <w:szCs w:val="48"/>
            </w:rPr>
          </w:pPr>
          <w:r w:rsidRPr="009C7BD2">
            <w:rPr>
              <w:rFonts w:eastAsia="標楷體"/>
              <w:b/>
              <w:sz w:val="52"/>
              <w:szCs w:val="48"/>
            </w:rPr>
            <w:t>經濟情勢分析</w:t>
          </w:r>
        </w:p>
        <w:p w:rsidR="006D7283" w:rsidRPr="00D257DD" w:rsidRDefault="006D7283" w:rsidP="006D7283">
          <w:pPr>
            <w:tabs>
              <w:tab w:val="center" w:pos="4153"/>
              <w:tab w:val="left" w:pos="7104"/>
            </w:tabs>
            <w:snapToGrid w:val="0"/>
            <w:spacing w:beforeLines="2000" w:before="7200" w:line="400" w:lineRule="atLeast"/>
            <w:rPr>
              <w:rFonts w:ascii="標楷體" w:eastAsia="標楷體" w:hAnsi="標楷體" w:cstheme="minorBidi"/>
              <w:sz w:val="32"/>
              <w:szCs w:val="22"/>
            </w:rPr>
          </w:pPr>
          <w:r w:rsidRPr="0017769E">
            <w:rPr>
              <w:rFonts w:ascii="微軟正黑體" w:eastAsia="微軟正黑體" w:hAnsi="微軟正黑體" w:cstheme="minorBidi"/>
              <w:sz w:val="32"/>
              <w:szCs w:val="22"/>
            </w:rPr>
            <w:tab/>
          </w:r>
          <w:r w:rsidRPr="00D257DD">
            <w:rPr>
              <w:rFonts w:ascii="標楷體" w:eastAsia="標楷體" w:hAnsi="標楷體" w:cstheme="minorBidi" w:hint="eastAsia"/>
              <w:sz w:val="32"/>
              <w:szCs w:val="22"/>
            </w:rPr>
            <w:t>國家發展委員會 經濟發展處 編製</w:t>
          </w:r>
          <w:r w:rsidRPr="00D257DD">
            <w:rPr>
              <w:rFonts w:ascii="標楷體" w:eastAsia="標楷體" w:hAnsi="標楷體" w:cstheme="minorBidi"/>
              <w:sz w:val="32"/>
              <w:szCs w:val="22"/>
            </w:rPr>
            <w:tab/>
          </w:r>
        </w:p>
        <w:p w:rsidR="005E4731" w:rsidRPr="009C7BD2" w:rsidRDefault="006D7283" w:rsidP="005E4731">
          <w:pPr>
            <w:snapToGrid w:val="0"/>
            <w:spacing w:afterLines="50" w:after="180" w:line="400" w:lineRule="atLeast"/>
            <w:jc w:val="center"/>
            <w:rPr>
              <w:rFonts w:eastAsia="微軟正黑體"/>
              <w:sz w:val="32"/>
              <w:szCs w:val="22"/>
            </w:rPr>
            <w:sectPr w:rsidR="005E4731" w:rsidRPr="009C7BD2" w:rsidSect="00464AD0">
              <w:footerReference w:type="even" r:id="rId9"/>
              <w:footerReference w:type="default" r:id="rId10"/>
              <w:pgSz w:w="11906" w:h="16838"/>
              <w:pgMar w:top="1440" w:right="1800" w:bottom="1440" w:left="1800" w:header="851" w:footer="992" w:gutter="0"/>
              <w:pgNumType w:fmt="lowerRoman" w:start="1"/>
              <w:cols w:space="425"/>
              <w:titlePg/>
              <w:docGrid w:type="lines" w:linePitch="360"/>
            </w:sectPr>
          </w:pPr>
          <w:r w:rsidRPr="009C7BD2">
            <w:rPr>
              <w:rFonts w:eastAsia="標楷體"/>
              <w:sz w:val="32"/>
              <w:szCs w:val="22"/>
            </w:rPr>
            <w:t>201</w:t>
          </w:r>
          <w:r w:rsidR="00DA1F95">
            <w:rPr>
              <w:rFonts w:eastAsia="標楷體" w:hint="eastAsia"/>
              <w:sz w:val="32"/>
              <w:szCs w:val="22"/>
            </w:rPr>
            <w:t>8</w:t>
          </w:r>
          <w:r w:rsidRPr="009C7BD2">
            <w:rPr>
              <w:rFonts w:eastAsia="標楷體"/>
              <w:sz w:val="32"/>
              <w:szCs w:val="22"/>
            </w:rPr>
            <w:t>年</w:t>
          </w:r>
          <w:r w:rsidR="00DA1F95">
            <w:rPr>
              <w:rFonts w:eastAsia="標楷體" w:hint="eastAsia"/>
              <w:sz w:val="32"/>
              <w:szCs w:val="22"/>
            </w:rPr>
            <w:t>2</w:t>
          </w:r>
          <w:r w:rsidRPr="009C7BD2">
            <w:rPr>
              <w:rFonts w:eastAsia="標楷體"/>
              <w:sz w:val="32"/>
              <w:szCs w:val="22"/>
            </w:rPr>
            <w:t>月</w:t>
          </w:r>
          <w:r w:rsidR="005E4731" w:rsidRPr="009C7BD2">
            <w:rPr>
              <w:rFonts w:eastAsia="微軟正黑體"/>
              <w:sz w:val="32"/>
              <w:szCs w:val="22"/>
            </w:rPr>
            <w:br w:type="page"/>
          </w:r>
        </w:p>
        <w:p w:rsidR="005E4731" w:rsidRPr="0017769E" w:rsidRDefault="005E4731">
          <w:pPr>
            <w:widowControl/>
            <w:rPr>
              <w:rFonts w:ascii="微軟正黑體" w:eastAsia="微軟正黑體" w:hAnsi="微軟正黑體" w:cstheme="minorBidi"/>
              <w:sz w:val="32"/>
              <w:szCs w:val="22"/>
            </w:rPr>
          </w:pPr>
        </w:p>
        <w:p w:rsidR="006D7283" w:rsidRPr="0017769E" w:rsidRDefault="006D7283" w:rsidP="006D7283">
          <w:pPr>
            <w:snapToGrid w:val="0"/>
            <w:spacing w:afterLines="50" w:after="180" w:line="400" w:lineRule="atLeast"/>
            <w:jc w:val="center"/>
            <w:rPr>
              <w:rFonts w:ascii="微軟正黑體" w:eastAsia="微軟正黑體" w:hAnsi="微軟正黑體" w:cstheme="minorBidi"/>
              <w:sz w:val="32"/>
              <w:szCs w:val="22"/>
            </w:rPr>
            <w:sectPr w:rsidR="006D7283" w:rsidRPr="0017769E" w:rsidSect="00464AD0">
              <w:footerReference w:type="even" r:id="rId11"/>
              <w:footerReference w:type="default" r:id="rId12"/>
              <w:pgSz w:w="11906" w:h="16838"/>
              <w:pgMar w:top="1440" w:right="1800" w:bottom="1440" w:left="1800" w:header="851" w:footer="992" w:gutter="0"/>
              <w:pgNumType w:fmt="lowerRoman" w:start="1"/>
              <w:cols w:space="425"/>
              <w:titlePg/>
              <w:docGrid w:type="lines" w:linePitch="360"/>
            </w:sectPr>
          </w:pPr>
        </w:p>
        <w:p w:rsidR="006D7283" w:rsidRPr="0017769E" w:rsidRDefault="006D7283" w:rsidP="006D7283">
          <w:pPr>
            <w:pStyle w:val="aff4"/>
            <w:spacing w:after="180"/>
            <w:rPr>
              <w:rFonts w:ascii="微軟正黑體" w:eastAsia="微軟正黑體" w:hAnsi="微軟正黑體"/>
              <w:color w:val="auto"/>
              <w:sz w:val="36"/>
              <w:szCs w:val="36"/>
              <w:lang w:val="zh-TW"/>
            </w:rPr>
          </w:pPr>
        </w:p>
        <w:p w:rsidR="006D7283" w:rsidRPr="00386EF7" w:rsidRDefault="006D7283" w:rsidP="006D7283">
          <w:pPr>
            <w:pStyle w:val="aff4"/>
            <w:spacing w:after="180"/>
            <w:jc w:val="center"/>
            <w:rPr>
              <w:rFonts w:ascii="標楷體" w:eastAsia="標楷體" w:hAnsi="標楷體"/>
              <w:color w:val="auto"/>
              <w:sz w:val="36"/>
              <w:szCs w:val="36"/>
              <w:lang w:val="zh-TW"/>
            </w:rPr>
          </w:pPr>
          <w:r w:rsidRPr="00386EF7">
            <w:rPr>
              <w:rFonts w:ascii="標楷體" w:eastAsia="標楷體" w:hAnsi="標楷體"/>
              <w:color w:val="auto"/>
              <w:sz w:val="36"/>
              <w:szCs w:val="36"/>
              <w:lang w:val="zh-TW"/>
            </w:rPr>
            <w:t>目錄</w:t>
          </w:r>
        </w:p>
        <w:p w:rsidR="002E439A" w:rsidRPr="002E439A" w:rsidRDefault="006D7283">
          <w:pPr>
            <w:pStyle w:val="1f0"/>
            <w:rPr>
              <w:rFonts w:ascii="Times New Roman" w:eastAsiaTheme="minorEastAsia" w:hAnsi="Times New Roman" w:cs="Times New Roman"/>
              <w:b w:val="0"/>
              <w:kern w:val="2"/>
              <w:sz w:val="24"/>
              <w:szCs w:val="22"/>
            </w:rPr>
          </w:pPr>
          <w:r w:rsidRPr="00035447">
            <w:fldChar w:fldCharType="begin"/>
          </w:r>
          <w:r w:rsidRPr="00035447">
            <w:instrText xml:space="preserve"> TOC \o "1-3" \h \z \u </w:instrText>
          </w:r>
          <w:r w:rsidRPr="00035447">
            <w:fldChar w:fldCharType="separate"/>
          </w:r>
          <w:hyperlink w:anchor="_Toc497918681" w:history="1">
            <w:r w:rsidR="002E439A" w:rsidRPr="002E439A">
              <w:rPr>
                <w:rStyle w:val="a4"/>
                <w:rFonts w:ascii="Times New Roman" w:hAnsi="Times New Roman" w:cs="Times New Roman"/>
              </w:rPr>
              <w:t>【摘要】</w:t>
            </w:r>
            <w:r w:rsidR="002E439A" w:rsidRPr="002E439A">
              <w:rPr>
                <w:rFonts w:ascii="Times New Roman" w:hAnsi="Times New Roman" w:cs="Times New Roman"/>
                <w:webHidden/>
              </w:rPr>
              <w:tab/>
            </w:r>
            <w:r w:rsidR="002E439A" w:rsidRPr="002E439A">
              <w:rPr>
                <w:rFonts w:ascii="Times New Roman" w:hAnsi="Times New Roman" w:cs="Times New Roman"/>
                <w:webHidden/>
              </w:rPr>
              <w:fldChar w:fldCharType="begin"/>
            </w:r>
            <w:r w:rsidR="002E439A" w:rsidRPr="002E439A">
              <w:rPr>
                <w:rFonts w:ascii="Times New Roman" w:hAnsi="Times New Roman" w:cs="Times New Roman"/>
                <w:webHidden/>
              </w:rPr>
              <w:instrText xml:space="preserve"> PAGEREF _Toc497918681 \h </w:instrText>
            </w:r>
            <w:r w:rsidR="002E439A" w:rsidRPr="002E439A">
              <w:rPr>
                <w:rFonts w:ascii="Times New Roman" w:hAnsi="Times New Roman" w:cs="Times New Roman"/>
                <w:webHidden/>
              </w:rPr>
            </w:r>
            <w:r w:rsidR="002E439A" w:rsidRPr="002E439A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CD3BFC">
              <w:rPr>
                <w:rFonts w:ascii="Times New Roman" w:hAnsi="Times New Roman" w:cs="Times New Roman"/>
                <w:webHidden/>
              </w:rPr>
              <w:t>i</w:t>
            </w:r>
            <w:r w:rsidR="002E439A" w:rsidRPr="002E439A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  <w:r w:rsidR="008C367A" w:rsidRPr="008C367A">
            <w:rPr>
              <w:rFonts w:hint="eastAsia"/>
            </w:rPr>
            <w:t>-</w:t>
          </w:r>
          <w:r w:rsidR="00793974">
            <w:rPr>
              <w:rFonts w:hint="eastAsia"/>
            </w:rPr>
            <w:t>i</w:t>
          </w:r>
          <w:r w:rsidR="008C367A" w:rsidRPr="008C367A">
            <w:rPr>
              <w:rFonts w:hint="eastAsia"/>
            </w:rPr>
            <w:t>v</w:t>
          </w:r>
        </w:p>
        <w:p w:rsidR="002E439A" w:rsidRPr="002E439A" w:rsidRDefault="00902F1A">
          <w:pPr>
            <w:pStyle w:val="1f0"/>
            <w:rPr>
              <w:rFonts w:ascii="Times New Roman" w:eastAsiaTheme="minorEastAsia" w:hAnsi="Times New Roman" w:cs="Times New Roman"/>
              <w:b w:val="0"/>
              <w:kern w:val="2"/>
              <w:sz w:val="24"/>
              <w:szCs w:val="22"/>
            </w:rPr>
          </w:pPr>
          <w:hyperlink w:anchor="_Toc497918682" w:history="1">
            <w:r w:rsidR="002E439A" w:rsidRPr="002E439A">
              <w:rPr>
                <w:rStyle w:val="a4"/>
                <w:rFonts w:ascii="Times New Roman" w:hAnsi="Times New Roman" w:cs="Times New Roman"/>
              </w:rPr>
              <w:t>壹、</w:t>
            </w:r>
            <w:r w:rsidR="002E439A" w:rsidRPr="002E439A">
              <w:rPr>
                <w:rFonts w:ascii="Times New Roman" w:eastAsiaTheme="minorEastAsia" w:hAnsi="Times New Roman" w:cs="Times New Roman"/>
                <w:b w:val="0"/>
                <w:kern w:val="2"/>
                <w:sz w:val="24"/>
                <w:szCs w:val="22"/>
              </w:rPr>
              <w:tab/>
            </w:r>
            <w:r w:rsidR="002E439A" w:rsidRPr="002E439A">
              <w:rPr>
                <w:rStyle w:val="a4"/>
                <w:rFonts w:ascii="Times New Roman" w:hAnsi="Times New Roman" w:cs="Times New Roman"/>
              </w:rPr>
              <w:t>中國大陸經濟情勢</w:t>
            </w:r>
            <w:r w:rsidR="002E439A" w:rsidRPr="002E439A">
              <w:rPr>
                <w:rFonts w:ascii="Times New Roman" w:hAnsi="Times New Roman" w:cs="Times New Roman"/>
                <w:webHidden/>
              </w:rPr>
              <w:tab/>
            </w:r>
            <w:r w:rsidR="002E439A" w:rsidRPr="002E439A">
              <w:rPr>
                <w:rFonts w:ascii="Times New Roman" w:hAnsi="Times New Roman" w:cs="Times New Roman"/>
                <w:webHidden/>
              </w:rPr>
              <w:fldChar w:fldCharType="begin"/>
            </w:r>
            <w:r w:rsidR="002E439A" w:rsidRPr="002E439A">
              <w:rPr>
                <w:rFonts w:ascii="Times New Roman" w:hAnsi="Times New Roman" w:cs="Times New Roman"/>
                <w:webHidden/>
              </w:rPr>
              <w:instrText xml:space="preserve"> PAGEREF _Toc497918682 \h </w:instrText>
            </w:r>
            <w:r w:rsidR="002E439A" w:rsidRPr="002E439A">
              <w:rPr>
                <w:rFonts w:ascii="Times New Roman" w:hAnsi="Times New Roman" w:cs="Times New Roman"/>
                <w:webHidden/>
              </w:rPr>
            </w:r>
            <w:r w:rsidR="002E439A" w:rsidRPr="002E439A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CD3BFC">
              <w:rPr>
                <w:rFonts w:ascii="Times New Roman" w:hAnsi="Times New Roman" w:cs="Times New Roman"/>
                <w:webHidden/>
              </w:rPr>
              <w:t>1</w:t>
            </w:r>
            <w:r w:rsidR="002E439A" w:rsidRPr="002E439A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2E439A" w:rsidRPr="002E439A" w:rsidRDefault="00902F1A">
          <w:pPr>
            <w:pStyle w:val="26"/>
            <w:rPr>
              <w:rFonts w:ascii="Times New Roman" w:eastAsiaTheme="minorEastAsia" w:hAnsi="Times New Roman" w:cs="Times New Roman"/>
              <w:bCs w:val="0"/>
              <w:kern w:val="2"/>
              <w:sz w:val="24"/>
              <w:szCs w:val="22"/>
            </w:rPr>
          </w:pPr>
          <w:hyperlink w:anchor="_Toc497918683" w:history="1">
            <w:r w:rsidR="002E439A" w:rsidRPr="002E439A">
              <w:rPr>
                <w:rStyle w:val="a4"/>
                <w:rFonts w:ascii="Times New Roman" w:eastAsia="標楷體" w:hAnsi="Times New Roman" w:cs="Times New Roman"/>
              </w:rPr>
              <w:t>一、總體經濟情勢</w:t>
            </w:r>
            <w:r w:rsidR="002E439A" w:rsidRPr="002E439A">
              <w:rPr>
                <w:rFonts w:ascii="Times New Roman" w:hAnsi="Times New Roman" w:cs="Times New Roman"/>
                <w:webHidden/>
              </w:rPr>
              <w:tab/>
            </w:r>
            <w:r w:rsidR="002E439A" w:rsidRPr="002E439A">
              <w:rPr>
                <w:rFonts w:ascii="Times New Roman" w:hAnsi="Times New Roman" w:cs="Times New Roman"/>
                <w:webHidden/>
              </w:rPr>
              <w:fldChar w:fldCharType="begin"/>
            </w:r>
            <w:r w:rsidR="002E439A" w:rsidRPr="002E439A">
              <w:rPr>
                <w:rFonts w:ascii="Times New Roman" w:hAnsi="Times New Roman" w:cs="Times New Roman"/>
                <w:webHidden/>
              </w:rPr>
              <w:instrText xml:space="preserve"> PAGEREF _Toc497918683 \h </w:instrText>
            </w:r>
            <w:r w:rsidR="002E439A" w:rsidRPr="002E439A">
              <w:rPr>
                <w:rFonts w:ascii="Times New Roman" w:hAnsi="Times New Roman" w:cs="Times New Roman"/>
                <w:webHidden/>
              </w:rPr>
            </w:r>
            <w:r w:rsidR="002E439A" w:rsidRPr="002E439A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CD3BFC">
              <w:rPr>
                <w:rFonts w:ascii="Times New Roman" w:hAnsi="Times New Roman" w:cs="Times New Roman"/>
                <w:webHidden/>
              </w:rPr>
              <w:t>1</w:t>
            </w:r>
            <w:r w:rsidR="002E439A" w:rsidRPr="002E439A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2E439A" w:rsidRPr="002E439A" w:rsidRDefault="00902F1A">
          <w:pPr>
            <w:pStyle w:val="26"/>
            <w:rPr>
              <w:rFonts w:ascii="Times New Roman" w:eastAsiaTheme="minorEastAsia" w:hAnsi="Times New Roman" w:cs="Times New Roman"/>
              <w:bCs w:val="0"/>
              <w:kern w:val="2"/>
              <w:sz w:val="24"/>
              <w:szCs w:val="22"/>
            </w:rPr>
          </w:pPr>
          <w:hyperlink w:anchor="_Toc497918684" w:history="1">
            <w:r w:rsidR="002E439A" w:rsidRPr="002E439A">
              <w:rPr>
                <w:rStyle w:val="a4"/>
                <w:rFonts w:ascii="Times New Roman" w:eastAsia="標楷體" w:hAnsi="Times New Roman" w:cs="Times New Roman"/>
              </w:rPr>
              <w:t>二、金融情勢</w:t>
            </w:r>
            <w:r w:rsidR="002E439A" w:rsidRPr="002E439A">
              <w:rPr>
                <w:rFonts w:ascii="Times New Roman" w:hAnsi="Times New Roman" w:cs="Times New Roman"/>
                <w:webHidden/>
              </w:rPr>
              <w:tab/>
            </w:r>
            <w:r w:rsidR="002E439A" w:rsidRPr="002E439A">
              <w:rPr>
                <w:rFonts w:ascii="Times New Roman" w:hAnsi="Times New Roman" w:cs="Times New Roman"/>
                <w:webHidden/>
              </w:rPr>
              <w:fldChar w:fldCharType="begin"/>
            </w:r>
            <w:r w:rsidR="002E439A" w:rsidRPr="002E439A">
              <w:rPr>
                <w:rFonts w:ascii="Times New Roman" w:hAnsi="Times New Roman" w:cs="Times New Roman"/>
                <w:webHidden/>
              </w:rPr>
              <w:instrText xml:space="preserve"> PAGEREF _Toc497918684 \h </w:instrText>
            </w:r>
            <w:r w:rsidR="002E439A" w:rsidRPr="002E439A">
              <w:rPr>
                <w:rFonts w:ascii="Times New Roman" w:hAnsi="Times New Roman" w:cs="Times New Roman"/>
                <w:webHidden/>
              </w:rPr>
            </w:r>
            <w:r w:rsidR="002E439A" w:rsidRPr="002E439A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CD3BFC">
              <w:rPr>
                <w:rFonts w:ascii="Times New Roman" w:hAnsi="Times New Roman" w:cs="Times New Roman"/>
                <w:webHidden/>
              </w:rPr>
              <w:t>1</w:t>
            </w:r>
            <w:r w:rsidR="002E439A" w:rsidRPr="002E439A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2E439A" w:rsidRPr="002E439A" w:rsidRDefault="00902F1A">
          <w:pPr>
            <w:pStyle w:val="26"/>
            <w:rPr>
              <w:rFonts w:ascii="Times New Roman" w:eastAsiaTheme="minorEastAsia" w:hAnsi="Times New Roman" w:cs="Times New Roman"/>
              <w:bCs w:val="0"/>
              <w:kern w:val="2"/>
              <w:sz w:val="24"/>
              <w:szCs w:val="22"/>
            </w:rPr>
          </w:pPr>
          <w:hyperlink w:anchor="_Toc497918685" w:history="1">
            <w:r w:rsidR="002E439A" w:rsidRPr="002E439A">
              <w:rPr>
                <w:rStyle w:val="a4"/>
                <w:rFonts w:ascii="Times New Roman" w:eastAsia="標楷體" w:hAnsi="Times New Roman" w:cs="Times New Roman"/>
              </w:rPr>
              <w:t>三、</w:t>
            </w:r>
            <w:r w:rsidR="004F1A34" w:rsidRPr="004F1A34">
              <w:rPr>
                <w:rStyle w:val="a4"/>
                <w:rFonts w:ascii="Times New Roman" w:eastAsia="標楷體" w:hAnsi="Times New Roman" w:cs="Times New Roman" w:hint="eastAsia"/>
              </w:rPr>
              <w:t>中國大陸</w:t>
            </w:r>
            <w:r w:rsidR="004F1A34" w:rsidRPr="004F1A34">
              <w:rPr>
                <w:rStyle w:val="a4"/>
                <w:rFonts w:ascii="Times New Roman" w:eastAsia="標楷體" w:hAnsi="Times New Roman" w:cs="Times New Roman" w:hint="eastAsia"/>
              </w:rPr>
              <w:t>2018</w:t>
            </w:r>
            <w:r w:rsidR="004F1A34" w:rsidRPr="004F1A34">
              <w:rPr>
                <w:rStyle w:val="a4"/>
                <w:rFonts w:ascii="Times New Roman" w:eastAsia="標楷體" w:hAnsi="Times New Roman" w:cs="Times New Roman" w:hint="eastAsia"/>
              </w:rPr>
              <w:t>年經濟情勢展望</w:t>
            </w:r>
            <w:r w:rsidR="002E439A" w:rsidRPr="002E439A">
              <w:rPr>
                <w:rFonts w:ascii="Times New Roman" w:hAnsi="Times New Roman" w:cs="Times New Roman"/>
                <w:webHidden/>
              </w:rPr>
              <w:tab/>
            </w:r>
          </w:hyperlink>
          <w:r w:rsidR="00947E1B">
            <w:rPr>
              <w:rFonts w:ascii="Times New Roman" w:hAnsi="Times New Roman" w:cs="Times New Roman" w:hint="eastAsia"/>
            </w:rPr>
            <w:t>9</w:t>
          </w:r>
        </w:p>
        <w:p w:rsidR="002E439A" w:rsidRPr="002E439A" w:rsidRDefault="00902F1A">
          <w:pPr>
            <w:pStyle w:val="1f0"/>
            <w:rPr>
              <w:rFonts w:ascii="Times New Roman" w:eastAsiaTheme="minorEastAsia" w:hAnsi="Times New Roman" w:cs="Times New Roman"/>
              <w:b w:val="0"/>
              <w:kern w:val="2"/>
              <w:sz w:val="24"/>
              <w:szCs w:val="22"/>
            </w:rPr>
          </w:pPr>
          <w:hyperlink w:anchor="_Toc497918686" w:history="1">
            <w:r w:rsidR="002E439A" w:rsidRPr="002E439A">
              <w:rPr>
                <w:rStyle w:val="a4"/>
                <w:rFonts w:ascii="Times New Roman" w:hAnsi="Times New Roman" w:cs="Times New Roman"/>
              </w:rPr>
              <w:t>貳、兩岸經貿情勢</w:t>
            </w:r>
            <w:r w:rsidR="002E439A" w:rsidRPr="002E439A">
              <w:rPr>
                <w:rFonts w:ascii="Times New Roman" w:hAnsi="Times New Roman" w:cs="Times New Roman"/>
                <w:webHidden/>
              </w:rPr>
              <w:tab/>
            </w:r>
            <w:r w:rsidR="002E439A" w:rsidRPr="002E439A">
              <w:rPr>
                <w:rFonts w:ascii="Times New Roman" w:hAnsi="Times New Roman" w:cs="Times New Roman"/>
                <w:webHidden/>
              </w:rPr>
              <w:fldChar w:fldCharType="begin"/>
            </w:r>
            <w:r w:rsidR="002E439A" w:rsidRPr="002E439A">
              <w:rPr>
                <w:rFonts w:ascii="Times New Roman" w:hAnsi="Times New Roman" w:cs="Times New Roman"/>
                <w:webHidden/>
              </w:rPr>
              <w:instrText xml:space="preserve"> PAGEREF _Toc497918686 \h </w:instrText>
            </w:r>
            <w:r w:rsidR="002E439A" w:rsidRPr="002E439A">
              <w:rPr>
                <w:rFonts w:ascii="Times New Roman" w:hAnsi="Times New Roman" w:cs="Times New Roman"/>
                <w:webHidden/>
              </w:rPr>
            </w:r>
            <w:r w:rsidR="002E439A" w:rsidRPr="002E439A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CD3BFC">
              <w:rPr>
                <w:rFonts w:ascii="Times New Roman" w:hAnsi="Times New Roman" w:cs="Times New Roman"/>
                <w:webHidden/>
              </w:rPr>
              <w:t>9</w:t>
            </w:r>
            <w:r w:rsidR="002E439A" w:rsidRPr="002E439A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2E439A" w:rsidRPr="002E439A" w:rsidRDefault="00902F1A">
          <w:pPr>
            <w:pStyle w:val="26"/>
            <w:rPr>
              <w:rFonts w:ascii="Times New Roman" w:eastAsiaTheme="minorEastAsia" w:hAnsi="Times New Roman" w:cs="Times New Roman"/>
              <w:bCs w:val="0"/>
              <w:kern w:val="2"/>
              <w:sz w:val="24"/>
              <w:szCs w:val="22"/>
            </w:rPr>
          </w:pPr>
          <w:hyperlink w:anchor="_Toc497918687" w:history="1">
            <w:r w:rsidR="002E439A" w:rsidRPr="002E439A">
              <w:rPr>
                <w:rStyle w:val="a4"/>
                <w:rFonts w:ascii="Times New Roman" w:eastAsia="標楷體" w:hAnsi="Times New Roman" w:cs="Times New Roman"/>
              </w:rPr>
              <w:t>一、雙邊投資</w:t>
            </w:r>
            <w:r w:rsidR="002E439A" w:rsidRPr="002E439A">
              <w:rPr>
                <w:rFonts w:ascii="Times New Roman" w:hAnsi="Times New Roman" w:cs="Times New Roman"/>
                <w:webHidden/>
              </w:rPr>
              <w:tab/>
            </w:r>
          </w:hyperlink>
          <w:r w:rsidR="00E31807">
            <w:rPr>
              <w:rFonts w:ascii="Times New Roman" w:hAnsi="Times New Roman" w:cs="Times New Roman" w:hint="eastAsia"/>
            </w:rPr>
            <w:t>1</w:t>
          </w:r>
          <w:r w:rsidR="00947E1B">
            <w:rPr>
              <w:rFonts w:ascii="Times New Roman" w:hAnsi="Times New Roman" w:cs="Times New Roman" w:hint="eastAsia"/>
            </w:rPr>
            <w:t>5</w:t>
          </w:r>
        </w:p>
        <w:p w:rsidR="002E439A" w:rsidRPr="002E439A" w:rsidRDefault="00902F1A">
          <w:pPr>
            <w:pStyle w:val="26"/>
            <w:rPr>
              <w:rFonts w:ascii="Times New Roman" w:eastAsiaTheme="minorEastAsia" w:hAnsi="Times New Roman" w:cs="Times New Roman"/>
              <w:bCs w:val="0"/>
              <w:kern w:val="2"/>
              <w:sz w:val="24"/>
              <w:szCs w:val="22"/>
            </w:rPr>
          </w:pPr>
          <w:hyperlink w:anchor="_Toc497918688" w:history="1">
            <w:r w:rsidR="002E439A" w:rsidRPr="002E439A">
              <w:rPr>
                <w:rStyle w:val="a4"/>
                <w:rFonts w:ascii="Times New Roman" w:eastAsia="標楷體" w:hAnsi="Times New Roman" w:cs="Times New Roman"/>
              </w:rPr>
              <w:t>二、雙邊貿易</w:t>
            </w:r>
            <w:r w:rsidR="002E439A" w:rsidRPr="002E439A">
              <w:rPr>
                <w:rFonts w:ascii="Times New Roman" w:hAnsi="Times New Roman" w:cs="Times New Roman"/>
                <w:webHidden/>
              </w:rPr>
              <w:tab/>
            </w:r>
          </w:hyperlink>
          <w:r w:rsidR="00E31807">
            <w:rPr>
              <w:rFonts w:ascii="Times New Roman" w:hAnsi="Times New Roman" w:cs="Times New Roman" w:hint="eastAsia"/>
            </w:rPr>
            <w:t>1</w:t>
          </w:r>
          <w:r w:rsidR="00947E1B">
            <w:rPr>
              <w:rFonts w:ascii="Times New Roman" w:hAnsi="Times New Roman" w:cs="Times New Roman" w:hint="eastAsia"/>
            </w:rPr>
            <w:t>8</w:t>
          </w:r>
        </w:p>
        <w:p w:rsidR="002E439A" w:rsidRPr="002E439A" w:rsidRDefault="00902F1A">
          <w:pPr>
            <w:pStyle w:val="26"/>
            <w:rPr>
              <w:rFonts w:ascii="Times New Roman" w:eastAsiaTheme="minorEastAsia" w:hAnsi="Times New Roman" w:cs="Times New Roman"/>
              <w:bCs w:val="0"/>
              <w:kern w:val="2"/>
              <w:sz w:val="24"/>
              <w:szCs w:val="22"/>
            </w:rPr>
          </w:pPr>
          <w:hyperlink w:anchor="_Toc497918689" w:history="1">
            <w:r w:rsidR="002E439A" w:rsidRPr="002E439A">
              <w:rPr>
                <w:rStyle w:val="a4"/>
                <w:rFonts w:ascii="Times New Roman" w:eastAsia="標楷體" w:hAnsi="Times New Roman" w:cs="Times New Roman"/>
              </w:rPr>
              <w:t>三、陸客來臺</w:t>
            </w:r>
            <w:r w:rsidR="002E439A" w:rsidRPr="002E439A">
              <w:rPr>
                <w:rFonts w:ascii="Times New Roman" w:hAnsi="Times New Roman" w:cs="Times New Roman"/>
                <w:webHidden/>
              </w:rPr>
              <w:tab/>
            </w:r>
            <w:r w:rsidR="00947E1B">
              <w:rPr>
                <w:rFonts w:ascii="Times New Roman" w:hAnsi="Times New Roman" w:cs="Times New Roman" w:hint="eastAsia"/>
                <w:webHidden/>
              </w:rPr>
              <w:t>20</w:t>
            </w:r>
          </w:hyperlink>
        </w:p>
        <w:p w:rsidR="006D7283" w:rsidRPr="00B0557D" w:rsidRDefault="006D7283" w:rsidP="00386EF7">
          <w:pPr>
            <w:pStyle w:val="1f0"/>
          </w:pPr>
          <w:r w:rsidRPr="00035447">
            <w:fldChar w:fldCharType="end"/>
          </w:r>
          <w:r w:rsidR="00CC4442">
            <w:t xml:space="preserve"> </w:t>
          </w:r>
        </w:p>
      </w:sdtContent>
    </w:sdt>
    <w:p w:rsidR="005E4731" w:rsidRPr="00BA6BCE" w:rsidRDefault="005E4731" w:rsidP="005E4731">
      <w:pPr>
        <w:snapToGrid w:val="0"/>
        <w:spacing w:afterLines="50" w:after="180" w:line="400" w:lineRule="atLeast"/>
        <w:jc w:val="center"/>
        <w:rPr>
          <w:rFonts w:ascii="微軟正黑體" w:eastAsia="微軟正黑體" w:hAnsi="微軟正黑體" w:cstheme="minorBidi"/>
          <w:sz w:val="32"/>
          <w:szCs w:val="22"/>
        </w:rPr>
        <w:sectPr w:rsidR="005E4731" w:rsidRPr="00BA6BCE" w:rsidSect="00464AD0">
          <w:footerReference w:type="even" r:id="rId13"/>
          <w:footerReference w:type="default" r:id="rId14"/>
          <w:pgSz w:w="11906" w:h="16838"/>
          <w:pgMar w:top="1440" w:right="1800" w:bottom="1440" w:left="1800" w:header="851" w:footer="992" w:gutter="0"/>
          <w:pgNumType w:fmt="lowerRoman" w:start="1"/>
          <w:cols w:space="425"/>
          <w:titlePg/>
          <w:docGrid w:type="lines" w:linePitch="360"/>
        </w:sectPr>
      </w:pPr>
    </w:p>
    <w:p w:rsidR="005E4731" w:rsidRPr="0017769E" w:rsidRDefault="005E4731">
      <w:pPr>
        <w:widowControl/>
        <w:rPr>
          <w:rFonts w:ascii="微軟正黑體" w:eastAsia="微軟正黑體" w:hAnsi="微軟正黑體" w:cstheme="minorBidi"/>
          <w:sz w:val="32"/>
          <w:szCs w:val="22"/>
        </w:rPr>
      </w:pPr>
      <w:r w:rsidRPr="0017769E">
        <w:rPr>
          <w:rFonts w:ascii="微軟正黑體" w:eastAsia="微軟正黑體" w:hAnsi="微軟正黑體" w:cstheme="minorBidi"/>
          <w:sz w:val="32"/>
          <w:szCs w:val="22"/>
        </w:rPr>
        <w:lastRenderedPageBreak/>
        <w:br w:type="page"/>
      </w:r>
    </w:p>
    <w:p w:rsidR="00C12D6A" w:rsidRPr="0017769E" w:rsidRDefault="00C12D6A" w:rsidP="00366170">
      <w:pPr>
        <w:snapToGrid w:val="0"/>
        <w:spacing w:afterLines="50" w:after="180" w:line="400" w:lineRule="atLeast"/>
        <w:rPr>
          <w:rFonts w:ascii="微軟正黑體" w:eastAsia="微軟正黑體" w:hAnsi="微軟正黑體" w:cstheme="minorBidi"/>
          <w:sz w:val="32"/>
          <w:szCs w:val="22"/>
        </w:rPr>
        <w:sectPr w:rsidR="00C12D6A" w:rsidRPr="0017769E" w:rsidSect="00464AD0">
          <w:footerReference w:type="even" r:id="rId15"/>
          <w:footerReference w:type="default" r:id="rId16"/>
          <w:pgSz w:w="11906" w:h="16838"/>
          <w:pgMar w:top="1440" w:right="1800" w:bottom="1440" w:left="1800" w:header="851" w:footer="992" w:gutter="0"/>
          <w:pgNumType w:fmt="lowerRoman" w:start="1"/>
          <w:cols w:space="425"/>
          <w:titlePg/>
          <w:docGrid w:type="lines" w:linePitch="360"/>
        </w:sectPr>
      </w:pPr>
    </w:p>
    <w:p w:rsidR="007F39A8" w:rsidRPr="00D257DD" w:rsidRDefault="007F39A8" w:rsidP="007F39A8">
      <w:pPr>
        <w:pStyle w:val="11"/>
        <w:spacing w:beforeLines="30" w:before="108" w:after="0" w:line="480" w:lineRule="exact"/>
        <w:jc w:val="center"/>
        <w:rPr>
          <w:rFonts w:ascii="標楷體" w:eastAsia="標楷體" w:hAnsi="標楷體"/>
          <w:kern w:val="0"/>
          <w:sz w:val="40"/>
          <w:szCs w:val="40"/>
        </w:rPr>
      </w:pPr>
      <w:bookmarkStart w:id="0" w:name="_Toc419714144"/>
      <w:bookmarkStart w:id="1" w:name="_Toc497918681"/>
      <w:r w:rsidRPr="00D257DD">
        <w:rPr>
          <w:rFonts w:ascii="標楷體" w:eastAsia="標楷體" w:hAnsi="標楷體" w:hint="eastAsia"/>
          <w:kern w:val="0"/>
          <w:sz w:val="40"/>
          <w:szCs w:val="40"/>
        </w:rPr>
        <w:lastRenderedPageBreak/>
        <w:t>【摘要】</w:t>
      </w:r>
      <w:bookmarkEnd w:id="0"/>
      <w:bookmarkEnd w:id="1"/>
    </w:p>
    <w:p w:rsidR="001A4EDD" w:rsidRPr="006E7090" w:rsidRDefault="001A4EDD" w:rsidP="001A4EDD">
      <w:pPr>
        <w:widowControl/>
        <w:snapToGrid w:val="0"/>
        <w:spacing w:beforeLines="25" w:before="90" w:line="440" w:lineRule="exact"/>
        <w:jc w:val="both"/>
        <w:rPr>
          <w:rFonts w:ascii="標楷體" w:eastAsia="標楷體" w:hAnsi="標楷體"/>
          <w:b/>
          <w:color w:val="000000" w:themeColor="text1"/>
          <w:kern w:val="0"/>
          <w:sz w:val="28"/>
          <w:szCs w:val="32"/>
        </w:rPr>
      </w:pPr>
      <w:r w:rsidRPr="006E7090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32"/>
        </w:rPr>
        <w:t>【中國大陸經濟】</w:t>
      </w:r>
    </w:p>
    <w:p w:rsidR="001A4EDD" w:rsidRPr="00793974" w:rsidRDefault="00DA1F95" w:rsidP="00DA1F95">
      <w:pPr>
        <w:widowControl/>
        <w:snapToGrid w:val="0"/>
        <w:spacing w:beforeLines="25" w:before="90" w:afterLines="23" w:after="82" w:line="440" w:lineRule="exact"/>
        <w:ind w:firstLineChars="200" w:firstLine="560"/>
        <w:jc w:val="both"/>
        <w:rPr>
          <w:rFonts w:eastAsia="標楷體"/>
          <w:color w:val="000000" w:themeColor="text1"/>
          <w:kern w:val="0"/>
          <w:sz w:val="28"/>
          <w:szCs w:val="32"/>
        </w:rPr>
      </w:pPr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受</w:t>
      </w:r>
      <w:r w:rsidR="00E66BC9">
        <w:rPr>
          <w:rFonts w:eastAsia="標楷體" w:hint="eastAsia"/>
          <w:color w:val="000000" w:themeColor="text1"/>
          <w:kern w:val="0"/>
          <w:sz w:val="28"/>
          <w:szCs w:val="32"/>
        </w:rPr>
        <w:t>惠於</w:t>
      </w:r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全球經濟廣泛復甦，全球貿易反彈，中國大陸經濟呈回升走勢，據國家統計局公布數據顯示，</w:t>
      </w:r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2017</w:t>
      </w:r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年全年經濟成長達</w:t>
      </w:r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6.9%</w:t>
      </w:r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，較上年增加</w:t>
      </w:r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0.2</w:t>
      </w:r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個百分</w:t>
      </w:r>
      <w:r w:rsidRPr="002D7730">
        <w:rPr>
          <w:rFonts w:eastAsia="標楷體" w:hint="eastAsia"/>
          <w:kern w:val="0"/>
          <w:sz w:val="28"/>
          <w:szCs w:val="32"/>
        </w:rPr>
        <w:t>點，為</w:t>
      </w:r>
      <w:r w:rsidR="000A248F" w:rsidRPr="002D7730">
        <w:rPr>
          <w:rFonts w:eastAsia="標楷體" w:hint="eastAsia"/>
          <w:kern w:val="0"/>
          <w:sz w:val="28"/>
          <w:szCs w:val="32"/>
        </w:rPr>
        <w:t>連續</w:t>
      </w:r>
      <w:r w:rsidR="00453E30" w:rsidRPr="002D7730">
        <w:rPr>
          <w:rFonts w:eastAsia="標楷體" w:hint="eastAsia"/>
          <w:kern w:val="0"/>
          <w:sz w:val="28"/>
          <w:szCs w:val="32"/>
        </w:rPr>
        <w:t>6</w:t>
      </w:r>
      <w:r w:rsidR="000A248F" w:rsidRPr="002D7730">
        <w:rPr>
          <w:rFonts w:eastAsia="標楷體" w:hint="eastAsia"/>
          <w:kern w:val="0"/>
          <w:sz w:val="28"/>
          <w:szCs w:val="32"/>
        </w:rPr>
        <w:t>年下降後首度回升</w:t>
      </w:r>
      <w:r w:rsidRPr="002D7730">
        <w:rPr>
          <w:rFonts w:eastAsia="標楷體" w:hint="eastAsia"/>
          <w:kern w:val="0"/>
          <w:sz w:val="28"/>
          <w:szCs w:val="32"/>
        </w:rPr>
        <w:t>。展望</w:t>
      </w:r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未來，據</w:t>
      </w:r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IMF</w:t>
      </w:r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、世界銀行及</w:t>
      </w:r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OECD</w:t>
      </w:r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等機構預估，</w:t>
      </w:r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2018</w:t>
      </w:r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年中國大陸經濟成長率</w:t>
      </w:r>
      <w:r w:rsidR="00D15F77">
        <w:rPr>
          <w:rFonts w:eastAsia="標楷體" w:hint="eastAsia"/>
          <w:color w:val="000000" w:themeColor="text1"/>
          <w:kern w:val="0"/>
          <w:sz w:val="28"/>
          <w:szCs w:val="32"/>
        </w:rPr>
        <w:t>將</w:t>
      </w:r>
      <w:r w:rsidR="00E66BC9">
        <w:rPr>
          <w:rFonts w:eastAsia="標楷體" w:hint="eastAsia"/>
          <w:color w:val="000000" w:themeColor="text1"/>
          <w:kern w:val="0"/>
          <w:sz w:val="28"/>
          <w:szCs w:val="32"/>
        </w:rPr>
        <w:t>介於</w:t>
      </w:r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6.4%</w:t>
      </w:r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至</w:t>
      </w:r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6.6%</w:t>
      </w:r>
      <w:proofErr w:type="gramStart"/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之間，</w:t>
      </w:r>
      <w:proofErr w:type="gramEnd"/>
      <w:r w:rsidR="00E96913">
        <w:rPr>
          <w:rFonts w:eastAsia="標楷體" w:hint="eastAsia"/>
          <w:color w:val="000000" w:themeColor="text1"/>
          <w:kern w:val="0"/>
          <w:sz w:val="28"/>
          <w:szCs w:val="32"/>
        </w:rPr>
        <w:t>顯示</w:t>
      </w:r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經濟成長動能仍</w:t>
      </w:r>
      <w:r w:rsidR="00E96913">
        <w:rPr>
          <w:rFonts w:eastAsia="標楷體" w:hint="eastAsia"/>
          <w:color w:val="000000" w:themeColor="text1"/>
          <w:kern w:val="0"/>
          <w:sz w:val="28"/>
          <w:szCs w:val="32"/>
        </w:rPr>
        <w:t>然</w:t>
      </w:r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穩健。</w:t>
      </w:r>
    </w:p>
    <w:p w:rsidR="001A4EDD" w:rsidRPr="00793974" w:rsidRDefault="001A4EDD" w:rsidP="001A4EDD">
      <w:pPr>
        <w:widowControl/>
        <w:snapToGrid w:val="0"/>
        <w:spacing w:beforeLines="25" w:before="90" w:afterLines="23" w:after="82" w:line="440" w:lineRule="exact"/>
        <w:jc w:val="both"/>
        <w:rPr>
          <w:rFonts w:eastAsia="標楷體"/>
          <w:b/>
          <w:color w:val="000000" w:themeColor="text1"/>
          <w:kern w:val="0"/>
          <w:sz w:val="28"/>
          <w:szCs w:val="32"/>
        </w:rPr>
      </w:pPr>
      <w:r w:rsidRPr="00793974">
        <w:rPr>
          <w:rFonts w:eastAsia="標楷體"/>
          <w:b/>
          <w:color w:val="000000" w:themeColor="text1"/>
          <w:kern w:val="0"/>
          <w:sz w:val="28"/>
          <w:szCs w:val="32"/>
        </w:rPr>
        <w:t>一、總體經濟情勢</w:t>
      </w:r>
    </w:p>
    <w:p w:rsidR="001A4EDD" w:rsidRPr="00E96886" w:rsidRDefault="00DA1F95" w:rsidP="00DA1F95">
      <w:pPr>
        <w:pStyle w:val="af9"/>
        <w:widowControl/>
        <w:snapToGrid w:val="0"/>
        <w:spacing w:beforeLines="25" w:before="90" w:line="480" w:lineRule="exact"/>
        <w:ind w:leftChars="0" w:left="0" w:firstLineChars="202" w:firstLine="566"/>
        <w:jc w:val="both"/>
        <w:rPr>
          <w:rFonts w:eastAsia="標楷體"/>
          <w:color w:val="FF0000"/>
          <w:kern w:val="0"/>
          <w:sz w:val="28"/>
          <w:szCs w:val="32"/>
        </w:rPr>
      </w:pPr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中國大陸</w:t>
      </w:r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2017</w:t>
      </w:r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年</w:t>
      </w:r>
      <w:r w:rsidR="00902F1A">
        <w:rPr>
          <w:rFonts w:eastAsia="標楷體" w:hint="eastAsia"/>
          <w:color w:val="000000" w:themeColor="text1"/>
          <w:kern w:val="0"/>
          <w:sz w:val="28"/>
          <w:szCs w:val="32"/>
        </w:rPr>
        <w:t>第</w:t>
      </w:r>
      <w:r w:rsidR="00E96913">
        <w:rPr>
          <w:rFonts w:eastAsia="標楷體" w:hint="eastAsia"/>
          <w:color w:val="000000" w:themeColor="text1"/>
          <w:kern w:val="0"/>
          <w:sz w:val="28"/>
          <w:szCs w:val="32"/>
        </w:rPr>
        <w:t>1</w:t>
      </w:r>
      <w:r w:rsidR="00E96913">
        <w:rPr>
          <w:rFonts w:eastAsia="標楷體" w:hint="eastAsia"/>
          <w:color w:val="000000" w:themeColor="text1"/>
          <w:kern w:val="0"/>
          <w:sz w:val="28"/>
          <w:szCs w:val="32"/>
        </w:rPr>
        <w:t>至</w:t>
      </w:r>
      <w:r w:rsidR="00E96913">
        <w:rPr>
          <w:rFonts w:eastAsia="標楷體" w:hint="eastAsia"/>
          <w:color w:val="000000" w:themeColor="text1"/>
          <w:kern w:val="0"/>
          <w:sz w:val="28"/>
          <w:szCs w:val="32"/>
        </w:rPr>
        <w:t>4</w:t>
      </w:r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季經濟成長率分別為</w:t>
      </w:r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6.9%</w:t>
      </w:r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、</w:t>
      </w:r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6.9%</w:t>
      </w:r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、</w:t>
      </w:r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6.8%</w:t>
      </w:r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及</w:t>
      </w:r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6.8%</w:t>
      </w:r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，</w:t>
      </w:r>
      <w:r w:rsidR="00E66BC9">
        <w:rPr>
          <w:rFonts w:eastAsia="標楷體" w:hint="eastAsia"/>
          <w:color w:val="000000" w:themeColor="text1"/>
          <w:kern w:val="0"/>
          <w:sz w:val="28"/>
          <w:szCs w:val="32"/>
        </w:rPr>
        <w:t>下半年較上半年略為</w:t>
      </w:r>
      <w:r w:rsidR="00CC578C">
        <w:rPr>
          <w:rFonts w:eastAsia="標楷體" w:hint="eastAsia"/>
          <w:color w:val="000000" w:themeColor="text1"/>
          <w:kern w:val="0"/>
          <w:sz w:val="28"/>
          <w:szCs w:val="32"/>
        </w:rPr>
        <w:t>走</w:t>
      </w:r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緩</w:t>
      </w:r>
      <w:r w:rsidR="00E96913">
        <w:rPr>
          <w:rFonts w:eastAsia="標楷體" w:hint="eastAsia"/>
          <w:color w:val="000000" w:themeColor="text1"/>
          <w:kern w:val="0"/>
          <w:sz w:val="28"/>
          <w:szCs w:val="32"/>
        </w:rPr>
        <w:t>，主要是</w:t>
      </w:r>
      <w:r w:rsidR="00E96913" w:rsidRPr="00DA1F95">
        <w:rPr>
          <w:rFonts w:eastAsia="標楷體" w:hint="eastAsia"/>
          <w:color w:val="000000" w:themeColor="text1"/>
          <w:kern w:val="0"/>
          <w:sz w:val="28"/>
          <w:szCs w:val="32"/>
        </w:rPr>
        <w:t>受投資縮減、抑制信貸及削減過剩產能影響，</w:t>
      </w:r>
      <w:r w:rsidR="00E96913">
        <w:rPr>
          <w:rFonts w:eastAsia="標楷體" w:hint="eastAsia"/>
          <w:color w:val="000000" w:themeColor="text1"/>
          <w:kern w:val="0"/>
          <w:sz w:val="28"/>
          <w:szCs w:val="32"/>
        </w:rPr>
        <w:t>惟外貿強勁回升支撐經濟成長</w:t>
      </w:r>
      <w:r w:rsidR="002C2DA1">
        <w:rPr>
          <w:rFonts w:eastAsia="標楷體" w:hint="eastAsia"/>
          <w:color w:val="000000" w:themeColor="text1"/>
          <w:kern w:val="0"/>
          <w:sz w:val="28"/>
          <w:szCs w:val="32"/>
        </w:rPr>
        <w:t>。</w:t>
      </w:r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主要經濟指標分析如下：</w:t>
      </w:r>
    </w:p>
    <w:p w:rsidR="00DA1F95" w:rsidRPr="00DA1F95" w:rsidRDefault="00DA1F95" w:rsidP="00913E2F">
      <w:pPr>
        <w:widowControl/>
        <w:numPr>
          <w:ilvl w:val="0"/>
          <w:numId w:val="4"/>
        </w:numPr>
        <w:snapToGrid w:val="0"/>
        <w:spacing w:beforeLines="25" w:before="90" w:afterLines="23" w:after="82" w:line="440" w:lineRule="exact"/>
        <w:ind w:left="426"/>
        <w:jc w:val="both"/>
        <w:rPr>
          <w:rFonts w:ascii="標楷體" w:eastAsia="標楷體" w:hAnsi="標楷體"/>
          <w:color w:val="000000" w:themeColor="text1"/>
          <w:kern w:val="0"/>
          <w:sz w:val="28"/>
          <w:szCs w:val="32"/>
        </w:rPr>
      </w:pPr>
      <w:r w:rsidRPr="00DA1F95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32"/>
        </w:rPr>
        <w:t>消費品零售總額成長走緩：</w:t>
      </w:r>
      <w:r w:rsidRPr="00DA1F95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2017年社會消費品零售總額成長10.2</w:t>
      </w:r>
      <w:r w:rsidR="009840DD" w:rsidRPr="00DA1F95">
        <w:rPr>
          <w:rFonts w:eastAsia="標楷體" w:hint="eastAsia"/>
          <w:color w:val="000000" w:themeColor="text1"/>
          <w:kern w:val="0"/>
          <w:sz w:val="28"/>
          <w:szCs w:val="32"/>
        </w:rPr>
        <w:t>%</w:t>
      </w:r>
      <w:r w:rsidRPr="00DA1F95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，較2016年減少0.2個百分點</w:t>
      </w:r>
      <w:r w:rsidR="00913E2F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。</w:t>
      </w:r>
      <w:r w:rsidR="00913E2F" w:rsidRPr="00913E2F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其中，通訊器材、住宿餐飲及休閒娛樂仍維持高成長，是</w:t>
      </w:r>
      <w:r w:rsidR="00913E2F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支撐</w:t>
      </w:r>
      <w:r w:rsidR="00913E2F" w:rsidRPr="00913E2F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消費主要動能，但受到政府對房地產市場調控力道加大</w:t>
      </w:r>
      <w:r w:rsidR="00913E2F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及</w:t>
      </w:r>
      <w:r w:rsidR="00E66BC9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民眾預期</w:t>
      </w:r>
      <w:r w:rsidR="00913E2F" w:rsidRPr="00913E2F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汽車購置稅政策調整影響，</w:t>
      </w:r>
      <w:r w:rsidR="00913E2F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致</w:t>
      </w:r>
      <w:r w:rsidR="00913E2F" w:rsidRPr="00913E2F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建築</w:t>
      </w:r>
      <w:r w:rsidR="00913E2F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及</w:t>
      </w:r>
      <w:r w:rsidR="00913E2F" w:rsidRPr="00913E2F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裝潢材料</w:t>
      </w:r>
      <w:r w:rsidR="00913E2F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與</w:t>
      </w:r>
      <w:r w:rsidR="00913E2F" w:rsidRPr="00913E2F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汽車消費成長減</w:t>
      </w:r>
      <w:r w:rsidR="00913E2F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緩，全年消費</w:t>
      </w:r>
      <w:r w:rsidR="00391957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成長率</w:t>
      </w:r>
      <w:r w:rsidR="00913E2F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較上年回落</w:t>
      </w:r>
      <w:r w:rsidR="00913E2F" w:rsidRPr="00913E2F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。</w:t>
      </w:r>
    </w:p>
    <w:p w:rsidR="00DA1F95" w:rsidRPr="00DA1F95" w:rsidRDefault="00DA1F95" w:rsidP="00DA1F95">
      <w:pPr>
        <w:widowControl/>
        <w:numPr>
          <w:ilvl w:val="0"/>
          <w:numId w:val="4"/>
        </w:numPr>
        <w:snapToGrid w:val="0"/>
        <w:spacing w:beforeLines="25" w:before="90" w:afterLines="23" w:after="82" w:line="440" w:lineRule="exact"/>
        <w:ind w:left="426" w:hanging="426"/>
        <w:jc w:val="both"/>
        <w:rPr>
          <w:rFonts w:ascii="標楷體" w:eastAsia="標楷體" w:hAnsi="標楷體"/>
          <w:b/>
          <w:color w:val="000000" w:themeColor="text1"/>
          <w:kern w:val="0"/>
          <w:sz w:val="28"/>
          <w:szCs w:val="32"/>
        </w:rPr>
      </w:pPr>
      <w:r w:rsidRPr="00DA1F95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32"/>
        </w:rPr>
        <w:t>固定資產投資動能下滑：</w:t>
      </w:r>
      <w:r w:rsidR="00902F1A" w:rsidRPr="00902F1A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因</w:t>
      </w:r>
      <w:r w:rsidRPr="00DA1F95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官方抑制信貸擴張及削減過剩產能，壓低製造業投資成長，中國大陸2017年固定資產投資僅成長7.2</w:t>
      </w:r>
      <w:r w:rsidR="009840DD" w:rsidRPr="00DA1F95">
        <w:rPr>
          <w:rFonts w:eastAsia="標楷體" w:hint="eastAsia"/>
          <w:color w:val="000000" w:themeColor="text1"/>
          <w:kern w:val="0"/>
          <w:sz w:val="28"/>
          <w:szCs w:val="32"/>
        </w:rPr>
        <w:t>%</w:t>
      </w:r>
      <w:r w:rsidRPr="00DA1F95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，較2016年下降0.9個百分點，連續8年成長呈下滑</w:t>
      </w:r>
      <w:r w:rsidRPr="00DA1F95">
        <w:rPr>
          <w:rFonts w:ascii="標楷體" w:eastAsia="標楷體" w:hAnsi="標楷體"/>
          <w:b/>
          <w:color w:val="000000" w:themeColor="text1"/>
          <w:kern w:val="0"/>
          <w:sz w:val="28"/>
          <w:szCs w:val="32"/>
        </w:rPr>
        <w:t>。</w:t>
      </w:r>
    </w:p>
    <w:p w:rsidR="00DA1F95" w:rsidRPr="00DA1F95" w:rsidRDefault="00DA1F95" w:rsidP="00DA1F95">
      <w:pPr>
        <w:widowControl/>
        <w:numPr>
          <w:ilvl w:val="0"/>
          <w:numId w:val="4"/>
        </w:numPr>
        <w:snapToGrid w:val="0"/>
        <w:spacing w:beforeLines="25" w:before="90" w:afterLines="23" w:after="82" w:line="440" w:lineRule="exact"/>
        <w:ind w:left="426" w:hanging="426"/>
        <w:jc w:val="both"/>
        <w:rPr>
          <w:rFonts w:ascii="標楷體" w:eastAsia="標楷體" w:hAnsi="標楷體"/>
          <w:color w:val="000000" w:themeColor="text1"/>
          <w:kern w:val="0"/>
          <w:sz w:val="28"/>
          <w:szCs w:val="32"/>
        </w:rPr>
      </w:pPr>
      <w:r w:rsidRPr="00DA1F95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32"/>
        </w:rPr>
        <w:t>外貿轉為成長：</w:t>
      </w:r>
      <w:r w:rsidRPr="00DA1F95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全球景氣復甦力道加速，帶動中國大陸外貿成長，</w:t>
      </w:r>
      <w:r w:rsidR="00391957" w:rsidRPr="00DA1F95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 xml:space="preserve"> </w:t>
      </w:r>
      <w:r w:rsidRPr="00DA1F95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2017年出口金額為22,634億美元，已</w:t>
      </w:r>
      <w:r w:rsidR="00174688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由</w:t>
      </w:r>
      <w:r w:rsidR="00391957" w:rsidRPr="00DA1F95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連續兩年衰退</w:t>
      </w:r>
      <w:r w:rsidRPr="00DA1F95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轉為成長7.9</w:t>
      </w:r>
      <w:r w:rsidR="009840DD" w:rsidRPr="00DA1F95">
        <w:rPr>
          <w:rFonts w:eastAsia="標楷體" w:hint="eastAsia"/>
          <w:color w:val="000000" w:themeColor="text1"/>
          <w:kern w:val="0"/>
          <w:sz w:val="28"/>
          <w:szCs w:val="32"/>
        </w:rPr>
        <w:t>%</w:t>
      </w:r>
      <w:r w:rsidRPr="00DA1F95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；進口金額為18,409億美元，由上年的衰退5.5</w:t>
      </w:r>
      <w:r w:rsidR="009840DD" w:rsidRPr="00DA1F95">
        <w:rPr>
          <w:rFonts w:eastAsia="標楷體" w:hint="eastAsia"/>
          <w:color w:val="000000" w:themeColor="text1"/>
          <w:kern w:val="0"/>
          <w:sz w:val="28"/>
          <w:szCs w:val="32"/>
        </w:rPr>
        <w:t>%</w:t>
      </w:r>
      <w:r w:rsidRPr="00DA1F95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轉為大幅成長15.9</w:t>
      </w:r>
      <w:r w:rsidR="009840DD" w:rsidRPr="00DA1F95">
        <w:rPr>
          <w:rFonts w:eastAsia="標楷體" w:hint="eastAsia"/>
          <w:color w:val="000000" w:themeColor="text1"/>
          <w:kern w:val="0"/>
          <w:sz w:val="28"/>
          <w:szCs w:val="32"/>
        </w:rPr>
        <w:t>%</w:t>
      </w:r>
      <w:r w:rsidRPr="00DA1F95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。</w:t>
      </w:r>
    </w:p>
    <w:p w:rsidR="00DA1F95" w:rsidRPr="00DA1F95" w:rsidRDefault="00DA1F95" w:rsidP="00DA1F95">
      <w:pPr>
        <w:widowControl/>
        <w:numPr>
          <w:ilvl w:val="0"/>
          <w:numId w:val="4"/>
        </w:numPr>
        <w:snapToGrid w:val="0"/>
        <w:spacing w:beforeLines="25" w:before="90" w:afterLines="23" w:after="82" w:line="440" w:lineRule="exact"/>
        <w:ind w:left="426" w:hanging="426"/>
        <w:jc w:val="both"/>
        <w:rPr>
          <w:rFonts w:ascii="標楷體" w:eastAsia="標楷體" w:hAnsi="標楷體"/>
          <w:b/>
          <w:color w:val="000000" w:themeColor="text1"/>
          <w:kern w:val="0"/>
          <w:sz w:val="28"/>
          <w:szCs w:val="32"/>
        </w:rPr>
      </w:pPr>
      <w:r w:rsidRPr="00DA1F95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32"/>
        </w:rPr>
        <w:t xml:space="preserve">工業生產回溫： </w:t>
      </w:r>
      <w:r w:rsidRPr="00DA1F95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2017年中國大陸全國規模以上工業增加值成長6.6</w:t>
      </w:r>
      <w:r w:rsidR="009840DD" w:rsidRPr="00DA1F95">
        <w:rPr>
          <w:rFonts w:eastAsia="標楷體" w:hint="eastAsia"/>
          <w:color w:val="000000" w:themeColor="text1"/>
          <w:kern w:val="0"/>
          <w:sz w:val="28"/>
          <w:szCs w:val="32"/>
        </w:rPr>
        <w:t>%</w:t>
      </w:r>
      <w:r w:rsidRPr="00DA1F95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，較上年增加0.6個百分點，顯示工業生產近期有回溫跡象。</w:t>
      </w:r>
      <w:proofErr w:type="gramStart"/>
      <w:r w:rsidRPr="00DA1F95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另</w:t>
      </w:r>
      <w:proofErr w:type="gramEnd"/>
      <w:r w:rsidRPr="00DA1F95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，12月官方製造業PMI雖較上月下跌0.2個百分點，但2017 年全年 PMI 一直保持在 51</w:t>
      </w:r>
      <w:r w:rsidR="009840DD" w:rsidRPr="00DA1F95">
        <w:rPr>
          <w:rFonts w:eastAsia="標楷體" w:hint="eastAsia"/>
          <w:color w:val="000000" w:themeColor="text1"/>
          <w:kern w:val="0"/>
          <w:sz w:val="28"/>
          <w:szCs w:val="32"/>
        </w:rPr>
        <w:t>%</w:t>
      </w:r>
      <w:r w:rsidRPr="00DA1F95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以上，</w:t>
      </w:r>
      <w:r w:rsidR="00391957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顯示製造業動能仍強</w:t>
      </w:r>
      <w:r w:rsidRPr="00DA1F95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。</w:t>
      </w:r>
    </w:p>
    <w:p w:rsidR="00DA1F95" w:rsidRPr="00902F1A" w:rsidRDefault="00DA1F95" w:rsidP="00DA1F95">
      <w:pPr>
        <w:widowControl/>
        <w:numPr>
          <w:ilvl w:val="0"/>
          <w:numId w:val="4"/>
        </w:numPr>
        <w:snapToGrid w:val="0"/>
        <w:spacing w:beforeLines="25" w:before="90" w:afterLines="23" w:after="82" w:line="440" w:lineRule="exact"/>
        <w:ind w:left="426" w:hanging="426"/>
        <w:jc w:val="both"/>
        <w:rPr>
          <w:rFonts w:ascii="標楷體" w:eastAsia="標楷體" w:hAnsi="標楷體"/>
          <w:color w:val="000000" w:themeColor="text1"/>
          <w:kern w:val="0"/>
          <w:sz w:val="28"/>
          <w:szCs w:val="32"/>
        </w:rPr>
      </w:pPr>
      <w:r w:rsidRPr="00DA1F95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32"/>
        </w:rPr>
        <w:lastRenderedPageBreak/>
        <w:t xml:space="preserve">物價走勢平穩： </w:t>
      </w:r>
      <w:r w:rsidRPr="00DA1F95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2017年全國居民消費價格指數(CPI)上漲1.6</w:t>
      </w:r>
      <w:r w:rsidR="009840DD" w:rsidRPr="00902F1A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%</w:t>
      </w:r>
      <w:r w:rsidRPr="00DA1F95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，漲幅較上年減少0.4個百分點，其中食品價格下降1.4</w:t>
      </w:r>
      <w:r w:rsidR="009840DD" w:rsidRPr="00902F1A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%</w:t>
      </w:r>
      <w:r w:rsidRPr="00DA1F95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，是自2003年以來首次下降。</w:t>
      </w:r>
      <w:proofErr w:type="gramStart"/>
      <w:r w:rsidRPr="00DA1F95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此外，</w:t>
      </w:r>
      <w:proofErr w:type="gramEnd"/>
      <w:r w:rsidRPr="00DA1F95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在生產者價格指數（PPI）方面，受國際油價、鐵礦砂價格上漲影響，2017年PPI上漲6.3</w:t>
      </w:r>
      <w:r w:rsidR="009840DD" w:rsidRPr="00902F1A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%</w:t>
      </w:r>
      <w:r w:rsidRPr="00DA1F95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，結束自2012年以來連續5年下降的態勢。</w:t>
      </w:r>
    </w:p>
    <w:p w:rsidR="001A4EDD" w:rsidRPr="00902F1A" w:rsidRDefault="001A4EDD" w:rsidP="00DA1F95">
      <w:pPr>
        <w:widowControl/>
        <w:snapToGrid w:val="0"/>
        <w:spacing w:beforeLines="25" w:before="90" w:afterLines="23" w:after="82" w:line="440" w:lineRule="exact"/>
        <w:jc w:val="both"/>
        <w:rPr>
          <w:rFonts w:ascii="標楷體" w:eastAsia="標楷體" w:hAnsi="標楷體"/>
          <w:b/>
          <w:color w:val="000000" w:themeColor="text1"/>
          <w:kern w:val="0"/>
          <w:sz w:val="28"/>
          <w:szCs w:val="32"/>
        </w:rPr>
      </w:pPr>
      <w:r w:rsidRPr="00902F1A">
        <w:rPr>
          <w:rFonts w:ascii="標楷體" w:eastAsia="標楷體" w:hAnsi="標楷體"/>
          <w:b/>
          <w:color w:val="000000" w:themeColor="text1"/>
          <w:kern w:val="0"/>
          <w:sz w:val="28"/>
          <w:szCs w:val="32"/>
        </w:rPr>
        <w:t>二、金融情勢</w:t>
      </w:r>
    </w:p>
    <w:p w:rsidR="001A4EDD" w:rsidRPr="00902F1A" w:rsidRDefault="002C2DA1" w:rsidP="002C2DA1">
      <w:pPr>
        <w:pStyle w:val="af9"/>
        <w:widowControl/>
        <w:snapToGrid w:val="0"/>
        <w:spacing w:beforeLines="25" w:before="90" w:line="480" w:lineRule="exact"/>
        <w:ind w:leftChars="0" w:left="0" w:firstLineChars="202" w:firstLine="566"/>
        <w:jc w:val="both"/>
        <w:rPr>
          <w:rFonts w:ascii="標楷體" w:eastAsia="標楷體" w:hAnsi="標楷體"/>
          <w:color w:val="000000" w:themeColor="text1"/>
          <w:kern w:val="0"/>
          <w:sz w:val="28"/>
          <w:szCs w:val="32"/>
        </w:rPr>
      </w:pPr>
      <w:r w:rsidRPr="00902F1A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隨著中國大陸持續推行金融去槓桿政策及執行嚴格的資本管制，整體金融風險略降。主要金融情勢說明如下：</w:t>
      </w:r>
    </w:p>
    <w:p w:rsidR="001A4EDD" w:rsidRPr="00902F1A" w:rsidRDefault="00DC02F8" w:rsidP="00853ABB">
      <w:pPr>
        <w:pStyle w:val="af9"/>
        <w:widowControl/>
        <w:numPr>
          <w:ilvl w:val="0"/>
          <w:numId w:val="4"/>
        </w:numPr>
        <w:snapToGrid w:val="0"/>
        <w:spacing w:beforeLines="25" w:before="90" w:line="480" w:lineRule="exact"/>
        <w:ind w:leftChars="0" w:left="426"/>
        <w:jc w:val="both"/>
        <w:rPr>
          <w:rFonts w:ascii="標楷體" w:eastAsia="標楷體" w:hAnsi="標楷體"/>
          <w:color w:val="000000" w:themeColor="text1"/>
          <w:kern w:val="0"/>
          <w:sz w:val="28"/>
          <w:szCs w:val="32"/>
        </w:rPr>
      </w:pPr>
      <w:r w:rsidRPr="00902F1A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32"/>
        </w:rPr>
        <w:t>金融風險微降</w:t>
      </w:r>
      <w:r w:rsidRPr="00902F1A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：2017年底中國大陸M2/GDP為202.7</w:t>
      </w:r>
      <w:r w:rsidR="009840DD" w:rsidRPr="00902F1A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%</w:t>
      </w:r>
      <w:r w:rsidRPr="00902F1A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，較上年的208.4</w:t>
      </w:r>
      <w:r w:rsidR="009840DD" w:rsidRPr="00902F1A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%</w:t>
      </w:r>
      <w:r w:rsidRPr="00902F1A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減少5.7個百分點，為自2011年連續6年上升後首度下降；M1及M2年增率分別為11.8</w:t>
      </w:r>
      <w:r w:rsidR="009840DD" w:rsidRPr="00902F1A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%</w:t>
      </w:r>
      <w:r w:rsidRPr="00902F1A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、8.2</w:t>
      </w:r>
      <w:r w:rsidR="009840DD" w:rsidRPr="00902F1A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%</w:t>
      </w:r>
      <w:r w:rsidRPr="00902F1A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，分別較上年減少9.6及3.1個百分點，金融泡沫風險略為下降。</w:t>
      </w:r>
    </w:p>
    <w:p w:rsidR="001A4EDD" w:rsidRPr="00DC02F8" w:rsidRDefault="00DC02F8" w:rsidP="00A94A61">
      <w:pPr>
        <w:pStyle w:val="af9"/>
        <w:widowControl/>
        <w:numPr>
          <w:ilvl w:val="0"/>
          <w:numId w:val="4"/>
        </w:numPr>
        <w:snapToGrid w:val="0"/>
        <w:spacing w:beforeLines="25" w:before="90" w:line="480" w:lineRule="exact"/>
        <w:ind w:leftChars="0" w:left="42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02F1A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32"/>
        </w:rPr>
        <w:t>社會融資規模增量續創新高</w:t>
      </w:r>
      <w:r w:rsidRPr="00902F1A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：2017年社會融資規模</w:t>
      </w:r>
      <w:r w:rsidR="00391957" w:rsidRPr="00902F1A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增加</w:t>
      </w:r>
      <w:r w:rsidRPr="00902F1A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1</w:t>
      </w:r>
      <w:r w:rsidR="007C72BB" w:rsidRPr="00902F1A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9</w:t>
      </w:r>
      <w:r w:rsidRPr="00902F1A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.</w:t>
      </w:r>
      <w:r w:rsidR="007C72BB" w:rsidRPr="00902F1A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4</w:t>
      </w:r>
      <w:r w:rsidRPr="00902F1A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兆元</w:t>
      </w:r>
      <w:r w:rsidR="00391957" w:rsidRPr="00902F1A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人民幣(以下同)</w:t>
      </w:r>
      <w:r w:rsidRPr="00902F1A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，</w:t>
      </w:r>
      <w:r w:rsidR="00EC15B0" w:rsidRPr="00902F1A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惟</w:t>
      </w:r>
      <w:r w:rsidRPr="00902F1A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增幅</w:t>
      </w:r>
      <w:r w:rsidR="00391957" w:rsidRPr="00902F1A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12.0%</w:t>
      </w:r>
      <w:r w:rsidR="00EC15B0" w:rsidRPr="00902F1A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為</w:t>
      </w:r>
      <w:r w:rsidRPr="00902F1A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近5年最低。其中：銀行貸款（包括人民幣貸款及外幣貸款）增</w:t>
      </w:r>
      <w:r w:rsidR="00391957" w:rsidRPr="00902F1A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加</w:t>
      </w:r>
      <w:r w:rsidRPr="00902F1A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13.8兆元，占社會融資</w:t>
      </w:r>
      <w:r w:rsidR="00902F1A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增幅</w:t>
      </w:r>
      <w:r w:rsidRPr="00902F1A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比重為71.2%，金額及比重皆創下歷年最高；表外融資占整體社會融資規模的比重，由</w:t>
      </w:r>
      <w:r w:rsidR="00391957" w:rsidRPr="00902F1A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2016年</w:t>
      </w:r>
      <w:r w:rsidRPr="00902F1A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6.1</w:t>
      </w:r>
      <w:r w:rsidR="009840DD" w:rsidRPr="00902F1A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%</w:t>
      </w:r>
      <w:r w:rsidRPr="00902F1A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大幅上升至18.4</w:t>
      </w:r>
      <w:r w:rsidR="009840DD" w:rsidRPr="00902F1A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%</w:t>
      </w:r>
      <w:r w:rsidRPr="00902F1A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，值得關注。</w:t>
      </w:r>
    </w:p>
    <w:p w:rsidR="001A4EDD" w:rsidRPr="00DC02F8" w:rsidRDefault="001A4EDD" w:rsidP="006005D5">
      <w:pPr>
        <w:pStyle w:val="af9"/>
        <w:widowControl/>
        <w:numPr>
          <w:ilvl w:val="0"/>
          <w:numId w:val="4"/>
        </w:numPr>
        <w:snapToGrid w:val="0"/>
        <w:spacing w:beforeLines="25" w:before="90" w:line="480" w:lineRule="exact"/>
        <w:ind w:leftChars="0" w:left="426"/>
        <w:jc w:val="both"/>
        <w:rPr>
          <w:rFonts w:eastAsia="標楷體"/>
          <w:b/>
          <w:color w:val="FF0000"/>
          <w:sz w:val="28"/>
          <w:szCs w:val="32"/>
        </w:rPr>
      </w:pPr>
      <w:r w:rsidRPr="00793974">
        <w:rPr>
          <w:rFonts w:eastAsia="標楷體"/>
          <w:b/>
          <w:color w:val="000000" w:themeColor="text1"/>
          <w:sz w:val="28"/>
          <w:szCs w:val="28"/>
        </w:rPr>
        <w:t>股價回升：</w:t>
      </w:r>
      <w:r w:rsidR="006005D5" w:rsidRPr="006005D5">
        <w:rPr>
          <w:rFonts w:eastAsia="標楷體" w:hint="eastAsia"/>
          <w:color w:val="000000" w:themeColor="text1"/>
          <w:sz w:val="28"/>
          <w:szCs w:val="28"/>
        </w:rPr>
        <w:t>2017</w:t>
      </w:r>
      <w:r w:rsidR="006005D5" w:rsidRPr="006005D5">
        <w:rPr>
          <w:rFonts w:eastAsia="標楷體" w:hint="eastAsia"/>
          <w:color w:val="000000" w:themeColor="text1"/>
          <w:sz w:val="28"/>
          <w:szCs w:val="28"/>
        </w:rPr>
        <w:t>年</w:t>
      </w:r>
      <w:r w:rsidR="006005D5" w:rsidRPr="006005D5">
        <w:rPr>
          <w:rFonts w:eastAsia="標楷體" w:hint="eastAsia"/>
          <w:color w:val="000000" w:themeColor="text1"/>
          <w:sz w:val="28"/>
          <w:szCs w:val="28"/>
        </w:rPr>
        <w:t>6</w:t>
      </w:r>
      <w:r w:rsidR="006005D5" w:rsidRPr="006005D5">
        <w:rPr>
          <w:rFonts w:eastAsia="標楷體" w:hint="eastAsia"/>
          <w:color w:val="000000" w:themeColor="text1"/>
          <w:sz w:val="28"/>
          <w:szCs w:val="28"/>
        </w:rPr>
        <w:t>月，摩根士丹利資本國際公司（</w:t>
      </w:r>
      <w:r w:rsidR="006005D5" w:rsidRPr="006005D5">
        <w:rPr>
          <w:rFonts w:eastAsia="標楷體" w:hint="eastAsia"/>
          <w:color w:val="000000" w:themeColor="text1"/>
          <w:sz w:val="28"/>
          <w:szCs w:val="28"/>
        </w:rPr>
        <w:t>Morgan Stanley Capital International , MSCI</w:t>
      </w:r>
      <w:r w:rsidR="006005D5" w:rsidRPr="006005D5">
        <w:rPr>
          <w:rFonts w:eastAsia="標楷體" w:hint="eastAsia"/>
          <w:color w:val="000000" w:themeColor="text1"/>
          <w:sz w:val="28"/>
          <w:szCs w:val="28"/>
        </w:rPr>
        <w:t>）宣布中國大陸</w:t>
      </w:r>
      <w:r w:rsidR="006005D5" w:rsidRPr="006005D5">
        <w:rPr>
          <w:rFonts w:eastAsia="標楷體" w:hint="eastAsia"/>
          <w:color w:val="000000" w:themeColor="text1"/>
          <w:sz w:val="28"/>
          <w:szCs w:val="28"/>
        </w:rPr>
        <w:t>A</w:t>
      </w:r>
      <w:r w:rsidR="006005D5" w:rsidRPr="006005D5">
        <w:rPr>
          <w:rFonts w:eastAsia="標楷體" w:hint="eastAsia"/>
          <w:color w:val="000000" w:themeColor="text1"/>
          <w:sz w:val="28"/>
          <w:szCs w:val="28"/>
        </w:rPr>
        <w:t>股將自</w:t>
      </w:r>
      <w:r w:rsidR="006005D5" w:rsidRPr="006005D5">
        <w:rPr>
          <w:rFonts w:eastAsia="標楷體" w:hint="eastAsia"/>
          <w:color w:val="000000" w:themeColor="text1"/>
          <w:sz w:val="28"/>
          <w:szCs w:val="28"/>
        </w:rPr>
        <w:t>2018</w:t>
      </w:r>
      <w:r w:rsidR="006005D5" w:rsidRPr="006005D5">
        <w:rPr>
          <w:rFonts w:eastAsia="標楷體" w:hint="eastAsia"/>
          <w:color w:val="000000" w:themeColor="text1"/>
          <w:sz w:val="28"/>
          <w:szCs w:val="28"/>
        </w:rPr>
        <w:t>年</w:t>
      </w:r>
      <w:r w:rsidR="006005D5" w:rsidRPr="006005D5">
        <w:rPr>
          <w:rFonts w:eastAsia="標楷體" w:hint="eastAsia"/>
          <w:color w:val="000000" w:themeColor="text1"/>
          <w:sz w:val="28"/>
          <w:szCs w:val="28"/>
        </w:rPr>
        <w:t>6</w:t>
      </w:r>
      <w:r w:rsidR="006005D5" w:rsidRPr="006005D5">
        <w:rPr>
          <w:rFonts w:eastAsia="標楷體" w:hint="eastAsia"/>
          <w:color w:val="000000" w:themeColor="text1"/>
          <w:sz w:val="28"/>
          <w:szCs w:val="28"/>
        </w:rPr>
        <w:t>月起納入</w:t>
      </w:r>
      <w:r w:rsidR="006005D5" w:rsidRPr="006005D5">
        <w:rPr>
          <w:rFonts w:eastAsia="標楷體" w:hint="eastAsia"/>
          <w:color w:val="000000" w:themeColor="text1"/>
          <w:sz w:val="28"/>
          <w:szCs w:val="28"/>
        </w:rPr>
        <w:t>MSCI</w:t>
      </w:r>
      <w:r w:rsidR="006005D5" w:rsidRPr="006005D5">
        <w:rPr>
          <w:rFonts w:eastAsia="標楷體" w:hint="eastAsia"/>
          <w:color w:val="000000" w:themeColor="text1"/>
          <w:sz w:val="28"/>
          <w:szCs w:val="28"/>
        </w:rPr>
        <w:t>新興市場指數，股票指數開始緩漲。</w:t>
      </w:r>
      <w:r w:rsidR="006005D5" w:rsidRPr="006005D5">
        <w:rPr>
          <w:rFonts w:eastAsia="標楷體" w:hint="eastAsia"/>
          <w:color w:val="000000" w:themeColor="text1"/>
          <w:sz w:val="28"/>
          <w:szCs w:val="28"/>
        </w:rPr>
        <w:t>2017</w:t>
      </w:r>
      <w:r w:rsidR="006005D5" w:rsidRPr="006005D5">
        <w:rPr>
          <w:rFonts w:eastAsia="標楷體" w:hint="eastAsia"/>
          <w:color w:val="000000" w:themeColor="text1"/>
          <w:sz w:val="28"/>
          <w:szCs w:val="28"/>
        </w:rPr>
        <w:t>年</w:t>
      </w:r>
      <w:r w:rsidR="006005D5" w:rsidRPr="006005D5">
        <w:rPr>
          <w:rFonts w:eastAsia="標楷體" w:hint="eastAsia"/>
          <w:color w:val="000000" w:themeColor="text1"/>
          <w:sz w:val="28"/>
          <w:szCs w:val="28"/>
        </w:rPr>
        <w:t>12</w:t>
      </w:r>
      <w:r w:rsidR="006005D5" w:rsidRPr="006005D5">
        <w:rPr>
          <w:rFonts w:eastAsia="標楷體" w:hint="eastAsia"/>
          <w:color w:val="000000" w:themeColor="text1"/>
          <w:sz w:val="28"/>
          <w:szCs w:val="28"/>
        </w:rPr>
        <w:t>月底上證綜合指數</w:t>
      </w:r>
      <w:r w:rsidR="00E66BC9">
        <w:rPr>
          <w:rFonts w:eastAsia="標楷體" w:hint="eastAsia"/>
          <w:color w:val="000000" w:themeColor="text1"/>
          <w:sz w:val="28"/>
          <w:szCs w:val="28"/>
        </w:rPr>
        <w:t>為</w:t>
      </w:r>
      <w:r w:rsidR="006005D5" w:rsidRPr="006005D5">
        <w:rPr>
          <w:rFonts w:eastAsia="標楷體" w:hint="eastAsia"/>
          <w:color w:val="000000" w:themeColor="text1"/>
          <w:sz w:val="28"/>
          <w:szCs w:val="28"/>
        </w:rPr>
        <w:t>3,307</w:t>
      </w:r>
      <w:r w:rsidR="006005D5" w:rsidRPr="006005D5">
        <w:rPr>
          <w:rFonts w:eastAsia="標楷體" w:hint="eastAsia"/>
          <w:color w:val="000000" w:themeColor="text1"/>
          <w:sz w:val="28"/>
          <w:szCs w:val="28"/>
        </w:rPr>
        <w:t>點，較上年</w:t>
      </w:r>
      <w:r w:rsidR="006005D5" w:rsidRPr="006005D5">
        <w:rPr>
          <w:rFonts w:eastAsia="標楷體" w:hint="eastAsia"/>
          <w:color w:val="000000" w:themeColor="text1"/>
          <w:sz w:val="28"/>
          <w:szCs w:val="28"/>
        </w:rPr>
        <w:t>12</w:t>
      </w:r>
      <w:r w:rsidR="006005D5" w:rsidRPr="006005D5">
        <w:rPr>
          <w:rFonts w:eastAsia="標楷體" w:hint="eastAsia"/>
          <w:color w:val="000000" w:themeColor="text1"/>
          <w:sz w:val="28"/>
          <w:szCs w:val="28"/>
        </w:rPr>
        <w:t>月底上漲</w:t>
      </w:r>
      <w:r w:rsidR="006005D5" w:rsidRPr="006005D5">
        <w:rPr>
          <w:rFonts w:eastAsia="標楷體" w:hint="eastAsia"/>
          <w:color w:val="000000" w:themeColor="text1"/>
          <w:sz w:val="28"/>
          <w:szCs w:val="28"/>
        </w:rPr>
        <w:t>6.6%</w:t>
      </w:r>
      <w:r w:rsidRPr="00DC02F8">
        <w:rPr>
          <w:rFonts w:eastAsia="標楷體"/>
          <w:color w:val="FF0000"/>
          <w:sz w:val="28"/>
          <w:szCs w:val="28"/>
        </w:rPr>
        <w:t>。</w:t>
      </w:r>
    </w:p>
    <w:p w:rsidR="00244D9C" w:rsidRDefault="00DC02F8" w:rsidP="00CC08E8">
      <w:pPr>
        <w:pStyle w:val="af9"/>
        <w:widowControl/>
        <w:numPr>
          <w:ilvl w:val="0"/>
          <w:numId w:val="4"/>
        </w:numPr>
        <w:snapToGrid w:val="0"/>
        <w:spacing w:beforeLines="25" w:before="90" w:line="480" w:lineRule="exact"/>
        <w:ind w:leftChars="0" w:left="426"/>
        <w:jc w:val="both"/>
        <w:rPr>
          <w:rFonts w:eastAsia="標楷體"/>
          <w:color w:val="000000" w:themeColor="text1"/>
          <w:sz w:val="28"/>
          <w:szCs w:val="28"/>
        </w:rPr>
      </w:pPr>
      <w:r w:rsidRPr="00DC02F8">
        <w:rPr>
          <w:rFonts w:eastAsia="標楷體" w:hint="eastAsia"/>
          <w:b/>
          <w:color w:val="000000" w:themeColor="text1"/>
          <w:sz w:val="28"/>
          <w:szCs w:val="28"/>
        </w:rPr>
        <w:t>人民幣升值：</w:t>
      </w:r>
      <w:r w:rsidRPr="00DC02F8">
        <w:rPr>
          <w:rFonts w:eastAsia="標楷體" w:hint="eastAsia"/>
          <w:color w:val="000000" w:themeColor="text1"/>
          <w:sz w:val="28"/>
          <w:szCs w:val="28"/>
        </w:rPr>
        <w:t>2017</w:t>
      </w:r>
      <w:r w:rsidRPr="00DC02F8">
        <w:rPr>
          <w:rFonts w:eastAsia="標楷體" w:hint="eastAsia"/>
          <w:color w:val="000000" w:themeColor="text1"/>
          <w:sz w:val="28"/>
          <w:szCs w:val="28"/>
        </w:rPr>
        <w:t>年底人民幣兌美元匯率中間價為</w:t>
      </w:r>
      <w:r w:rsidRPr="00DC02F8">
        <w:rPr>
          <w:rFonts w:eastAsia="標楷體" w:hint="eastAsia"/>
          <w:color w:val="000000" w:themeColor="text1"/>
          <w:sz w:val="28"/>
          <w:szCs w:val="28"/>
        </w:rPr>
        <w:t>6.94</w:t>
      </w:r>
      <w:r w:rsidRPr="00DC02F8">
        <w:rPr>
          <w:rFonts w:eastAsia="標楷體" w:hint="eastAsia"/>
          <w:color w:val="000000" w:themeColor="text1"/>
          <w:sz w:val="28"/>
          <w:szCs w:val="28"/>
        </w:rPr>
        <w:t>，較上年底升值</w:t>
      </w:r>
      <w:r w:rsidRPr="00DC02F8">
        <w:rPr>
          <w:rFonts w:eastAsia="標楷體" w:hint="eastAsia"/>
          <w:color w:val="000000" w:themeColor="text1"/>
          <w:sz w:val="28"/>
          <w:szCs w:val="28"/>
        </w:rPr>
        <w:t>6.4%</w:t>
      </w:r>
      <w:r w:rsidRPr="00DC02F8">
        <w:rPr>
          <w:rFonts w:eastAsia="標楷體" w:hint="eastAsia"/>
          <w:color w:val="000000" w:themeColor="text1"/>
          <w:sz w:val="28"/>
          <w:szCs w:val="28"/>
        </w:rPr>
        <w:t>，主因是美元持續走低，加上中國大陸貿易數據表現不錯，重新推動人民幣匯率反彈。</w:t>
      </w:r>
    </w:p>
    <w:p w:rsidR="00E66BC9" w:rsidRPr="00E66BC9" w:rsidRDefault="00E66BC9" w:rsidP="00E66BC9">
      <w:pPr>
        <w:pStyle w:val="af9"/>
        <w:widowControl/>
        <w:numPr>
          <w:ilvl w:val="0"/>
          <w:numId w:val="4"/>
        </w:numPr>
        <w:snapToGrid w:val="0"/>
        <w:spacing w:beforeLines="25" w:before="90" w:line="480" w:lineRule="exact"/>
        <w:ind w:leftChars="0" w:left="426"/>
        <w:jc w:val="both"/>
        <w:rPr>
          <w:rFonts w:eastAsia="標楷體"/>
          <w:color w:val="000000" w:themeColor="text1"/>
          <w:sz w:val="28"/>
          <w:szCs w:val="28"/>
        </w:rPr>
      </w:pPr>
      <w:r w:rsidRPr="00E66BC9">
        <w:rPr>
          <w:rFonts w:ascii="標楷體" w:eastAsia="標楷體" w:hAnsi="標楷體" w:hint="eastAsia"/>
          <w:b/>
          <w:sz w:val="28"/>
          <w:szCs w:val="32"/>
        </w:rPr>
        <w:t>銀行體系潛</w:t>
      </w:r>
      <w:r w:rsidRPr="00607DFE">
        <w:rPr>
          <w:rFonts w:ascii="標楷體" w:eastAsia="標楷體" w:hAnsi="標楷體" w:hint="eastAsia"/>
          <w:b/>
          <w:sz w:val="28"/>
          <w:szCs w:val="32"/>
        </w:rPr>
        <w:t>存風險：</w:t>
      </w:r>
      <w:r w:rsidRPr="00607DFE">
        <w:rPr>
          <w:rFonts w:ascii="標楷體" w:eastAsia="標楷體" w:hAnsi="標楷體" w:hint="eastAsia"/>
          <w:sz w:val="28"/>
          <w:szCs w:val="32"/>
        </w:rPr>
        <w:t>2017年底商業銀行不良貸款率為1.74</w:t>
      </w:r>
      <w:r w:rsidRPr="00607DFE">
        <w:rPr>
          <w:rFonts w:eastAsia="標楷體" w:hint="eastAsia"/>
          <w:kern w:val="0"/>
          <w:sz w:val="28"/>
          <w:szCs w:val="32"/>
        </w:rPr>
        <w:t>%</w:t>
      </w:r>
      <w:r w:rsidRPr="00607DFE">
        <w:rPr>
          <w:rFonts w:ascii="標楷體" w:eastAsia="標楷體" w:hAnsi="標楷體" w:hint="eastAsia"/>
          <w:sz w:val="28"/>
          <w:szCs w:val="32"/>
        </w:rPr>
        <w:t>，與上季底持平。IMF指出，中國大陸銀行業不良貸</w:t>
      </w:r>
      <w:r w:rsidRPr="00E66BC9">
        <w:rPr>
          <w:rFonts w:ascii="標楷體" w:eastAsia="標楷體" w:hAnsi="標楷體" w:hint="eastAsia"/>
          <w:sz w:val="28"/>
          <w:szCs w:val="32"/>
        </w:rPr>
        <w:t>款恐被低估，呼籲應特別注意風險信貸的快速成長、高風險貸款由銀行體系轉向</w:t>
      </w:r>
      <w:r w:rsidRPr="00E66BC9">
        <w:rPr>
          <w:rFonts w:ascii="標楷體" w:eastAsia="標楷體" w:hAnsi="標楷體" w:hint="eastAsia"/>
          <w:sz w:val="28"/>
          <w:szCs w:val="32"/>
        </w:rPr>
        <w:lastRenderedPageBreak/>
        <w:t>影子銀行，以及政府在救助陷入困境國有企業時，出現道德風險的情況。</w:t>
      </w:r>
    </w:p>
    <w:p w:rsidR="001A4EDD" w:rsidRDefault="001A4EDD" w:rsidP="00001A5E">
      <w:pPr>
        <w:pStyle w:val="af9"/>
        <w:widowControl/>
        <w:autoSpaceDE w:val="0"/>
        <w:snapToGrid w:val="0"/>
        <w:spacing w:beforeLines="10" w:before="36" w:line="360" w:lineRule="exact"/>
        <w:ind w:leftChars="-8792" w:left="-21101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001A5E" w:rsidRPr="001A4EDD" w:rsidRDefault="00001A5E" w:rsidP="001A4EDD">
      <w:pPr>
        <w:pStyle w:val="af9"/>
        <w:widowControl/>
        <w:autoSpaceDE w:val="0"/>
        <w:snapToGrid w:val="0"/>
        <w:spacing w:beforeLines="10" w:before="36" w:line="360" w:lineRule="exact"/>
        <w:ind w:leftChars="-636" w:left="1" w:hangingChars="545" w:hanging="1527"/>
        <w:jc w:val="center"/>
        <w:rPr>
          <w:rFonts w:eastAsia="標楷體"/>
          <w:b/>
          <w:color w:val="000000" w:themeColor="text1"/>
          <w:sz w:val="28"/>
          <w:szCs w:val="32"/>
        </w:rPr>
      </w:pPr>
    </w:p>
    <w:p w:rsidR="00E90D4A" w:rsidRPr="006E7090" w:rsidRDefault="001A4EDD" w:rsidP="00E90D4A">
      <w:pPr>
        <w:pStyle w:val="af9"/>
        <w:widowControl/>
        <w:autoSpaceDE w:val="0"/>
        <w:snapToGrid w:val="0"/>
        <w:spacing w:beforeLines="10" w:before="36" w:line="360" w:lineRule="exact"/>
        <w:ind w:leftChars="-636" w:left="1" w:hangingChars="545" w:hanging="1527"/>
        <w:jc w:val="center"/>
        <w:rPr>
          <w:rFonts w:ascii="標楷體" w:eastAsia="標楷體" w:hAnsi="標楷體"/>
          <w:color w:val="000000" w:themeColor="text1"/>
          <w:sz w:val="28"/>
          <w:szCs w:val="32"/>
        </w:rPr>
      </w:pPr>
      <w:r w:rsidRPr="006E709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       </w:t>
      </w:r>
      <w:r w:rsidR="00E90D4A" w:rsidRPr="006E709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</w:t>
      </w:r>
      <w:r w:rsidR="00E90D4A" w:rsidRPr="006E7090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>中國大陸重要經濟指標</w:t>
      </w:r>
    </w:p>
    <w:p w:rsidR="00E90D4A" w:rsidRPr="006E7090" w:rsidRDefault="00E90D4A" w:rsidP="00E90D4A">
      <w:pPr>
        <w:spacing w:line="200" w:lineRule="exact"/>
        <w:ind w:left="482" w:rightChars="-201" w:right="-482"/>
        <w:jc w:val="right"/>
        <w:rPr>
          <w:rFonts w:ascii="標楷體" w:eastAsia="標楷體" w:hAnsi="標楷體"/>
          <w:bCs/>
          <w:color w:val="000000" w:themeColor="text1"/>
          <w:sz w:val="20"/>
          <w:szCs w:val="28"/>
        </w:rPr>
      </w:pPr>
      <w:r w:rsidRPr="006E7090">
        <w:rPr>
          <w:rFonts w:ascii="標楷體" w:eastAsia="標楷體" w:hAnsi="標楷體" w:hint="eastAsia"/>
          <w:bCs/>
          <w:color w:val="000000" w:themeColor="text1"/>
          <w:sz w:val="20"/>
          <w:szCs w:val="28"/>
        </w:rPr>
        <w:t>單位：</w:t>
      </w:r>
      <w:r w:rsidRPr="006E7090">
        <w:rPr>
          <w:rFonts w:eastAsia="標楷體"/>
          <w:bCs/>
          <w:color w:val="000000" w:themeColor="text1"/>
          <w:sz w:val="20"/>
          <w:szCs w:val="28"/>
        </w:rPr>
        <w:t>%</w:t>
      </w:r>
    </w:p>
    <w:tbl>
      <w:tblPr>
        <w:tblW w:w="6154" w:type="pct"/>
        <w:jc w:val="center"/>
        <w:tblInd w:w="-388" w:type="dxa"/>
        <w:tblLayout w:type="fixed"/>
        <w:tblLook w:val="01E0" w:firstRow="1" w:lastRow="1" w:firstColumn="1" w:lastColumn="1" w:noHBand="0" w:noVBand="0"/>
      </w:tblPr>
      <w:tblGrid>
        <w:gridCol w:w="3578"/>
        <w:gridCol w:w="829"/>
        <w:gridCol w:w="892"/>
        <w:gridCol w:w="854"/>
        <w:gridCol w:w="856"/>
        <w:gridCol w:w="860"/>
        <w:gridCol w:w="822"/>
        <w:gridCol w:w="906"/>
        <w:gridCol w:w="892"/>
      </w:tblGrid>
      <w:tr w:rsidR="00E90D4A" w:rsidRPr="006E7090" w:rsidTr="00DC02F8">
        <w:trPr>
          <w:cantSplit/>
          <w:trHeight w:val="243"/>
          <w:jc w:val="center"/>
        </w:trPr>
        <w:tc>
          <w:tcPr>
            <w:tcW w:w="170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6E7090">
              <w:rPr>
                <w:rFonts w:eastAsia="標楷體"/>
                <w:b/>
                <w:bCs/>
                <w:color w:val="000000" w:themeColor="text1"/>
              </w:rPr>
              <w:t>重要經濟指標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E7090"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  <w:t>2016</w:t>
            </w:r>
            <w:r w:rsidRPr="006E7090"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  <w:t>年</w:t>
            </w:r>
          </w:p>
        </w:tc>
        <w:tc>
          <w:tcPr>
            <w:tcW w:w="2067" w:type="pct"/>
            <w:gridSpan w:val="5"/>
            <w:tcBorders>
              <w:top w:val="single" w:sz="4" w:space="0" w:color="auto"/>
            </w:tcBorders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6E7090"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  <w:t>2017</w:t>
            </w:r>
            <w:r w:rsidRPr="006E7090"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  <w:t>年</w:t>
            </w:r>
          </w:p>
        </w:tc>
      </w:tr>
      <w:tr w:rsidR="00E90D4A" w:rsidRPr="006E7090" w:rsidTr="00DC02F8">
        <w:trPr>
          <w:cantSplit/>
          <w:trHeight w:hRule="exact" w:val="239"/>
          <w:jc w:val="center"/>
        </w:trPr>
        <w:tc>
          <w:tcPr>
            <w:tcW w:w="170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  <w:t>第</w:t>
            </w:r>
            <w:r w:rsidRPr="006E7090"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  <w:t>3</w:t>
            </w:r>
            <w:r w:rsidRPr="006E7090"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  <w:t>第</w:t>
            </w:r>
            <w:r w:rsidRPr="006E7090"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  <w:t>4</w:t>
            </w:r>
            <w:r w:rsidRPr="006E7090"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  <w:t>第</w:t>
            </w:r>
            <w:r w:rsidRPr="006E7090"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  <w:t>1</w:t>
            </w:r>
            <w:r w:rsidRPr="006E7090"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bCs/>
                <w:color w:val="000000" w:themeColor="text1"/>
              </w:rPr>
            </w:pPr>
            <w:r w:rsidRPr="006E7090">
              <w:rPr>
                <w:rFonts w:eastAsia="標楷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第</w:t>
            </w:r>
            <w:r w:rsidRPr="006E7090">
              <w:rPr>
                <w:rFonts w:eastAsia="標楷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2</w:t>
            </w:r>
            <w:r w:rsidRPr="006E7090">
              <w:rPr>
                <w:rFonts w:eastAsia="標楷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bCs/>
                <w:color w:val="000000" w:themeColor="text1"/>
              </w:rPr>
            </w:pPr>
            <w:r w:rsidRPr="004B4C49">
              <w:rPr>
                <w:rFonts w:eastAsia="標楷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第</w:t>
            </w:r>
            <w:r w:rsidRPr="004B4C49">
              <w:rPr>
                <w:rFonts w:eastAsia="標楷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3</w:t>
            </w:r>
            <w:r w:rsidRPr="004B4C49">
              <w:rPr>
                <w:rFonts w:eastAsia="標楷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季</w:t>
            </w:r>
            <w:proofErr w:type="gramStart"/>
            <w:r>
              <w:rPr>
                <w:rFonts w:eastAsia="標楷體" w:hint="eastAsia"/>
                <w:b/>
                <w:bCs/>
                <w:color w:val="000000" w:themeColor="text1"/>
              </w:rPr>
              <w:t>季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bCs/>
                <w:color w:val="000000" w:themeColor="text1"/>
              </w:rPr>
            </w:pPr>
            <w:r w:rsidRPr="00A85444">
              <w:rPr>
                <w:rFonts w:eastAsia="標楷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第</w:t>
            </w:r>
            <w:r w:rsidRPr="00A85444">
              <w:rPr>
                <w:rFonts w:eastAsia="標楷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4</w:t>
            </w:r>
            <w:r w:rsidRPr="00A85444">
              <w:rPr>
                <w:rFonts w:eastAsia="標楷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季</w:t>
            </w:r>
            <w:r>
              <w:rPr>
                <w:rFonts w:eastAsia="標楷體" w:hint="eastAsia"/>
                <w:b/>
                <w:bCs/>
                <w:color w:val="000000" w:themeColor="text1"/>
              </w:rPr>
              <w:t>2u4</w:t>
            </w:r>
          </w:p>
        </w:tc>
      </w:tr>
      <w:tr w:rsidR="00E90D4A" w:rsidRPr="006E7090" w:rsidTr="00DC02F8">
        <w:trPr>
          <w:trHeight w:val="386"/>
          <w:jc w:val="center"/>
        </w:trPr>
        <w:tc>
          <w:tcPr>
            <w:tcW w:w="17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jc w:val="both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  <w:t>GDP</w:t>
            </w:r>
            <w:r w:rsidRPr="006E7090"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  <w:t>成長率（實質）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6.7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6.7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6.8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6.9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6.9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6.9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6.8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6.8</w:t>
            </w:r>
          </w:p>
        </w:tc>
      </w:tr>
      <w:tr w:rsidR="00E90D4A" w:rsidRPr="006E7090" w:rsidTr="00DC02F8">
        <w:trPr>
          <w:trHeight w:val="386"/>
          <w:jc w:val="center"/>
        </w:trPr>
        <w:tc>
          <w:tcPr>
            <w:tcW w:w="170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6E7090"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  <w:t>消費（名目）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E90D4A" w:rsidRPr="006E7090" w:rsidTr="00DC02F8">
        <w:trPr>
          <w:trHeight w:val="137"/>
          <w:jc w:val="center"/>
        </w:trPr>
        <w:tc>
          <w:tcPr>
            <w:tcW w:w="1706" w:type="pct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 xml:space="preserve">    </w:t>
            </w: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社會消費品零售總額年增率</w:t>
            </w:r>
          </w:p>
        </w:tc>
        <w:tc>
          <w:tcPr>
            <w:tcW w:w="395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10.4</w:t>
            </w:r>
          </w:p>
        </w:tc>
        <w:tc>
          <w:tcPr>
            <w:tcW w:w="425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10.6</w:t>
            </w:r>
          </w:p>
        </w:tc>
        <w:tc>
          <w:tcPr>
            <w:tcW w:w="407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10.4</w:t>
            </w:r>
          </w:p>
        </w:tc>
        <w:tc>
          <w:tcPr>
            <w:tcW w:w="408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10.2</w:t>
            </w:r>
          </w:p>
        </w:tc>
        <w:tc>
          <w:tcPr>
            <w:tcW w:w="410" w:type="pct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10.0</w:t>
            </w:r>
          </w:p>
        </w:tc>
        <w:tc>
          <w:tcPr>
            <w:tcW w:w="392" w:type="pct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10.8</w:t>
            </w:r>
          </w:p>
        </w:tc>
        <w:tc>
          <w:tcPr>
            <w:tcW w:w="432" w:type="pct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10.3</w:t>
            </w:r>
          </w:p>
        </w:tc>
        <w:tc>
          <w:tcPr>
            <w:tcW w:w="425" w:type="pct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9.8</w:t>
            </w:r>
          </w:p>
        </w:tc>
      </w:tr>
      <w:tr w:rsidR="00E90D4A" w:rsidRPr="006E7090" w:rsidTr="00DC02F8">
        <w:trPr>
          <w:trHeight w:val="386"/>
          <w:jc w:val="center"/>
        </w:trPr>
        <w:tc>
          <w:tcPr>
            <w:tcW w:w="170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6E7090"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  <w:t>投資（名目）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E90D4A" w:rsidRPr="006E7090" w:rsidTr="00DC02F8">
        <w:trPr>
          <w:trHeight w:val="271"/>
          <w:jc w:val="center"/>
        </w:trPr>
        <w:tc>
          <w:tcPr>
            <w:tcW w:w="17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bCs/>
                <w:color w:val="000000" w:themeColor="text1"/>
                <w:w w:val="90"/>
                <w:sz w:val="22"/>
                <w:szCs w:val="22"/>
              </w:rPr>
              <w:t xml:space="preserve">    </w:t>
            </w:r>
            <w:r w:rsidRPr="006E7090">
              <w:rPr>
                <w:rFonts w:eastAsia="標楷體"/>
                <w:bCs/>
                <w:color w:val="000000" w:themeColor="text1"/>
                <w:w w:val="90"/>
                <w:sz w:val="22"/>
                <w:szCs w:val="22"/>
              </w:rPr>
              <w:t>固定資產投資（不含農戶）成長率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8.1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6.6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7.8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7.2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9.2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8.0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5.3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7.2</w:t>
            </w:r>
          </w:p>
        </w:tc>
      </w:tr>
      <w:tr w:rsidR="00E90D4A" w:rsidRPr="006E7090" w:rsidTr="00DC02F8">
        <w:trPr>
          <w:trHeight w:val="307"/>
          <w:jc w:val="center"/>
        </w:trPr>
        <w:tc>
          <w:tcPr>
            <w:tcW w:w="170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firstLineChars="100" w:firstLine="220"/>
              <w:jc w:val="both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  <w:t>外貿（名目）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E90D4A" w:rsidRPr="006E7090" w:rsidTr="00DC02F8">
        <w:trPr>
          <w:trHeight w:val="386"/>
          <w:jc w:val="center"/>
        </w:trPr>
        <w:tc>
          <w:tcPr>
            <w:tcW w:w="17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tabs>
                <w:tab w:val="left" w:pos="417"/>
              </w:tabs>
              <w:adjustRightInd w:val="0"/>
              <w:snapToGrid w:val="0"/>
              <w:spacing w:line="240" w:lineRule="atLeast"/>
              <w:ind w:firstLineChars="150" w:firstLine="33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出口年增率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-7.7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-6.7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-8.5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7.9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8.2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8.8</w:t>
            </w:r>
          </w:p>
        </w:tc>
        <w:tc>
          <w:tcPr>
            <w:tcW w:w="432" w:type="pct"/>
            <w:tcBorders>
              <w:lef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6.8</w:t>
            </w:r>
          </w:p>
        </w:tc>
        <w:tc>
          <w:tcPr>
            <w:tcW w:w="425" w:type="pct"/>
            <w:tcBorders>
              <w:lef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11.9</w:t>
            </w:r>
          </w:p>
        </w:tc>
      </w:tr>
      <w:tr w:rsidR="00E90D4A" w:rsidRPr="006E7090" w:rsidTr="00DC02F8">
        <w:trPr>
          <w:trHeight w:val="231"/>
          <w:jc w:val="center"/>
        </w:trPr>
        <w:tc>
          <w:tcPr>
            <w:tcW w:w="17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firstLineChars="150" w:firstLine="33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進口年增率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-5.5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-4.1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15.9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24.0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13.8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14.6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12.9</w:t>
            </w:r>
          </w:p>
        </w:tc>
      </w:tr>
      <w:tr w:rsidR="00E90D4A" w:rsidRPr="006E7090" w:rsidTr="00DC02F8">
        <w:trPr>
          <w:trHeight w:val="386"/>
          <w:jc w:val="center"/>
        </w:trPr>
        <w:tc>
          <w:tcPr>
            <w:tcW w:w="17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  <w:t>物價</w:t>
            </w:r>
          </w:p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居民消費價格指數上漲率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2.0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1.8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2.0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4A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1.6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1.4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1.4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0D4A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1.6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0D4A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1.8</w:t>
            </w:r>
          </w:p>
        </w:tc>
      </w:tr>
      <w:tr w:rsidR="00E90D4A" w:rsidRPr="006E7090" w:rsidTr="00DC02F8">
        <w:trPr>
          <w:trHeight w:val="386"/>
          <w:jc w:val="center"/>
        </w:trPr>
        <w:tc>
          <w:tcPr>
            <w:tcW w:w="1706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jc w:val="both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  <w:t>工業生產成長率</w:t>
            </w:r>
          </w:p>
        </w:tc>
        <w:tc>
          <w:tcPr>
            <w:tcW w:w="39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6.0</w:t>
            </w:r>
          </w:p>
        </w:tc>
        <w:tc>
          <w:tcPr>
            <w:tcW w:w="42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6.0</w:t>
            </w:r>
          </w:p>
        </w:tc>
        <w:tc>
          <w:tcPr>
            <w:tcW w:w="40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6.0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6.6</w:t>
            </w:r>
          </w:p>
        </w:tc>
        <w:tc>
          <w:tcPr>
            <w:tcW w:w="41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bCs/>
                <w:color w:val="000000" w:themeColor="text1"/>
                <w:sz w:val="22"/>
                <w:szCs w:val="22"/>
              </w:rPr>
              <w:t>6.8</w:t>
            </w:r>
          </w:p>
        </w:tc>
        <w:tc>
          <w:tcPr>
            <w:tcW w:w="39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7.0</w:t>
            </w:r>
          </w:p>
        </w:tc>
        <w:tc>
          <w:tcPr>
            <w:tcW w:w="43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6.3</w:t>
            </w:r>
          </w:p>
        </w:tc>
        <w:tc>
          <w:tcPr>
            <w:tcW w:w="42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6.2</w:t>
            </w:r>
          </w:p>
        </w:tc>
      </w:tr>
      <w:tr w:rsidR="00E90D4A" w:rsidRPr="006E7090" w:rsidTr="00DC02F8">
        <w:trPr>
          <w:trHeight w:val="335"/>
          <w:jc w:val="center"/>
        </w:trPr>
        <w:tc>
          <w:tcPr>
            <w:tcW w:w="170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jc w:val="both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  <w:t>貨幣市場</w:t>
            </w:r>
            <w:r w:rsidRPr="006E7090">
              <w:rPr>
                <w:rFonts w:eastAsia="標楷體"/>
                <w:b/>
                <w:color w:val="000000" w:themeColor="text1"/>
                <w:sz w:val="22"/>
                <w:szCs w:val="22"/>
              </w:rPr>
              <w:t>（期底數）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E90D4A" w:rsidRPr="006E7090" w:rsidTr="00DC02F8">
        <w:trPr>
          <w:trHeight w:val="386"/>
          <w:jc w:val="center"/>
        </w:trPr>
        <w:tc>
          <w:tcPr>
            <w:tcW w:w="17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 xml:space="preserve"> M1</w:t>
            </w: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增加率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21.4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24.7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21.4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11.8</w:t>
            </w: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18.8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 w:hint="eastAsia"/>
                <w:color w:val="000000" w:themeColor="text1"/>
                <w:sz w:val="22"/>
                <w:szCs w:val="22"/>
              </w:rPr>
              <w:t>15.0</w:t>
            </w:r>
          </w:p>
        </w:tc>
        <w:tc>
          <w:tcPr>
            <w:tcW w:w="432" w:type="pct"/>
            <w:tcBorders>
              <w:lef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14.0</w:t>
            </w:r>
          </w:p>
        </w:tc>
        <w:tc>
          <w:tcPr>
            <w:tcW w:w="425" w:type="pct"/>
            <w:tcBorders>
              <w:lef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11.8</w:t>
            </w:r>
          </w:p>
        </w:tc>
      </w:tr>
      <w:tr w:rsidR="00E90D4A" w:rsidRPr="006E7090" w:rsidTr="00DC02F8">
        <w:trPr>
          <w:trHeight w:val="243"/>
          <w:jc w:val="center"/>
        </w:trPr>
        <w:tc>
          <w:tcPr>
            <w:tcW w:w="17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 xml:space="preserve"> M2</w:t>
            </w: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增加率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11.3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11.5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11.3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8.2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 w:hint="eastAsia"/>
                <w:color w:val="000000" w:themeColor="text1"/>
                <w:sz w:val="22"/>
                <w:szCs w:val="22"/>
              </w:rPr>
              <w:t>10.6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 w:hint="eastAsia"/>
                <w:color w:val="000000" w:themeColor="text1"/>
                <w:sz w:val="22"/>
                <w:szCs w:val="22"/>
              </w:rPr>
              <w:t>9.4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9.2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8.2</w:t>
            </w:r>
          </w:p>
        </w:tc>
      </w:tr>
      <w:tr w:rsidR="00E90D4A" w:rsidRPr="006E7090" w:rsidTr="00DC02F8">
        <w:trPr>
          <w:trHeight w:val="307"/>
          <w:jc w:val="center"/>
        </w:trPr>
        <w:tc>
          <w:tcPr>
            <w:tcW w:w="170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jc w:val="both"/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  <w:t>股</w:t>
            </w:r>
            <w:proofErr w:type="gramStart"/>
            <w:r w:rsidRPr="006E7090"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  <w:t>匯</w:t>
            </w:r>
            <w:proofErr w:type="gramEnd"/>
            <w:r w:rsidRPr="006E7090">
              <w:rPr>
                <w:rFonts w:eastAsia="標楷體"/>
                <w:b/>
                <w:bCs/>
                <w:color w:val="000000" w:themeColor="text1"/>
                <w:sz w:val="22"/>
                <w:szCs w:val="22"/>
              </w:rPr>
              <w:t>市（期底數）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ind w:rightChars="50" w:right="120"/>
              <w:jc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</w:p>
        </w:tc>
      </w:tr>
      <w:tr w:rsidR="00E90D4A" w:rsidRPr="006E7090" w:rsidTr="00DC02F8">
        <w:trPr>
          <w:trHeight w:val="386"/>
          <w:jc w:val="center"/>
        </w:trPr>
        <w:tc>
          <w:tcPr>
            <w:tcW w:w="17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widowControl/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6E7090"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  <w:t>股市</w:t>
            </w:r>
            <w:r w:rsidRPr="006E7090"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  <w:t>-</w:t>
            </w:r>
            <w:r w:rsidRPr="006E7090"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  <w:t>上海綜合指數上漲率</w:t>
            </w:r>
            <w:r w:rsidRPr="006E7090"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  <w:t>*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widowControl/>
              <w:spacing w:line="24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-12.3</w:t>
            </w: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4A" w:rsidRPr="006E7090" w:rsidRDefault="00E90D4A" w:rsidP="00DC02F8">
            <w:pPr>
              <w:widowControl/>
              <w:spacing w:line="24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2.6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4A" w:rsidRPr="006E7090" w:rsidRDefault="00E90D4A" w:rsidP="00DC02F8">
            <w:pPr>
              <w:spacing w:line="24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3.3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spacing w:line="24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widowControl/>
              <w:spacing w:line="24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3.8</w:t>
            </w:r>
          </w:p>
        </w:tc>
        <w:tc>
          <w:tcPr>
            <w:tcW w:w="392" w:type="pct"/>
            <w:tcBorders>
              <w:left w:val="single" w:sz="4" w:space="0" w:color="auto"/>
            </w:tcBorders>
            <w:vAlign w:val="center"/>
          </w:tcPr>
          <w:p w:rsidR="00E90D4A" w:rsidRPr="006E7090" w:rsidRDefault="00E90D4A" w:rsidP="00DC02F8">
            <w:pPr>
              <w:widowControl/>
              <w:spacing w:line="24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 w:hint="eastAsia"/>
                <w:color w:val="000000" w:themeColor="text1"/>
                <w:sz w:val="22"/>
                <w:szCs w:val="22"/>
              </w:rPr>
              <w:t>-0.9</w:t>
            </w:r>
          </w:p>
        </w:tc>
        <w:tc>
          <w:tcPr>
            <w:tcW w:w="432" w:type="pct"/>
            <w:tcBorders>
              <w:left w:val="single" w:sz="4" w:space="0" w:color="auto"/>
            </w:tcBorders>
            <w:vAlign w:val="center"/>
          </w:tcPr>
          <w:p w:rsidR="00E90D4A" w:rsidRPr="006E7090" w:rsidRDefault="00E90D4A" w:rsidP="00DC02F8">
            <w:pPr>
              <w:widowControl/>
              <w:spacing w:line="24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pct"/>
            <w:tcBorders>
              <w:left w:val="single" w:sz="4" w:space="0" w:color="auto"/>
            </w:tcBorders>
            <w:vAlign w:val="center"/>
          </w:tcPr>
          <w:p w:rsidR="00E90D4A" w:rsidRPr="006E7090" w:rsidRDefault="00E90D4A" w:rsidP="00DC02F8">
            <w:pPr>
              <w:widowControl/>
              <w:spacing w:line="24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E90D4A" w:rsidRPr="006E7090" w:rsidTr="00DC02F8">
        <w:trPr>
          <w:trHeight w:val="243"/>
          <w:jc w:val="center"/>
        </w:trPr>
        <w:tc>
          <w:tcPr>
            <w:tcW w:w="17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人民幣兌美元升（貶）幅度</w:t>
            </w: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*</w:t>
            </w:r>
            <w:r w:rsidR="00E66BC9" w:rsidRPr="006E7090">
              <w:rPr>
                <w:rFonts w:eastAsia="標楷體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-6.4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 w:hint="eastAsia"/>
                <w:color w:val="000000" w:themeColor="text1"/>
                <w:sz w:val="22"/>
                <w:szCs w:val="22"/>
              </w:rPr>
              <w:t>-2.56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-0.7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-3.7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 w:hint="eastAsia"/>
                <w:color w:val="000000" w:themeColor="text1"/>
                <w:sz w:val="22"/>
                <w:szCs w:val="22"/>
              </w:rPr>
              <w:t>-0.02</w:t>
            </w: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0D4A" w:rsidRPr="006E7090" w:rsidRDefault="00E90D4A" w:rsidP="00DC02F8">
            <w:pPr>
              <w:adjustRightInd w:val="0"/>
              <w:snapToGrid w:val="0"/>
              <w:spacing w:line="240" w:lineRule="atLeas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</w:tbl>
    <w:p w:rsidR="00E90D4A" w:rsidRDefault="00E90D4A" w:rsidP="00220424">
      <w:pPr>
        <w:widowControl/>
        <w:spacing w:line="280" w:lineRule="exact"/>
        <w:ind w:leftChars="-414" w:left="-426" w:hangingChars="284" w:hanging="568"/>
        <w:rPr>
          <w:rFonts w:eastAsia="標楷體"/>
          <w:color w:val="000000" w:themeColor="text1"/>
          <w:sz w:val="20"/>
          <w:szCs w:val="20"/>
        </w:rPr>
      </w:pPr>
      <w:proofErr w:type="gramStart"/>
      <w:r w:rsidRPr="006E7090">
        <w:rPr>
          <w:rFonts w:eastAsia="標楷體"/>
          <w:color w:val="000000" w:themeColor="text1"/>
          <w:sz w:val="20"/>
          <w:szCs w:val="20"/>
        </w:rPr>
        <w:t>註</w:t>
      </w:r>
      <w:proofErr w:type="gramEnd"/>
      <w:r w:rsidRPr="006E7090">
        <w:rPr>
          <w:rFonts w:eastAsia="標楷體"/>
          <w:color w:val="000000" w:themeColor="text1"/>
          <w:sz w:val="20"/>
          <w:szCs w:val="20"/>
        </w:rPr>
        <w:t>：</w:t>
      </w:r>
      <w:r w:rsidRPr="006E7090">
        <w:rPr>
          <w:rFonts w:eastAsia="標楷體"/>
          <w:color w:val="000000" w:themeColor="text1"/>
          <w:sz w:val="20"/>
          <w:szCs w:val="20"/>
        </w:rPr>
        <w:t>*</w:t>
      </w:r>
      <w:r w:rsidRPr="006E7090">
        <w:rPr>
          <w:rFonts w:eastAsia="標楷體"/>
          <w:color w:val="000000" w:themeColor="text1"/>
          <w:sz w:val="20"/>
          <w:szCs w:val="20"/>
        </w:rPr>
        <w:t>為較上季或上期增減比率，其餘變動率為較上年或上年同期增減比率</w:t>
      </w:r>
      <w:r w:rsidR="00E66BC9">
        <w:rPr>
          <w:rFonts w:eastAsia="標楷體" w:hint="eastAsia"/>
          <w:color w:val="000000" w:themeColor="text1"/>
          <w:sz w:val="20"/>
          <w:szCs w:val="20"/>
        </w:rPr>
        <w:t>；</w:t>
      </w:r>
      <w:r w:rsidR="00E66BC9" w:rsidRPr="006E7090">
        <w:rPr>
          <w:rFonts w:eastAsia="標楷體"/>
          <w:color w:val="000000" w:themeColor="text1"/>
          <w:sz w:val="22"/>
          <w:szCs w:val="22"/>
        </w:rPr>
        <w:t>**</w:t>
      </w:r>
      <w:r w:rsidR="00E66BC9">
        <w:rPr>
          <w:rFonts w:eastAsia="標楷體" w:hint="eastAsia"/>
          <w:color w:val="000000" w:themeColor="text1"/>
          <w:sz w:val="22"/>
          <w:szCs w:val="22"/>
        </w:rPr>
        <w:t>負</w:t>
      </w:r>
      <w:r w:rsidR="00E66BC9">
        <w:rPr>
          <w:rFonts w:eastAsia="標楷體" w:hint="eastAsia"/>
          <w:color w:val="000000" w:themeColor="text1"/>
          <w:sz w:val="22"/>
          <w:szCs w:val="22"/>
        </w:rPr>
        <w:t>(</w:t>
      </w:r>
      <w:r w:rsidR="00E66BC9">
        <w:rPr>
          <w:rFonts w:eastAsia="標楷體" w:hint="eastAsia"/>
          <w:color w:val="000000" w:themeColor="text1"/>
          <w:sz w:val="22"/>
          <w:szCs w:val="22"/>
        </w:rPr>
        <w:t>正</w:t>
      </w:r>
      <w:r w:rsidR="00E66BC9">
        <w:rPr>
          <w:rFonts w:eastAsia="標楷體" w:hint="eastAsia"/>
          <w:color w:val="000000" w:themeColor="text1"/>
          <w:sz w:val="22"/>
          <w:szCs w:val="22"/>
        </w:rPr>
        <w:t>)</w:t>
      </w:r>
      <w:r w:rsidR="00E66BC9">
        <w:rPr>
          <w:rFonts w:eastAsia="標楷體" w:hint="eastAsia"/>
          <w:color w:val="000000" w:themeColor="text1"/>
          <w:sz w:val="22"/>
          <w:szCs w:val="22"/>
        </w:rPr>
        <w:t>數代表</w:t>
      </w:r>
      <w:r w:rsidR="00E66BC9" w:rsidRPr="006E7090">
        <w:rPr>
          <w:rFonts w:eastAsia="標楷體"/>
          <w:color w:val="000000" w:themeColor="text1"/>
          <w:sz w:val="22"/>
          <w:szCs w:val="22"/>
        </w:rPr>
        <w:t>升（貶）</w:t>
      </w:r>
      <w:r w:rsidR="00E66BC9">
        <w:rPr>
          <w:rFonts w:eastAsia="標楷體" w:hint="eastAsia"/>
          <w:color w:val="000000" w:themeColor="text1"/>
          <w:sz w:val="22"/>
          <w:szCs w:val="22"/>
        </w:rPr>
        <w:t>值。</w:t>
      </w:r>
    </w:p>
    <w:p w:rsidR="00E90D4A" w:rsidRPr="006E7090" w:rsidRDefault="00E90D4A" w:rsidP="00220424">
      <w:pPr>
        <w:widowControl/>
        <w:spacing w:line="280" w:lineRule="exact"/>
        <w:ind w:leftChars="-413" w:left="1" w:hangingChars="496" w:hanging="992"/>
        <w:rPr>
          <w:rFonts w:eastAsia="標楷體"/>
          <w:color w:val="000000" w:themeColor="text1"/>
          <w:sz w:val="20"/>
          <w:szCs w:val="20"/>
        </w:rPr>
      </w:pPr>
      <w:r w:rsidRPr="006E7090">
        <w:rPr>
          <w:rFonts w:eastAsia="標楷體"/>
          <w:color w:val="000000" w:themeColor="text1"/>
          <w:sz w:val="20"/>
          <w:szCs w:val="20"/>
        </w:rPr>
        <w:t>資料來源：</w:t>
      </w:r>
      <w:r w:rsidRPr="006E7090">
        <w:rPr>
          <w:rFonts w:eastAsia="標楷體"/>
          <w:color w:val="000000" w:themeColor="text1"/>
          <w:sz w:val="20"/>
          <w:szCs w:val="20"/>
        </w:rPr>
        <w:t>CEIC</w:t>
      </w:r>
      <w:r w:rsidRPr="006E7090">
        <w:rPr>
          <w:rFonts w:eastAsia="標楷體"/>
          <w:color w:val="000000" w:themeColor="text1"/>
          <w:sz w:val="20"/>
          <w:szCs w:val="20"/>
        </w:rPr>
        <w:t>資料庫。</w:t>
      </w:r>
    </w:p>
    <w:p w:rsidR="00001A5E" w:rsidRPr="00E90D4A" w:rsidRDefault="00001A5E" w:rsidP="00E90D4A">
      <w:pPr>
        <w:pStyle w:val="af9"/>
        <w:widowControl/>
        <w:autoSpaceDE w:val="0"/>
        <w:snapToGrid w:val="0"/>
        <w:spacing w:beforeLines="10" w:before="36" w:line="360" w:lineRule="exact"/>
        <w:ind w:leftChars="-636" w:left="-436" w:hangingChars="545" w:hanging="1090"/>
        <w:jc w:val="center"/>
        <w:rPr>
          <w:rFonts w:eastAsia="標楷體"/>
          <w:color w:val="000000" w:themeColor="text1"/>
          <w:sz w:val="20"/>
          <w:szCs w:val="20"/>
        </w:rPr>
      </w:pPr>
    </w:p>
    <w:p w:rsidR="00001A5E" w:rsidRPr="006E7090" w:rsidRDefault="00001A5E" w:rsidP="00001A5E">
      <w:pPr>
        <w:widowControl/>
        <w:snapToGrid w:val="0"/>
        <w:spacing w:beforeLines="25" w:before="90" w:line="480" w:lineRule="exact"/>
        <w:jc w:val="both"/>
        <w:rPr>
          <w:rFonts w:ascii="標楷體" w:eastAsia="標楷體" w:hAnsi="標楷體"/>
          <w:b/>
          <w:color w:val="000000" w:themeColor="text1"/>
          <w:kern w:val="0"/>
          <w:sz w:val="28"/>
          <w:szCs w:val="32"/>
        </w:rPr>
      </w:pPr>
      <w:r w:rsidRPr="006E7090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32"/>
        </w:rPr>
        <w:t>【兩岸經貿】</w:t>
      </w:r>
    </w:p>
    <w:p w:rsidR="00A25B7A" w:rsidRPr="006E7090" w:rsidRDefault="00A25B7A" w:rsidP="00A25B7A">
      <w:pPr>
        <w:widowControl/>
        <w:snapToGrid w:val="0"/>
        <w:spacing w:beforeLines="25" w:before="90" w:afterLines="23" w:after="82" w:line="500" w:lineRule="exact"/>
        <w:ind w:firstLineChars="200" w:firstLine="560"/>
        <w:jc w:val="both"/>
        <w:rPr>
          <w:rFonts w:ascii="標楷體" w:eastAsia="標楷體" w:hAnsi="標楷體"/>
          <w:color w:val="000000" w:themeColor="text1"/>
          <w:kern w:val="0"/>
          <w:sz w:val="28"/>
          <w:szCs w:val="32"/>
        </w:rPr>
      </w:pPr>
      <w:r w:rsidRPr="00990A2F">
        <w:rPr>
          <w:rFonts w:eastAsia="標楷體"/>
          <w:color w:val="000000" w:themeColor="text1"/>
          <w:kern w:val="0"/>
          <w:sz w:val="28"/>
          <w:szCs w:val="32"/>
        </w:rPr>
        <w:t>2017</w:t>
      </w:r>
      <w:r w:rsidRPr="00990A2F">
        <w:rPr>
          <w:rFonts w:eastAsia="標楷體"/>
          <w:color w:val="000000" w:themeColor="text1"/>
          <w:kern w:val="0"/>
          <w:sz w:val="28"/>
          <w:szCs w:val="32"/>
        </w:rPr>
        <w:t>年</w:t>
      </w:r>
      <w:r w:rsidRPr="00990A2F">
        <w:rPr>
          <w:rFonts w:eastAsia="標楷體" w:hint="eastAsia"/>
          <w:color w:val="000000" w:themeColor="text1"/>
          <w:kern w:val="0"/>
          <w:sz w:val="28"/>
          <w:szCs w:val="32"/>
        </w:rPr>
        <w:t>兩岸</w:t>
      </w:r>
      <w:r w:rsidRPr="00990A2F">
        <w:rPr>
          <w:rFonts w:eastAsia="標楷體"/>
          <w:color w:val="000000" w:themeColor="text1"/>
          <w:kern w:val="0"/>
          <w:sz w:val="28"/>
          <w:szCs w:val="32"/>
        </w:rPr>
        <w:t>在雙邊</w:t>
      </w:r>
      <w:r w:rsidRPr="00990A2F">
        <w:rPr>
          <w:rFonts w:eastAsia="標楷體" w:hint="eastAsia"/>
          <w:color w:val="000000" w:themeColor="text1"/>
          <w:kern w:val="0"/>
          <w:sz w:val="28"/>
          <w:szCs w:val="32"/>
        </w:rPr>
        <w:t>投資</w:t>
      </w:r>
      <w:r w:rsidRPr="00990A2F">
        <w:rPr>
          <w:rFonts w:eastAsia="標楷體"/>
          <w:color w:val="000000" w:themeColor="text1"/>
          <w:kern w:val="0"/>
          <w:sz w:val="28"/>
          <w:szCs w:val="32"/>
        </w:rPr>
        <w:t>方面，</w:t>
      </w:r>
      <w:proofErr w:type="gramStart"/>
      <w:r w:rsidRPr="00990A2F">
        <w:rPr>
          <w:rFonts w:eastAsia="標楷體"/>
          <w:color w:val="000000" w:themeColor="text1"/>
          <w:kern w:val="0"/>
          <w:sz w:val="28"/>
          <w:szCs w:val="32"/>
        </w:rPr>
        <w:t>臺</w:t>
      </w:r>
      <w:proofErr w:type="gramEnd"/>
      <w:r w:rsidRPr="00990A2F">
        <w:rPr>
          <w:rFonts w:eastAsia="標楷體"/>
          <w:color w:val="000000" w:themeColor="text1"/>
          <w:kern w:val="0"/>
          <w:sz w:val="28"/>
          <w:szCs w:val="32"/>
        </w:rPr>
        <w:t>商赴陸投資件數增加</w:t>
      </w:r>
      <w:r w:rsidRPr="00990A2F">
        <w:rPr>
          <w:rFonts w:eastAsia="標楷體" w:hint="eastAsia"/>
          <w:color w:val="000000" w:themeColor="text1"/>
          <w:kern w:val="0"/>
          <w:sz w:val="28"/>
          <w:szCs w:val="32"/>
        </w:rPr>
        <w:t>、</w:t>
      </w:r>
      <w:r w:rsidRPr="00990A2F">
        <w:rPr>
          <w:rFonts w:eastAsia="標楷體"/>
          <w:color w:val="000000" w:themeColor="text1"/>
          <w:kern w:val="0"/>
          <w:sz w:val="28"/>
          <w:szCs w:val="32"/>
        </w:rPr>
        <w:t>金額</w:t>
      </w:r>
      <w:r w:rsidRPr="00990A2F">
        <w:rPr>
          <w:rFonts w:eastAsia="標楷體" w:hint="eastAsia"/>
          <w:color w:val="000000" w:themeColor="text1"/>
          <w:kern w:val="0"/>
          <w:sz w:val="28"/>
          <w:szCs w:val="32"/>
        </w:rPr>
        <w:t>減少</w:t>
      </w:r>
      <w:r w:rsidRPr="00990A2F">
        <w:rPr>
          <w:rFonts w:eastAsia="標楷體"/>
          <w:color w:val="000000" w:themeColor="text1"/>
          <w:kern w:val="0"/>
          <w:sz w:val="28"/>
          <w:szCs w:val="32"/>
        </w:rPr>
        <w:t>；陸資來</w:t>
      </w:r>
      <w:proofErr w:type="gramStart"/>
      <w:r w:rsidRPr="00990A2F">
        <w:rPr>
          <w:rFonts w:eastAsia="標楷體"/>
          <w:color w:val="000000" w:themeColor="text1"/>
          <w:kern w:val="0"/>
          <w:sz w:val="28"/>
          <w:szCs w:val="32"/>
        </w:rPr>
        <w:t>臺</w:t>
      </w:r>
      <w:proofErr w:type="gramEnd"/>
      <w:r w:rsidR="00E66BC9" w:rsidRPr="00E66BC9">
        <w:rPr>
          <w:rFonts w:eastAsia="標楷體" w:hint="eastAsia"/>
          <w:color w:val="000000" w:themeColor="text1"/>
          <w:kern w:val="0"/>
          <w:sz w:val="28"/>
          <w:szCs w:val="32"/>
        </w:rPr>
        <w:t>投資件數</w:t>
      </w:r>
      <w:r w:rsidR="00E72064">
        <w:rPr>
          <w:rFonts w:eastAsia="標楷體" w:hint="eastAsia"/>
          <w:color w:val="000000" w:themeColor="text1"/>
          <w:kern w:val="0"/>
          <w:sz w:val="28"/>
          <w:szCs w:val="32"/>
        </w:rPr>
        <w:t>減少</w:t>
      </w:r>
      <w:r w:rsidR="00E66BC9" w:rsidRPr="00E66BC9">
        <w:rPr>
          <w:rFonts w:eastAsia="標楷體" w:hint="eastAsia"/>
          <w:color w:val="000000" w:themeColor="text1"/>
          <w:kern w:val="0"/>
          <w:sz w:val="28"/>
          <w:szCs w:val="32"/>
        </w:rPr>
        <w:t>、</w:t>
      </w:r>
      <w:r w:rsidRPr="00990A2F">
        <w:rPr>
          <w:rFonts w:eastAsia="標楷體"/>
          <w:color w:val="000000" w:themeColor="text1"/>
          <w:kern w:val="0"/>
          <w:sz w:val="28"/>
          <w:szCs w:val="32"/>
        </w:rPr>
        <w:t>投資金額增加。</w:t>
      </w:r>
      <w:r>
        <w:rPr>
          <w:rFonts w:eastAsia="標楷體"/>
          <w:color w:val="000000" w:themeColor="text1"/>
          <w:kern w:val="0"/>
          <w:sz w:val="28"/>
          <w:szCs w:val="32"/>
        </w:rPr>
        <w:t>在雙邊貿易方面，受惠於中國大陸</w:t>
      </w:r>
      <w:r>
        <w:rPr>
          <w:rFonts w:eastAsia="標楷體" w:hint="eastAsia"/>
          <w:color w:val="000000" w:themeColor="text1"/>
          <w:kern w:val="0"/>
          <w:sz w:val="28"/>
          <w:szCs w:val="32"/>
        </w:rPr>
        <w:t>外貿強勁成長</w:t>
      </w:r>
      <w:r w:rsidRPr="006E7090">
        <w:rPr>
          <w:rFonts w:eastAsia="標楷體"/>
          <w:color w:val="000000" w:themeColor="text1"/>
          <w:kern w:val="0"/>
          <w:sz w:val="28"/>
          <w:szCs w:val="32"/>
        </w:rPr>
        <w:t>，我對中國大陸出口</w:t>
      </w:r>
      <w:r>
        <w:rPr>
          <w:rFonts w:eastAsia="標楷體" w:hint="eastAsia"/>
          <w:color w:val="000000" w:themeColor="text1"/>
          <w:kern w:val="0"/>
          <w:sz w:val="28"/>
          <w:szCs w:val="32"/>
        </w:rPr>
        <w:t>亦大幅回升</w:t>
      </w:r>
      <w:r w:rsidRPr="006E7090">
        <w:rPr>
          <w:rFonts w:ascii="標楷體" w:eastAsia="標楷體" w:hAnsi="標楷體" w:hint="eastAsia"/>
          <w:color w:val="000000" w:themeColor="text1"/>
          <w:kern w:val="0"/>
          <w:sz w:val="28"/>
          <w:szCs w:val="32"/>
        </w:rPr>
        <w:t>。</w:t>
      </w:r>
    </w:p>
    <w:p w:rsidR="00A25B7A" w:rsidRPr="00990A2F" w:rsidRDefault="00A25B7A" w:rsidP="00A25B7A">
      <w:pPr>
        <w:pStyle w:val="af9"/>
        <w:widowControl/>
        <w:numPr>
          <w:ilvl w:val="0"/>
          <w:numId w:val="7"/>
        </w:numPr>
        <w:snapToGrid w:val="0"/>
        <w:spacing w:beforeLines="25" w:before="90" w:line="480" w:lineRule="exact"/>
        <w:ind w:leftChars="0"/>
        <w:jc w:val="both"/>
        <w:rPr>
          <w:rFonts w:eastAsia="標楷體"/>
          <w:sz w:val="28"/>
          <w:szCs w:val="28"/>
        </w:rPr>
      </w:pPr>
      <w:r w:rsidRPr="00990A2F">
        <w:rPr>
          <w:rFonts w:ascii="標楷體" w:eastAsia="標楷體" w:hAnsi="標楷體" w:hint="eastAsia"/>
          <w:b/>
          <w:sz w:val="28"/>
          <w:szCs w:val="32"/>
        </w:rPr>
        <w:t>對中國大陸投資件數增加，金額減少</w:t>
      </w:r>
      <w:r w:rsidRPr="00990A2F">
        <w:rPr>
          <w:rFonts w:ascii="標楷體" w:eastAsia="標楷體" w:hAnsi="標楷體" w:hint="eastAsia"/>
          <w:b/>
          <w:kern w:val="0"/>
          <w:sz w:val="28"/>
          <w:szCs w:val="32"/>
        </w:rPr>
        <w:t>：</w:t>
      </w:r>
      <w:r w:rsidRPr="00990A2F">
        <w:rPr>
          <w:rFonts w:eastAsia="標楷體"/>
          <w:sz w:val="28"/>
          <w:szCs w:val="32"/>
        </w:rPr>
        <w:t>2017</w:t>
      </w:r>
      <w:r w:rsidRPr="00990A2F">
        <w:rPr>
          <w:rFonts w:eastAsia="標楷體"/>
          <w:sz w:val="28"/>
          <w:szCs w:val="32"/>
        </w:rPr>
        <w:t>年核准對中國大陸</w:t>
      </w:r>
      <w:r w:rsidRPr="00990A2F">
        <w:rPr>
          <w:rFonts w:eastAsia="標楷體"/>
          <w:sz w:val="28"/>
          <w:szCs w:val="28"/>
        </w:rPr>
        <w:t>投</w:t>
      </w:r>
      <w:r w:rsidRPr="00990A2F">
        <w:rPr>
          <w:rFonts w:eastAsia="標楷體"/>
          <w:sz w:val="28"/>
          <w:szCs w:val="32"/>
        </w:rPr>
        <w:t>（增）</w:t>
      </w:r>
      <w:proofErr w:type="gramStart"/>
      <w:r w:rsidRPr="00990A2F">
        <w:rPr>
          <w:rFonts w:eastAsia="標楷體"/>
          <w:sz w:val="28"/>
          <w:szCs w:val="28"/>
        </w:rPr>
        <w:t>資件數</w:t>
      </w:r>
      <w:proofErr w:type="gramEnd"/>
      <w:r w:rsidRPr="00990A2F">
        <w:rPr>
          <w:rFonts w:eastAsia="標楷體"/>
          <w:sz w:val="28"/>
          <w:szCs w:val="28"/>
        </w:rPr>
        <w:t>為</w:t>
      </w:r>
      <w:r w:rsidRPr="00990A2F">
        <w:rPr>
          <w:rFonts w:eastAsia="標楷體" w:hint="eastAsia"/>
          <w:sz w:val="28"/>
          <w:szCs w:val="28"/>
        </w:rPr>
        <w:t>484</w:t>
      </w:r>
      <w:r w:rsidRPr="00990A2F">
        <w:rPr>
          <w:rFonts w:eastAsia="標楷體"/>
          <w:sz w:val="28"/>
          <w:szCs w:val="28"/>
        </w:rPr>
        <w:t>件，較上年增加</w:t>
      </w:r>
      <w:r w:rsidRPr="00990A2F">
        <w:rPr>
          <w:rFonts w:eastAsia="標楷體" w:hint="eastAsia"/>
          <w:sz w:val="28"/>
          <w:szCs w:val="28"/>
        </w:rPr>
        <w:t>92.1</w:t>
      </w:r>
      <w:r w:rsidRPr="00990A2F">
        <w:rPr>
          <w:rFonts w:eastAsia="標楷體"/>
          <w:sz w:val="28"/>
          <w:szCs w:val="28"/>
        </w:rPr>
        <w:t>%</w:t>
      </w:r>
      <w:r w:rsidRPr="00990A2F">
        <w:rPr>
          <w:rFonts w:eastAsia="標楷體" w:hint="eastAsia"/>
          <w:sz w:val="28"/>
          <w:szCs w:val="32"/>
        </w:rPr>
        <w:t>；核准</w:t>
      </w:r>
      <w:r w:rsidRPr="00990A2F">
        <w:rPr>
          <w:rFonts w:eastAsia="標楷體"/>
          <w:sz w:val="28"/>
          <w:szCs w:val="32"/>
        </w:rPr>
        <w:t>金額為</w:t>
      </w:r>
      <w:r w:rsidRPr="00990A2F">
        <w:rPr>
          <w:rFonts w:eastAsia="標楷體" w:hint="eastAsia"/>
          <w:sz w:val="28"/>
          <w:szCs w:val="32"/>
        </w:rPr>
        <w:t>87</w:t>
      </w:r>
      <w:r w:rsidRPr="00990A2F">
        <w:rPr>
          <w:rFonts w:eastAsia="標楷體"/>
          <w:sz w:val="28"/>
          <w:szCs w:val="32"/>
        </w:rPr>
        <w:t>.</w:t>
      </w:r>
      <w:r w:rsidRPr="00990A2F">
        <w:rPr>
          <w:rFonts w:eastAsia="標楷體" w:hint="eastAsia"/>
          <w:sz w:val="28"/>
          <w:szCs w:val="32"/>
        </w:rPr>
        <w:t>4</w:t>
      </w:r>
      <w:r w:rsidRPr="00990A2F">
        <w:rPr>
          <w:rFonts w:eastAsia="標楷體"/>
          <w:sz w:val="28"/>
          <w:szCs w:val="32"/>
        </w:rPr>
        <w:t>億美元，較上年</w:t>
      </w:r>
      <w:r w:rsidRPr="00990A2F">
        <w:rPr>
          <w:rFonts w:eastAsia="標楷體" w:hint="eastAsia"/>
          <w:sz w:val="28"/>
          <w:szCs w:val="28"/>
        </w:rPr>
        <w:t>減少</w:t>
      </w:r>
      <w:r w:rsidRPr="00990A2F">
        <w:rPr>
          <w:rFonts w:eastAsia="標楷體" w:hint="eastAsia"/>
          <w:sz w:val="28"/>
          <w:szCs w:val="28"/>
        </w:rPr>
        <w:t>4.8%</w:t>
      </w:r>
      <w:r w:rsidRPr="00990A2F">
        <w:rPr>
          <w:rFonts w:eastAsia="標楷體"/>
          <w:sz w:val="28"/>
          <w:szCs w:val="28"/>
        </w:rPr>
        <w:t>。</w:t>
      </w:r>
      <w:r w:rsidRPr="00990A2F">
        <w:rPr>
          <w:rFonts w:eastAsia="標楷體" w:hint="eastAsia"/>
          <w:sz w:val="28"/>
          <w:szCs w:val="28"/>
        </w:rPr>
        <w:t>2017</w:t>
      </w:r>
      <w:r w:rsidRPr="00990A2F">
        <w:rPr>
          <w:rFonts w:eastAsia="標楷體" w:hint="eastAsia"/>
          <w:sz w:val="28"/>
          <w:szCs w:val="28"/>
        </w:rPr>
        <w:t>年</w:t>
      </w:r>
      <w:r w:rsidRPr="00990A2F">
        <w:rPr>
          <w:rFonts w:eastAsia="標楷體"/>
          <w:sz w:val="28"/>
          <w:szCs w:val="28"/>
        </w:rPr>
        <w:t>赴陸投資主要集中在</w:t>
      </w:r>
      <w:r w:rsidRPr="00990A2F">
        <w:rPr>
          <w:rFonts w:eastAsia="標楷體" w:hint="eastAsia"/>
          <w:sz w:val="28"/>
          <w:szCs w:val="28"/>
        </w:rPr>
        <w:t>電子零組</w:t>
      </w:r>
      <w:r w:rsidRPr="00990A2F">
        <w:rPr>
          <w:rFonts w:eastAsia="標楷體" w:hint="eastAsia"/>
          <w:sz w:val="28"/>
          <w:szCs w:val="28"/>
        </w:rPr>
        <w:lastRenderedPageBreak/>
        <w:t>件製造業</w:t>
      </w:r>
      <w:r w:rsidRPr="00990A2F">
        <w:rPr>
          <w:rFonts w:eastAsia="標楷體"/>
          <w:sz w:val="28"/>
          <w:szCs w:val="28"/>
        </w:rPr>
        <w:t>（占比</w:t>
      </w:r>
      <w:r w:rsidRPr="00990A2F">
        <w:rPr>
          <w:rFonts w:eastAsia="標楷體" w:hint="eastAsia"/>
          <w:sz w:val="28"/>
          <w:szCs w:val="28"/>
        </w:rPr>
        <w:t>20</w:t>
      </w:r>
      <w:r w:rsidRPr="00990A2F">
        <w:rPr>
          <w:rFonts w:eastAsia="標楷體"/>
          <w:sz w:val="28"/>
          <w:szCs w:val="28"/>
        </w:rPr>
        <w:t>.</w:t>
      </w:r>
      <w:r w:rsidRPr="00990A2F">
        <w:rPr>
          <w:rFonts w:eastAsia="標楷體" w:hint="eastAsia"/>
          <w:sz w:val="28"/>
          <w:szCs w:val="28"/>
        </w:rPr>
        <w:t>7</w:t>
      </w:r>
      <w:r w:rsidRPr="00990A2F">
        <w:rPr>
          <w:rFonts w:eastAsia="標楷體"/>
          <w:sz w:val="28"/>
          <w:szCs w:val="28"/>
        </w:rPr>
        <w:t>%</w:t>
      </w:r>
      <w:r w:rsidRPr="00990A2F">
        <w:rPr>
          <w:rFonts w:eastAsia="標楷體"/>
          <w:sz w:val="28"/>
          <w:szCs w:val="28"/>
        </w:rPr>
        <w:t>）、</w:t>
      </w:r>
      <w:r w:rsidRPr="00990A2F">
        <w:rPr>
          <w:rFonts w:eastAsia="標楷體" w:hint="eastAsia"/>
          <w:sz w:val="28"/>
          <w:szCs w:val="28"/>
        </w:rPr>
        <w:t>非金屬礦物製品製造業</w:t>
      </w:r>
      <w:r w:rsidRPr="00990A2F">
        <w:rPr>
          <w:rFonts w:eastAsia="標楷體"/>
          <w:sz w:val="28"/>
          <w:szCs w:val="28"/>
        </w:rPr>
        <w:t>（占比</w:t>
      </w:r>
      <w:r w:rsidRPr="00990A2F">
        <w:rPr>
          <w:rFonts w:eastAsia="標楷體" w:hint="eastAsia"/>
          <w:sz w:val="28"/>
          <w:szCs w:val="28"/>
        </w:rPr>
        <w:t>12</w:t>
      </w:r>
      <w:r w:rsidRPr="00990A2F">
        <w:rPr>
          <w:rFonts w:eastAsia="標楷體"/>
          <w:sz w:val="28"/>
          <w:szCs w:val="28"/>
        </w:rPr>
        <w:t>.</w:t>
      </w:r>
      <w:r w:rsidRPr="00990A2F">
        <w:rPr>
          <w:rFonts w:eastAsia="標楷體" w:hint="eastAsia"/>
          <w:sz w:val="28"/>
          <w:szCs w:val="28"/>
        </w:rPr>
        <w:t>2</w:t>
      </w:r>
      <w:r w:rsidRPr="00990A2F">
        <w:rPr>
          <w:rFonts w:eastAsia="標楷體"/>
          <w:sz w:val="28"/>
          <w:szCs w:val="28"/>
        </w:rPr>
        <w:t>%</w:t>
      </w:r>
      <w:r w:rsidRPr="00990A2F">
        <w:rPr>
          <w:rFonts w:eastAsia="標楷體"/>
          <w:sz w:val="28"/>
          <w:szCs w:val="28"/>
        </w:rPr>
        <w:t>）</w:t>
      </w:r>
      <w:r w:rsidRPr="00990A2F">
        <w:rPr>
          <w:rFonts w:eastAsia="標楷體" w:hint="eastAsia"/>
          <w:sz w:val="28"/>
          <w:szCs w:val="28"/>
        </w:rPr>
        <w:t>、金融及保險業</w:t>
      </w:r>
      <w:r w:rsidRPr="00990A2F">
        <w:rPr>
          <w:rFonts w:eastAsia="標楷體"/>
          <w:sz w:val="28"/>
          <w:szCs w:val="28"/>
        </w:rPr>
        <w:t>（占比</w:t>
      </w:r>
      <w:r w:rsidRPr="00990A2F">
        <w:rPr>
          <w:rFonts w:eastAsia="標楷體" w:hint="eastAsia"/>
          <w:sz w:val="28"/>
          <w:szCs w:val="28"/>
        </w:rPr>
        <w:t>11</w:t>
      </w:r>
      <w:r w:rsidRPr="00990A2F">
        <w:rPr>
          <w:rFonts w:eastAsia="標楷體"/>
          <w:sz w:val="28"/>
          <w:szCs w:val="28"/>
        </w:rPr>
        <w:t>.</w:t>
      </w:r>
      <w:r w:rsidRPr="00990A2F">
        <w:rPr>
          <w:rFonts w:eastAsia="標楷體" w:hint="eastAsia"/>
          <w:sz w:val="28"/>
          <w:szCs w:val="28"/>
        </w:rPr>
        <w:t>6</w:t>
      </w:r>
      <w:r w:rsidRPr="00990A2F">
        <w:rPr>
          <w:rFonts w:eastAsia="標楷體"/>
          <w:sz w:val="28"/>
          <w:szCs w:val="28"/>
        </w:rPr>
        <w:t>%</w:t>
      </w:r>
      <w:r w:rsidRPr="00990A2F">
        <w:rPr>
          <w:rFonts w:eastAsia="標楷體"/>
          <w:sz w:val="28"/>
          <w:szCs w:val="28"/>
        </w:rPr>
        <w:t>）等</w:t>
      </w:r>
      <w:r w:rsidRPr="00990A2F">
        <w:rPr>
          <w:rFonts w:eastAsia="標楷體" w:hint="eastAsia"/>
          <w:sz w:val="28"/>
          <w:szCs w:val="28"/>
        </w:rPr>
        <w:t>。</w:t>
      </w:r>
    </w:p>
    <w:p w:rsidR="00A25B7A" w:rsidRPr="007B6601" w:rsidRDefault="00A25B7A" w:rsidP="00A25B7A">
      <w:pPr>
        <w:pStyle w:val="af9"/>
        <w:widowControl/>
        <w:numPr>
          <w:ilvl w:val="0"/>
          <w:numId w:val="7"/>
        </w:numPr>
        <w:snapToGrid w:val="0"/>
        <w:spacing w:beforeLines="25" w:before="90" w:line="480" w:lineRule="exact"/>
        <w:ind w:leftChars="0"/>
        <w:jc w:val="both"/>
        <w:rPr>
          <w:rFonts w:ascii="標楷體" w:eastAsia="標楷體" w:hAnsi="標楷體"/>
          <w:color w:val="FF0000"/>
          <w:sz w:val="28"/>
          <w:szCs w:val="32"/>
        </w:rPr>
      </w:pPr>
      <w:r w:rsidRPr="00FD7886">
        <w:rPr>
          <w:rFonts w:ascii="標楷體" w:eastAsia="標楷體" w:hAnsi="標楷體" w:hint="eastAsia"/>
          <w:b/>
          <w:sz w:val="28"/>
          <w:szCs w:val="32"/>
        </w:rPr>
        <w:t>陸資來</w:t>
      </w:r>
      <w:proofErr w:type="gramStart"/>
      <w:r w:rsidRPr="00FD7886">
        <w:rPr>
          <w:rFonts w:ascii="標楷體" w:eastAsia="標楷體" w:hAnsi="標楷體" w:hint="eastAsia"/>
          <w:b/>
          <w:sz w:val="28"/>
          <w:szCs w:val="32"/>
        </w:rPr>
        <w:t>臺</w:t>
      </w:r>
      <w:proofErr w:type="gramEnd"/>
      <w:r w:rsidRPr="00FD7886">
        <w:rPr>
          <w:rFonts w:ascii="標楷體" w:eastAsia="標楷體" w:hAnsi="標楷體" w:hint="eastAsia"/>
          <w:b/>
          <w:sz w:val="28"/>
          <w:szCs w:val="32"/>
        </w:rPr>
        <w:t>投資金額增加：</w:t>
      </w:r>
      <w:r w:rsidRPr="00FD7886">
        <w:rPr>
          <w:rFonts w:eastAsia="標楷體"/>
          <w:sz w:val="28"/>
          <w:szCs w:val="32"/>
        </w:rPr>
        <w:t xml:space="preserve"> 2017</w:t>
      </w:r>
      <w:r w:rsidRPr="00FD7886">
        <w:rPr>
          <w:rFonts w:eastAsia="標楷體"/>
          <w:sz w:val="28"/>
          <w:szCs w:val="32"/>
        </w:rPr>
        <w:t>年核准陸資來</w:t>
      </w:r>
      <w:proofErr w:type="gramStart"/>
      <w:r w:rsidRPr="00FD7886">
        <w:rPr>
          <w:rFonts w:eastAsia="標楷體"/>
          <w:sz w:val="28"/>
          <w:szCs w:val="32"/>
        </w:rPr>
        <w:t>臺</w:t>
      </w:r>
      <w:proofErr w:type="gramEnd"/>
      <w:r w:rsidRPr="00FD7886">
        <w:rPr>
          <w:rFonts w:eastAsia="標楷體"/>
          <w:sz w:val="28"/>
          <w:szCs w:val="32"/>
        </w:rPr>
        <w:t>投資金額為</w:t>
      </w:r>
      <w:r w:rsidRPr="00FD7886">
        <w:rPr>
          <w:rFonts w:eastAsia="標楷體" w:hint="eastAsia"/>
          <w:sz w:val="28"/>
          <w:szCs w:val="32"/>
        </w:rPr>
        <w:t>2.7</w:t>
      </w:r>
      <w:r w:rsidRPr="00FD7886">
        <w:rPr>
          <w:rFonts w:eastAsia="標楷體"/>
          <w:sz w:val="28"/>
          <w:szCs w:val="32"/>
        </w:rPr>
        <w:t>億美元，較上年</w:t>
      </w:r>
      <w:r w:rsidRPr="00FD7886">
        <w:rPr>
          <w:rFonts w:eastAsia="標楷體" w:hint="eastAsia"/>
          <w:sz w:val="28"/>
          <w:szCs w:val="32"/>
        </w:rPr>
        <w:t>增加</w:t>
      </w:r>
      <w:r w:rsidRPr="00FD7886">
        <w:rPr>
          <w:rFonts w:eastAsia="標楷體" w:hint="eastAsia"/>
          <w:sz w:val="28"/>
          <w:szCs w:val="32"/>
        </w:rPr>
        <w:t>7</w:t>
      </w:r>
      <w:r w:rsidRPr="00FD7886">
        <w:rPr>
          <w:rFonts w:eastAsia="標楷體"/>
          <w:sz w:val="28"/>
          <w:szCs w:val="32"/>
        </w:rPr>
        <w:t>.</w:t>
      </w:r>
      <w:r w:rsidRPr="00FD7886">
        <w:rPr>
          <w:rFonts w:eastAsia="標楷體" w:hint="eastAsia"/>
          <w:sz w:val="28"/>
          <w:szCs w:val="32"/>
        </w:rPr>
        <w:t>3</w:t>
      </w:r>
      <w:r w:rsidRPr="00FD7886">
        <w:rPr>
          <w:rFonts w:eastAsia="標楷體"/>
          <w:sz w:val="28"/>
          <w:szCs w:val="32"/>
        </w:rPr>
        <w:t>%</w:t>
      </w:r>
      <w:r w:rsidRPr="00FD7886">
        <w:rPr>
          <w:rFonts w:eastAsia="標楷體"/>
          <w:sz w:val="28"/>
          <w:szCs w:val="32"/>
        </w:rPr>
        <w:t>，其中，批發及零售業（占比</w:t>
      </w:r>
      <w:r w:rsidRPr="00FD7886">
        <w:rPr>
          <w:rFonts w:eastAsia="標楷體"/>
          <w:sz w:val="28"/>
          <w:szCs w:val="32"/>
        </w:rPr>
        <w:t>2</w:t>
      </w:r>
      <w:r w:rsidRPr="00FD7886">
        <w:rPr>
          <w:rFonts w:eastAsia="標楷體" w:hint="eastAsia"/>
          <w:sz w:val="28"/>
          <w:szCs w:val="32"/>
        </w:rPr>
        <w:t>8</w:t>
      </w:r>
      <w:r w:rsidRPr="00FD7886">
        <w:rPr>
          <w:rFonts w:eastAsia="標楷體"/>
          <w:sz w:val="28"/>
          <w:szCs w:val="32"/>
        </w:rPr>
        <w:t>.</w:t>
      </w:r>
      <w:r w:rsidRPr="00FD7886">
        <w:rPr>
          <w:rFonts w:eastAsia="標楷體" w:hint="eastAsia"/>
          <w:sz w:val="28"/>
          <w:szCs w:val="32"/>
        </w:rPr>
        <w:t>2</w:t>
      </w:r>
      <w:r w:rsidRPr="00FD7886">
        <w:rPr>
          <w:rFonts w:eastAsia="標楷體"/>
          <w:sz w:val="28"/>
          <w:szCs w:val="32"/>
        </w:rPr>
        <w:t>%</w:t>
      </w:r>
      <w:r w:rsidRPr="00FD7886">
        <w:rPr>
          <w:rFonts w:eastAsia="標楷體"/>
          <w:sz w:val="28"/>
          <w:szCs w:val="32"/>
        </w:rPr>
        <w:t>）、銀行業（占比</w:t>
      </w:r>
      <w:r w:rsidRPr="00FD7886">
        <w:rPr>
          <w:rFonts w:eastAsia="標楷體"/>
          <w:sz w:val="28"/>
          <w:szCs w:val="32"/>
        </w:rPr>
        <w:t>10.</w:t>
      </w:r>
      <w:r w:rsidRPr="00FD7886">
        <w:rPr>
          <w:rFonts w:eastAsia="標楷體" w:hint="eastAsia"/>
          <w:sz w:val="28"/>
          <w:szCs w:val="32"/>
        </w:rPr>
        <w:t>3</w:t>
      </w:r>
      <w:r w:rsidRPr="00FD7886">
        <w:rPr>
          <w:rFonts w:eastAsia="標楷體"/>
          <w:sz w:val="28"/>
          <w:szCs w:val="32"/>
        </w:rPr>
        <w:t>%</w:t>
      </w:r>
      <w:r w:rsidRPr="00FD7886">
        <w:rPr>
          <w:rFonts w:eastAsia="標楷體"/>
          <w:sz w:val="28"/>
          <w:szCs w:val="32"/>
        </w:rPr>
        <w:t>）及電子零組件製造業（占比</w:t>
      </w:r>
      <w:r w:rsidRPr="00FD7886">
        <w:rPr>
          <w:rFonts w:eastAsia="標楷體" w:hint="eastAsia"/>
          <w:sz w:val="28"/>
          <w:szCs w:val="32"/>
        </w:rPr>
        <w:t>9</w:t>
      </w:r>
      <w:r w:rsidRPr="00FD7886">
        <w:rPr>
          <w:rFonts w:eastAsia="標楷體"/>
          <w:sz w:val="28"/>
          <w:szCs w:val="32"/>
        </w:rPr>
        <w:t>.</w:t>
      </w:r>
      <w:r w:rsidRPr="00FD7886">
        <w:rPr>
          <w:rFonts w:eastAsia="標楷體" w:hint="eastAsia"/>
          <w:sz w:val="28"/>
          <w:szCs w:val="32"/>
        </w:rPr>
        <w:t>8</w:t>
      </w:r>
      <w:r w:rsidRPr="00FD7886">
        <w:rPr>
          <w:rFonts w:eastAsia="標楷體"/>
          <w:sz w:val="28"/>
          <w:szCs w:val="32"/>
        </w:rPr>
        <w:t>%</w:t>
      </w:r>
      <w:r w:rsidRPr="00FD7886">
        <w:rPr>
          <w:rFonts w:eastAsia="標楷體"/>
          <w:sz w:val="28"/>
          <w:szCs w:val="32"/>
        </w:rPr>
        <w:t>）居來</w:t>
      </w:r>
      <w:proofErr w:type="gramStart"/>
      <w:r w:rsidRPr="00FD7886">
        <w:rPr>
          <w:rFonts w:eastAsia="標楷體"/>
          <w:sz w:val="28"/>
          <w:szCs w:val="32"/>
        </w:rPr>
        <w:t>臺</w:t>
      </w:r>
      <w:proofErr w:type="gramEnd"/>
      <w:r w:rsidRPr="00FD7886">
        <w:rPr>
          <w:rFonts w:eastAsia="標楷體"/>
          <w:sz w:val="28"/>
          <w:szCs w:val="32"/>
        </w:rPr>
        <w:t>投資前</w:t>
      </w:r>
      <w:r w:rsidRPr="00FD7886">
        <w:rPr>
          <w:rFonts w:eastAsia="標楷體"/>
          <w:sz w:val="28"/>
          <w:szCs w:val="32"/>
        </w:rPr>
        <w:t>3</w:t>
      </w:r>
      <w:r w:rsidRPr="00FD7886">
        <w:rPr>
          <w:rFonts w:eastAsia="標楷體"/>
          <w:sz w:val="28"/>
          <w:szCs w:val="32"/>
        </w:rPr>
        <w:t>名。</w:t>
      </w:r>
    </w:p>
    <w:p w:rsidR="00A25B7A" w:rsidRPr="006E7090" w:rsidRDefault="00A25B7A" w:rsidP="00A25B7A">
      <w:pPr>
        <w:pStyle w:val="af9"/>
        <w:widowControl/>
        <w:numPr>
          <w:ilvl w:val="0"/>
          <w:numId w:val="7"/>
        </w:numPr>
        <w:snapToGrid w:val="0"/>
        <w:spacing w:beforeLines="25" w:before="90" w:line="480" w:lineRule="exact"/>
        <w:ind w:leftChars="0"/>
        <w:jc w:val="both"/>
        <w:rPr>
          <w:rFonts w:eastAsia="標楷體"/>
          <w:color w:val="000000" w:themeColor="text1"/>
          <w:kern w:val="0"/>
          <w:sz w:val="28"/>
          <w:szCs w:val="32"/>
        </w:rPr>
      </w:pPr>
      <w:r w:rsidRPr="006E7090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32"/>
        </w:rPr>
        <w:t>對中國大陸出、進口</w:t>
      </w:r>
      <w:r>
        <w:rPr>
          <w:rFonts w:ascii="標楷體" w:eastAsia="標楷體" w:hAnsi="標楷體" w:hint="eastAsia"/>
          <w:b/>
          <w:color w:val="000000" w:themeColor="text1"/>
          <w:kern w:val="0"/>
          <w:sz w:val="28"/>
          <w:szCs w:val="32"/>
        </w:rPr>
        <w:t>擴增</w:t>
      </w:r>
      <w:r w:rsidRPr="006E7090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32"/>
        </w:rPr>
        <w:t>：</w:t>
      </w:r>
      <w:r w:rsidRPr="006E7090">
        <w:rPr>
          <w:rFonts w:eastAsia="標楷體"/>
          <w:color w:val="000000" w:themeColor="text1"/>
          <w:kern w:val="0"/>
          <w:sz w:val="28"/>
          <w:szCs w:val="32"/>
        </w:rPr>
        <w:t>2017</w:t>
      </w:r>
      <w:r w:rsidRPr="006E7090">
        <w:rPr>
          <w:rFonts w:eastAsia="標楷體"/>
          <w:color w:val="000000" w:themeColor="text1"/>
          <w:kern w:val="0"/>
          <w:sz w:val="28"/>
          <w:szCs w:val="32"/>
        </w:rPr>
        <w:t>年對中國大陸貿易總額為</w:t>
      </w:r>
      <w:r>
        <w:rPr>
          <w:rFonts w:eastAsia="標楷體" w:hint="eastAsia"/>
          <w:color w:val="000000" w:themeColor="text1"/>
          <w:kern w:val="0"/>
          <w:sz w:val="28"/>
          <w:szCs w:val="32"/>
        </w:rPr>
        <w:t>1,390</w:t>
      </w:r>
      <w:r w:rsidRPr="006E7090">
        <w:rPr>
          <w:rFonts w:eastAsia="標楷體"/>
          <w:color w:val="000000" w:themeColor="text1"/>
          <w:kern w:val="0"/>
          <w:sz w:val="28"/>
          <w:szCs w:val="32"/>
        </w:rPr>
        <w:t>.</w:t>
      </w:r>
      <w:r>
        <w:rPr>
          <w:rFonts w:eastAsia="標楷體" w:hint="eastAsia"/>
          <w:color w:val="000000" w:themeColor="text1"/>
          <w:kern w:val="0"/>
          <w:sz w:val="28"/>
          <w:szCs w:val="32"/>
        </w:rPr>
        <w:t>5</w:t>
      </w:r>
      <w:r w:rsidRPr="006E7090">
        <w:rPr>
          <w:rFonts w:eastAsia="標楷體"/>
          <w:color w:val="000000" w:themeColor="text1"/>
          <w:kern w:val="0"/>
          <w:sz w:val="28"/>
          <w:szCs w:val="32"/>
        </w:rPr>
        <w:t>億美元，占我整體對外貿易比重達</w:t>
      </w:r>
      <w:r w:rsidRPr="006E7090">
        <w:rPr>
          <w:rFonts w:eastAsia="標楷體"/>
          <w:color w:val="000000" w:themeColor="text1"/>
          <w:kern w:val="0"/>
          <w:sz w:val="28"/>
          <w:szCs w:val="32"/>
        </w:rPr>
        <w:t>2</w:t>
      </w:r>
      <w:r>
        <w:rPr>
          <w:rFonts w:eastAsia="標楷體" w:hint="eastAsia"/>
          <w:color w:val="000000" w:themeColor="text1"/>
          <w:kern w:val="0"/>
          <w:sz w:val="28"/>
          <w:szCs w:val="32"/>
        </w:rPr>
        <w:t>4</w:t>
      </w:r>
      <w:r w:rsidRPr="006E7090">
        <w:rPr>
          <w:rFonts w:eastAsia="標楷體"/>
          <w:color w:val="000000" w:themeColor="text1"/>
          <w:kern w:val="0"/>
          <w:sz w:val="28"/>
          <w:szCs w:val="32"/>
        </w:rPr>
        <w:t>.</w:t>
      </w:r>
      <w:r>
        <w:rPr>
          <w:rFonts w:eastAsia="標楷體" w:hint="eastAsia"/>
          <w:color w:val="000000" w:themeColor="text1"/>
          <w:kern w:val="0"/>
          <w:sz w:val="28"/>
          <w:szCs w:val="32"/>
        </w:rPr>
        <w:t>1</w:t>
      </w:r>
      <w:r w:rsidRPr="006E7090">
        <w:rPr>
          <w:rFonts w:eastAsia="標楷體"/>
          <w:color w:val="000000" w:themeColor="text1"/>
          <w:sz w:val="28"/>
          <w:szCs w:val="32"/>
        </w:rPr>
        <w:t>%</w:t>
      </w:r>
      <w:r w:rsidRPr="006E7090">
        <w:rPr>
          <w:rFonts w:eastAsia="標楷體"/>
          <w:color w:val="000000" w:themeColor="text1"/>
          <w:kern w:val="0"/>
          <w:sz w:val="28"/>
          <w:szCs w:val="32"/>
        </w:rPr>
        <w:t>。其中出口為</w:t>
      </w:r>
      <w:r>
        <w:rPr>
          <w:rFonts w:eastAsia="標楷體" w:hint="eastAsia"/>
          <w:color w:val="000000" w:themeColor="text1"/>
          <w:kern w:val="0"/>
          <w:sz w:val="28"/>
          <w:szCs w:val="32"/>
        </w:rPr>
        <w:t>890</w:t>
      </w:r>
      <w:r w:rsidRPr="006E7090">
        <w:rPr>
          <w:rFonts w:eastAsia="標楷體"/>
          <w:color w:val="000000" w:themeColor="text1"/>
          <w:kern w:val="0"/>
          <w:sz w:val="28"/>
          <w:szCs w:val="32"/>
        </w:rPr>
        <w:t>.</w:t>
      </w:r>
      <w:r>
        <w:rPr>
          <w:rFonts w:eastAsia="標楷體" w:hint="eastAsia"/>
          <w:color w:val="000000" w:themeColor="text1"/>
          <w:kern w:val="0"/>
          <w:sz w:val="28"/>
          <w:szCs w:val="32"/>
        </w:rPr>
        <w:t>0</w:t>
      </w:r>
      <w:r w:rsidRPr="006E7090">
        <w:rPr>
          <w:rFonts w:eastAsia="標楷體"/>
          <w:color w:val="000000" w:themeColor="text1"/>
          <w:kern w:val="0"/>
          <w:sz w:val="28"/>
          <w:szCs w:val="32"/>
        </w:rPr>
        <w:t>億美元（占我出口總額</w:t>
      </w:r>
      <w:r w:rsidRPr="006E7090">
        <w:rPr>
          <w:rFonts w:eastAsia="標楷體"/>
          <w:color w:val="000000" w:themeColor="text1"/>
          <w:kern w:val="0"/>
          <w:sz w:val="28"/>
          <w:szCs w:val="32"/>
        </w:rPr>
        <w:t>2</w:t>
      </w:r>
      <w:r>
        <w:rPr>
          <w:rFonts w:eastAsia="標楷體" w:hint="eastAsia"/>
          <w:color w:val="000000" w:themeColor="text1"/>
          <w:kern w:val="0"/>
          <w:sz w:val="28"/>
          <w:szCs w:val="32"/>
        </w:rPr>
        <w:t>8</w:t>
      </w:r>
      <w:r w:rsidRPr="006E7090">
        <w:rPr>
          <w:rFonts w:eastAsia="標楷體"/>
          <w:color w:val="000000" w:themeColor="text1"/>
          <w:kern w:val="0"/>
          <w:sz w:val="28"/>
          <w:szCs w:val="32"/>
        </w:rPr>
        <w:t>.</w:t>
      </w:r>
      <w:r>
        <w:rPr>
          <w:rFonts w:eastAsia="標楷體" w:hint="eastAsia"/>
          <w:color w:val="000000" w:themeColor="text1"/>
          <w:kern w:val="0"/>
          <w:sz w:val="28"/>
          <w:szCs w:val="32"/>
        </w:rPr>
        <w:t>0</w:t>
      </w:r>
      <w:r w:rsidRPr="006E7090">
        <w:rPr>
          <w:rFonts w:eastAsia="標楷體"/>
          <w:color w:val="000000" w:themeColor="text1"/>
          <w:sz w:val="28"/>
          <w:szCs w:val="32"/>
        </w:rPr>
        <w:t>%</w:t>
      </w:r>
      <w:r w:rsidRPr="006E7090">
        <w:rPr>
          <w:rFonts w:eastAsia="標楷體"/>
          <w:color w:val="000000" w:themeColor="text1"/>
          <w:kern w:val="0"/>
          <w:sz w:val="28"/>
          <w:szCs w:val="32"/>
        </w:rPr>
        <w:t>），較上年增加</w:t>
      </w:r>
      <w:r>
        <w:rPr>
          <w:rFonts w:eastAsia="標楷體" w:hint="eastAsia"/>
          <w:color w:val="000000" w:themeColor="text1"/>
          <w:kern w:val="0"/>
          <w:sz w:val="28"/>
          <w:szCs w:val="32"/>
        </w:rPr>
        <w:t>20</w:t>
      </w:r>
      <w:r w:rsidRPr="006E7090">
        <w:rPr>
          <w:rFonts w:eastAsia="標楷體"/>
          <w:color w:val="000000" w:themeColor="text1"/>
          <w:kern w:val="0"/>
          <w:sz w:val="28"/>
          <w:szCs w:val="32"/>
        </w:rPr>
        <w:t>.</w:t>
      </w:r>
      <w:r>
        <w:rPr>
          <w:rFonts w:eastAsia="標楷體" w:hint="eastAsia"/>
          <w:color w:val="000000" w:themeColor="text1"/>
          <w:kern w:val="0"/>
          <w:sz w:val="28"/>
          <w:szCs w:val="32"/>
        </w:rPr>
        <w:t>5</w:t>
      </w:r>
      <w:r w:rsidRPr="006E7090">
        <w:rPr>
          <w:rFonts w:eastAsia="標楷體"/>
          <w:color w:val="000000" w:themeColor="text1"/>
          <w:sz w:val="28"/>
          <w:szCs w:val="32"/>
        </w:rPr>
        <w:t>%</w:t>
      </w:r>
      <w:r>
        <w:rPr>
          <w:rFonts w:eastAsia="標楷體" w:hint="eastAsia"/>
          <w:color w:val="000000" w:themeColor="text1"/>
          <w:kern w:val="0"/>
          <w:sz w:val="28"/>
          <w:szCs w:val="32"/>
        </w:rPr>
        <w:t>；</w:t>
      </w:r>
      <w:r w:rsidRPr="006E7090">
        <w:rPr>
          <w:rFonts w:eastAsia="標楷體"/>
          <w:color w:val="000000" w:themeColor="text1"/>
          <w:kern w:val="0"/>
          <w:sz w:val="28"/>
          <w:szCs w:val="32"/>
        </w:rPr>
        <w:t>進口</w:t>
      </w:r>
      <w:r>
        <w:rPr>
          <w:rFonts w:eastAsia="標楷體" w:hint="eastAsia"/>
          <w:color w:val="000000" w:themeColor="text1"/>
          <w:kern w:val="0"/>
          <w:sz w:val="28"/>
          <w:szCs w:val="32"/>
        </w:rPr>
        <w:t>為</w:t>
      </w:r>
      <w:r>
        <w:rPr>
          <w:rFonts w:eastAsia="標楷體" w:hint="eastAsia"/>
          <w:color w:val="000000" w:themeColor="text1"/>
          <w:kern w:val="0"/>
          <w:sz w:val="28"/>
          <w:szCs w:val="32"/>
        </w:rPr>
        <w:t>500</w:t>
      </w:r>
      <w:r w:rsidRPr="006E7090">
        <w:rPr>
          <w:rFonts w:eastAsia="標楷體"/>
          <w:color w:val="000000" w:themeColor="text1"/>
          <w:kern w:val="0"/>
          <w:sz w:val="28"/>
          <w:szCs w:val="32"/>
        </w:rPr>
        <w:t>.</w:t>
      </w:r>
      <w:r>
        <w:rPr>
          <w:rFonts w:eastAsia="標楷體" w:hint="eastAsia"/>
          <w:color w:val="000000" w:themeColor="text1"/>
          <w:kern w:val="0"/>
          <w:sz w:val="28"/>
          <w:szCs w:val="32"/>
        </w:rPr>
        <w:t>5</w:t>
      </w:r>
      <w:r w:rsidRPr="006E7090">
        <w:rPr>
          <w:rFonts w:eastAsia="標楷體"/>
          <w:color w:val="000000" w:themeColor="text1"/>
          <w:kern w:val="0"/>
          <w:sz w:val="28"/>
          <w:szCs w:val="32"/>
        </w:rPr>
        <w:t>億美元（占我進口總額</w:t>
      </w:r>
      <w:r w:rsidRPr="006E7090">
        <w:rPr>
          <w:rFonts w:eastAsia="標楷體"/>
          <w:color w:val="000000" w:themeColor="text1"/>
          <w:kern w:val="0"/>
          <w:sz w:val="28"/>
          <w:szCs w:val="32"/>
        </w:rPr>
        <w:t>19.</w:t>
      </w:r>
      <w:r>
        <w:rPr>
          <w:rFonts w:eastAsia="標楷體" w:hint="eastAsia"/>
          <w:color w:val="000000" w:themeColor="text1"/>
          <w:kern w:val="0"/>
          <w:sz w:val="28"/>
          <w:szCs w:val="32"/>
        </w:rPr>
        <w:t>3</w:t>
      </w:r>
      <w:r w:rsidRPr="006E7090">
        <w:rPr>
          <w:rFonts w:eastAsia="標楷體"/>
          <w:color w:val="000000" w:themeColor="text1"/>
          <w:sz w:val="28"/>
          <w:szCs w:val="32"/>
        </w:rPr>
        <w:t>%</w:t>
      </w:r>
      <w:r w:rsidRPr="006E7090">
        <w:rPr>
          <w:rFonts w:eastAsia="標楷體"/>
          <w:color w:val="000000" w:themeColor="text1"/>
          <w:kern w:val="0"/>
          <w:sz w:val="28"/>
          <w:szCs w:val="32"/>
        </w:rPr>
        <w:t>），增加</w:t>
      </w:r>
      <w:r w:rsidRPr="006E7090">
        <w:rPr>
          <w:rFonts w:eastAsia="標楷體"/>
          <w:color w:val="000000" w:themeColor="text1"/>
          <w:kern w:val="0"/>
          <w:sz w:val="28"/>
          <w:szCs w:val="32"/>
        </w:rPr>
        <w:t>1</w:t>
      </w:r>
      <w:r>
        <w:rPr>
          <w:rFonts w:eastAsia="標楷體" w:hint="eastAsia"/>
          <w:color w:val="000000" w:themeColor="text1"/>
          <w:kern w:val="0"/>
          <w:sz w:val="28"/>
          <w:szCs w:val="32"/>
        </w:rPr>
        <w:t>3</w:t>
      </w:r>
      <w:r w:rsidRPr="006E7090">
        <w:rPr>
          <w:rFonts w:eastAsia="標楷體"/>
          <w:color w:val="000000" w:themeColor="text1"/>
          <w:kern w:val="0"/>
          <w:sz w:val="28"/>
          <w:szCs w:val="32"/>
        </w:rPr>
        <w:t>.</w:t>
      </w:r>
      <w:r>
        <w:rPr>
          <w:rFonts w:eastAsia="標楷體" w:hint="eastAsia"/>
          <w:color w:val="000000" w:themeColor="text1"/>
          <w:kern w:val="0"/>
          <w:sz w:val="28"/>
          <w:szCs w:val="32"/>
        </w:rPr>
        <w:t>8</w:t>
      </w:r>
      <w:r w:rsidRPr="006E7090">
        <w:rPr>
          <w:rFonts w:eastAsia="標楷體"/>
          <w:color w:val="000000" w:themeColor="text1"/>
          <w:sz w:val="28"/>
          <w:szCs w:val="32"/>
        </w:rPr>
        <w:t>%</w:t>
      </w:r>
      <w:r w:rsidRPr="006E7090">
        <w:rPr>
          <w:rFonts w:eastAsia="標楷體"/>
          <w:color w:val="000000" w:themeColor="text1"/>
          <w:kern w:val="0"/>
          <w:sz w:val="28"/>
          <w:szCs w:val="32"/>
        </w:rPr>
        <w:t>。另</w:t>
      </w:r>
      <w:r w:rsidRPr="006E7090">
        <w:rPr>
          <w:rFonts w:eastAsia="標楷體"/>
          <w:color w:val="000000" w:themeColor="text1"/>
          <w:kern w:val="0"/>
          <w:sz w:val="28"/>
          <w:szCs w:val="32"/>
        </w:rPr>
        <w:t>2017</w:t>
      </w:r>
      <w:r w:rsidRPr="006E7090">
        <w:rPr>
          <w:rFonts w:eastAsia="標楷體"/>
          <w:color w:val="000000" w:themeColor="text1"/>
          <w:kern w:val="0"/>
          <w:sz w:val="28"/>
          <w:szCs w:val="32"/>
        </w:rPr>
        <w:t>年對中國大陸及香港出口金額</w:t>
      </w:r>
      <w:r>
        <w:rPr>
          <w:rFonts w:eastAsia="標楷體" w:hint="eastAsia"/>
          <w:color w:val="000000" w:themeColor="text1"/>
          <w:kern w:val="0"/>
          <w:sz w:val="28"/>
          <w:szCs w:val="32"/>
        </w:rPr>
        <w:t>1,302</w:t>
      </w:r>
      <w:r w:rsidRPr="006E7090">
        <w:rPr>
          <w:rFonts w:eastAsia="標楷體"/>
          <w:color w:val="000000" w:themeColor="text1"/>
          <w:kern w:val="0"/>
          <w:sz w:val="28"/>
          <w:szCs w:val="32"/>
        </w:rPr>
        <w:t>.</w:t>
      </w:r>
      <w:r>
        <w:rPr>
          <w:rFonts w:eastAsia="標楷體" w:hint="eastAsia"/>
          <w:color w:val="000000" w:themeColor="text1"/>
          <w:kern w:val="0"/>
          <w:sz w:val="28"/>
          <w:szCs w:val="32"/>
        </w:rPr>
        <w:t>8</w:t>
      </w:r>
      <w:r w:rsidRPr="006E7090">
        <w:rPr>
          <w:rFonts w:eastAsia="標楷體"/>
          <w:color w:val="000000" w:themeColor="text1"/>
          <w:kern w:val="0"/>
          <w:sz w:val="28"/>
          <w:szCs w:val="32"/>
        </w:rPr>
        <w:t xml:space="preserve"> </w:t>
      </w:r>
      <w:r w:rsidRPr="006E7090">
        <w:rPr>
          <w:rFonts w:eastAsia="標楷體"/>
          <w:color w:val="000000" w:themeColor="text1"/>
          <w:kern w:val="0"/>
          <w:sz w:val="28"/>
          <w:szCs w:val="32"/>
        </w:rPr>
        <w:t>億美元（占我出口總額</w:t>
      </w:r>
      <w:r>
        <w:rPr>
          <w:rFonts w:eastAsia="標楷體" w:hint="eastAsia"/>
          <w:color w:val="000000" w:themeColor="text1"/>
          <w:kern w:val="0"/>
          <w:sz w:val="28"/>
          <w:szCs w:val="32"/>
        </w:rPr>
        <w:t>41</w:t>
      </w:r>
      <w:r w:rsidRPr="006E7090">
        <w:rPr>
          <w:rFonts w:eastAsia="標楷體"/>
          <w:color w:val="000000" w:themeColor="text1"/>
          <w:kern w:val="0"/>
          <w:sz w:val="28"/>
          <w:szCs w:val="32"/>
        </w:rPr>
        <w:t>.</w:t>
      </w:r>
      <w:r>
        <w:rPr>
          <w:rFonts w:eastAsia="標楷體" w:hint="eastAsia"/>
          <w:color w:val="000000" w:themeColor="text1"/>
          <w:kern w:val="0"/>
          <w:sz w:val="28"/>
          <w:szCs w:val="32"/>
        </w:rPr>
        <w:t>0</w:t>
      </w:r>
      <w:r w:rsidRPr="006E7090">
        <w:rPr>
          <w:rFonts w:eastAsia="標楷體"/>
          <w:color w:val="000000" w:themeColor="text1"/>
          <w:sz w:val="28"/>
          <w:szCs w:val="32"/>
        </w:rPr>
        <w:t>%</w:t>
      </w:r>
      <w:r w:rsidRPr="006E7090">
        <w:rPr>
          <w:rFonts w:eastAsia="標楷體"/>
          <w:color w:val="000000" w:themeColor="text1"/>
          <w:kern w:val="0"/>
          <w:sz w:val="28"/>
          <w:szCs w:val="32"/>
        </w:rPr>
        <w:t>），較上年增加</w:t>
      </w:r>
      <w:r w:rsidRPr="006E7090">
        <w:rPr>
          <w:rFonts w:eastAsia="標楷體"/>
          <w:color w:val="000000" w:themeColor="text1"/>
          <w:kern w:val="0"/>
          <w:sz w:val="28"/>
          <w:szCs w:val="32"/>
        </w:rPr>
        <w:t>1</w:t>
      </w:r>
      <w:r>
        <w:rPr>
          <w:rFonts w:eastAsia="標楷體" w:hint="eastAsia"/>
          <w:color w:val="000000" w:themeColor="text1"/>
          <w:kern w:val="0"/>
          <w:sz w:val="28"/>
          <w:szCs w:val="32"/>
        </w:rPr>
        <w:t>6</w:t>
      </w:r>
      <w:r w:rsidRPr="006E7090">
        <w:rPr>
          <w:rFonts w:eastAsia="標楷體"/>
          <w:color w:val="000000" w:themeColor="text1"/>
          <w:kern w:val="0"/>
          <w:sz w:val="28"/>
          <w:szCs w:val="32"/>
        </w:rPr>
        <w:t>.</w:t>
      </w:r>
      <w:r>
        <w:rPr>
          <w:rFonts w:eastAsia="標楷體" w:hint="eastAsia"/>
          <w:color w:val="000000" w:themeColor="text1"/>
          <w:kern w:val="0"/>
          <w:sz w:val="28"/>
          <w:szCs w:val="32"/>
        </w:rPr>
        <w:t>0</w:t>
      </w:r>
      <w:r w:rsidRPr="006E7090">
        <w:rPr>
          <w:rFonts w:eastAsia="標楷體"/>
          <w:color w:val="000000" w:themeColor="text1"/>
          <w:sz w:val="28"/>
          <w:szCs w:val="32"/>
        </w:rPr>
        <w:t>%</w:t>
      </w:r>
      <w:r w:rsidRPr="006E7090">
        <w:rPr>
          <w:rFonts w:eastAsia="標楷體"/>
          <w:color w:val="000000" w:themeColor="text1"/>
          <w:kern w:val="0"/>
          <w:sz w:val="28"/>
          <w:szCs w:val="32"/>
        </w:rPr>
        <w:t>；進口金額為</w:t>
      </w:r>
      <w:r>
        <w:rPr>
          <w:rFonts w:eastAsia="標楷體" w:hint="eastAsia"/>
          <w:color w:val="000000" w:themeColor="text1"/>
          <w:kern w:val="0"/>
          <w:sz w:val="28"/>
          <w:szCs w:val="32"/>
        </w:rPr>
        <w:t>515</w:t>
      </w:r>
      <w:r w:rsidRPr="006E7090">
        <w:rPr>
          <w:rFonts w:eastAsia="標楷體"/>
          <w:color w:val="000000" w:themeColor="text1"/>
          <w:kern w:val="0"/>
          <w:sz w:val="28"/>
          <w:szCs w:val="32"/>
        </w:rPr>
        <w:t>.</w:t>
      </w:r>
      <w:r>
        <w:rPr>
          <w:rFonts w:eastAsia="標楷體" w:hint="eastAsia"/>
          <w:color w:val="000000" w:themeColor="text1"/>
          <w:kern w:val="0"/>
          <w:sz w:val="28"/>
          <w:szCs w:val="32"/>
        </w:rPr>
        <w:t>6</w:t>
      </w:r>
      <w:r w:rsidRPr="006E7090">
        <w:rPr>
          <w:rFonts w:eastAsia="標楷體"/>
          <w:color w:val="000000" w:themeColor="text1"/>
          <w:kern w:val="0"/>
          <w:sz w:val="28"/>
          <w:szCs w:val="32"/>
        </w:rPr>
        <w:t>億美元（占我進口總額</w:t>
      </w:r>
      <w:r>
        <w:rPr>
          <w:rFonts w:eastAsia="標楷體" w:hint="eastAsia"/>
          <w:color w:val="000000" w:themeColor="text1"/>
          <w:kern w:val="0"/>
          <w:sz w:val="28"/>
          <w:szCs w:val="32"/>
        </w:rPr>
        <w:t>19</w:t>
      </w:r>
      <w:r w:rsidRPr="006E7090">
        <w:rPr>
          <w:rFonts w:eastAsia="標楷體"/>
          <w:color w:val="000000" w:themeColor="text1"/>
          <w:kern w:val="0"/>
          <w:sz w:val="28"/>
          <w:szCs w:val="32"/>
        </w:rPr>
        <w:t>.</w:t>
      </w:r>
      <w:r>
        <w:rPr>
          <w:rFonts w:eastAsia="標楷體" w:hint="eastAsia"/>
          <w:color w:val="000000" w:themeColor="text1"/>
          <w:kern w:val="0"/>
          <w:sz w:val="28"/>
          <w:szCs w:val="32"/>
        </w:rPr>
        <w:t>9</w:t>
      </w:r>
      <w:r w:rsidRPr="006E7090">
        <w:rPr>
          <w:rFonts w:eastAsia="標楷體"/>
          <w:color w:val="000000" w:themeColor="text1"/>
          <w:sz w:val="28"/>
          <w:szCs w:val="32"/>
        </w:rPr>
        <w:t>%</w:t>
      </w:r>
      <w:r w:rsidRPr="006E7090">
        <w:rPr>
          <w:rFonts w:eastAsia="標楷體"/>
          <w:color w:val="000000" w:themeColor="text1"/>
          <w:kern w:val="0"/>
          <w:sz w:val="28"/>
          <w:szCs w:val="32"/>
        </w:rPr>
        <w:t>），較上年增加</w:t>
      </w:r>
      <w:r w:rsidRPr="006E7090">
        <w:rPr>
          <w:rFonts w:eastAsia="標楷體"/>
          <w:color w:val="000000" w:themeColor="text1"/>
          <w:kern w:val="0"/>
          <w:sz w:val="28"/>
          <w:szCs w:val="32"/>
        </w:rPr>
        <w:t>1</w:t>
      </w:r>
      <w:r>
        <w:rPr>
          <w:rFonts w:eastAsia="標楷體" w:hint="eastAsia"/>
          <w:color w:val="000000" w:themeColor="text1"/>
          <w:kern w:val="0"/>
          <w:sz w:val="28"/>
          <w:szCs w:val="32"/>
        </w:rPr>
        <w:t>3</w:t>
      </w:r>
      <w:r w:rsidRPr="006E7090">
        <w:rPr>
          <w:rFonts w:eastAsia="標楷體"/>
          <w:color w:val="000000" w:themeColor="text1"/>
          <w:kern w:val="0"/>
          <w:sz w:val="28"/>
          <w:szCs w:val="32"/>
        </w:rPr>
        <w:t>.</w:t>
      </w:r>
      <w:r>
        <w:rPr>
          <w:rFonts w:eastAsia="標楷體" w:hint="eastAsia"/>
          <w:color w:val="000000" w:themeColor="text1"/>
          <w:kern w:val="0"/>
          <w:sz w:val="28"/>
          <w:szCs w:val="32"/>
        </w:rPr>
        <w:t>8</w:t>
      </w:r>
      <w:r w:rsidRPr="006E7090">
        <w:rPr>
          <w:rFonts w:eastAsia="標楷體"/>
          <w:color w:val="000000" w:themeColor="text1"/>
          <w:sz w:val="28"/>
          <w:szCs w:val="32"/>
        </w:rPr>
        <w:t>%</w:t>
      </w:r>
      <w:r w:rsidRPr="006E7090">
        <w:rPr>
          <w:rFonts w:eastAsia="標楷體"/>
          <w:color w:val="000000" w:themeColor="text1"/>
          <w:kern w:val="0"/>
          <w:sz w:val="28"/>
          <w:szCs w:val="32"/>
        </w:rPr>
        <w:t>。</w:t>
      </w:r>
    </w:p>
    <w:p w:rsidR="008A6AB4" w:rsidRPr="00A25B7A" w:rsidRDefault="00A25B7A" w:rsidP="00A25B7A">
      <w:pPr>
        <w:pStyle w:val="af9"/>
        <w:widowControl/>
        <w:numPr>
          <w:ilvl w:val="0"/>
          <w:numId w:val="17"/>
        </w:numPr>
        <w:snapToGrid w:val="0"/>
        <w:spacing w:beforeLines="25" w:before="90" w:afterLines="23" w:after="82" w:line="500" w:lineRule="exact"/>
        <w:ind w:leftChars="0" w:left="426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  <w:sectPr w:rsidR="008A6AB4" w:rsidRPr="00A25B7A" w:rsidSect="004466A7">
          <w:footerReference w:type="even" r:id="rId17"/>
          <w:footerReference w:type="default" r:id="rId18"/>
          <w:pgSz w:w="11906" w:h="16838"/>
          <w:pgMar w:top="1440" w:right="1800" w:bottom="1440" w:left="1800" w:header="851" w:footer="589" w:gutter="0"/>
          <w:pgNumType w:fmt="lowerRoman" w:start="1"/>
          <w:cols w:space="425"/>
          <w:docGrid w:type="lines" w:linePitch="360"/>
        </w:sectPr>
      </w:pPr>
      <w:r w:rsidRPr="00A25B7A">
        <w:rPr>
          <w:rFonts w:eastAsia="標楷體" w:hint="eastAsia"/>
          <w:b/>
          <w:color w:val="000000" w:themeColor="text1"/>
          <w:kern w:val="0"/>
          <w:sz w:val="28"/>
          <w:szCs w:val="32"/>
        </w:rPr>
        <w:t>陸客來</w:t>
      </w:r>
      <w:proofErr w:type="gramStart"/>
      <w:r w:rsidRPr="00A25B7A">
        <w:rPr>
          <w:rFonts w:eastAsia="標楷體" w:hint="eastAsia"/>
          <w:b/>
          <w:color w:val="000000" w:themeColor="text1"/>
          <w:kern w:val="0"/>
          <w:sz w:val="28"/>
          <w:szCs w:val="32"/>
        </w:rPr>
        <w:t>臺</w:t>
      </w:r>
      <w:proofErr w:type="gramEnd"/>
      <w:r w:rsidRPr="00A25B7A">
        <w:rPr>
          <w:rFonts w:eastAsia="標楷體" w:hint="eastAsia"/>
          <w:b/>
          <w:color w:val="000000" w:themeColor="text1"/>
          <w:kern w:val="0"/>
          <w:sz w:val="28"/>
          <w:szCs w:val="32"/>
        </w:rPr>
        <w:t>減少：</w:t>
      </w:r>
      <w:r w:rsidRPr="00A25B7A">
        <w:rPr>
          <w:rFonts w:eastAsia="標楷體" w:hint="eastAsia"/>
          <w:color w:val="000000" w:themeColor="text1"/>
          <w:kern w:val="0"/>
          <w:sz w:val="28"/>
          <w:szCs w:val="32"/>
        </w:rPr>
        <w:t>2017</w:t>
      </w:r>
      <w:r w:rsidRPr="00A25B7A">
        <w:rPr>
          <w:rFonts w:eastAsia="標楷體" w:hint="eastAsia"/>
          <w:color w:val="000000" w:themeColor="text1"/>
          <w:kern w:val="0"/>
          <w:sz w:val="28"/>
          <w:szCs w:val="32"/>
        </w:rPr>
        <w:t>年</w:t>
      </w:r>
      <w:r w:rsidRPr="00A25B7A">
        <w:rPr>
          <w:rFonts w:eastAsia="標楷體"/>
          <w:color w:val="000000" w:themeColor="text1"/>
          <w:kern w:val="0"/>
          <w:sz w:val="28"/>
          <w:szCs w:val="32"/>
        </w:rPr>
        <w:t>陸客來</w:t>
      </w:r>
      <w:proofErr w:type="gramStart"/>
      <w:r w:rsidRPr="00A25B7A">
        <w:rPr>
          <w:rFonts w:eastAsia="標楷體"/>
          <w:color w:val="000000" w:themeColor="text1"/>
          <w:kern w:val="0"/>
          <w:sz w:val="28"/>
          <w:szCs w:val="32"/>
        </w:rPr>
        <w:t>臺</w:t>
      </w:r>
      <w:proofErr w:type="gramEnd"/>
      <w:r w:rsidRPr="00A25B7A">
        <w:rPr>
          <w:rFonts w:eastAsia="標楷體"/>
          <w:color w:val="000000" w:themeColor="text1"/>
          <w:kern w:val="0"/>
          <w:sz w:val="28"/>
          <w:szCs w:val="32"/>
        </w:rPr>
        <w:t>旅遊人數</w:t>
      </w:r>
      <w:r w:rsidRPr="00A25B7A">
        <w:rPr>
          <w:rFonts w:eastAsia="標楷體"/>
          <w:color w:val="000000" w:themeColor="text1"/>
          <w:kern w:val="0"/>
          <w:sz w:val="28"/>
          <w:szCs w:val="32"/>
        </w:rPr>
        <w:t>(</w:t>
      </w:r>
      <w:r w:rsidRPr="00A25B7A">
        <w:rPr>
          <w:rFonts w:eastAsia="標楷體"/>
          <w:color w:val="000000" w:themeColor="text1"/>
          <w:kern w:val="0"/>
          <w:sz w:val="28"/>
          <w:szCs w:val="32"/>
        </w:rPr>
        <w:t>含團體旅遊及自由行</w:t>
      </w:r>
      <w:r w:rsidRPr="00A25B7A">
        <w:rPr>
          <w:rFonts w:eastAsia="標楷體"/>
          <w:color w:val="000000" w:themeColor="text1"/>
          <w:kern w:val="0"/>
          <w:sz w:val="28"/>
          <w:szCs w:val="32"/>
        </w:rPr>
        <w:t>)</w:t>
      </w:r>
      <w:r w:rsidRPr="00A25B7A">
        <w:rPr>
          <w:rFonts w:eastAsia="標楷體"/>
          <w:color w:val="000000" w:themeColor="text1"/>
          <w:kern w:val="0"/>
          <w:sz w:val="28"/>
          <w:szCs w:val="32"/>
        </w:rPr>
        <w:t>為</w:t>
      </w:r>
      <w:r w:rsidRPr="00A25B7A">
        <w:rPr>
          <w:rFonts w:eastAsia="標楷體" w:hint="eastAsia"/>
          <w:color w:val="000000" w:themeColor="text1"/>
          <w:kern w:val="0"/>
          <w:sz w:val="28"/>
          <w:szCs w:val="32"/>
        </w:rPr>
        <w:t>189.7</w:t>
      </w:r>
      <w:r w:rsidRPr="00A25B7A">
        <w:rPr>
          <w:rFonts w:eastAsia="標楷體"/>
          <w:color w:val="000000" w:themeColor="text1"/>
          <w:kern w:val="0"/>
          <w:sz w:val="28"/>
          <w:szCs w:val="32"/>
        </w:rPr>
        <w:t>萬人</w:t>
      </w:r>
      <w:r w:rsidRPr="00A25B7A">
        <w:rPr>
          <w:rFonts w:eastAsia="標楷體" w:hint="eastAsia"/>
          <w:color w:val="000000" w:themeColor="text1"/>
          <w:kern w:val="0"/>
          <w:sz w:val="28"/>
          <w:szCs w:val="32"/>
        </w:rPr>
        <w:t>，較上年減少</w:t>
      </w:r>
      <w:r w:rsidRPr="00A25B7A">
        <w:rPr>
          <w:rFonts w:eastAsia="標楷體" w:hint="eastAsia"/>
          <w:color w:val="000000" w:themeColor="text1"/>
          <w:kern w:val="0"/>
          <w:sz w:val="28"/>
          <w:szCs w:val="32"/>
        </w:rPr>
        <w:t>28.6</w:t>
      </w:r>
      <w:r w:rsidRPr="00A25B7A">
        <w:rPr>
          <w:rFonts w:eastAsia="標楷體"/>
          <w:color w:val="000000" w:themeColor="text1"/>
          <w:kern w:val="0"/>
          <w:sz w:val="28"/>
          <w:szCs w:val="32"/>
        </w:rPr>
        <w:t>%</w:t>
      </w:r>
      <w:r w:rsidRPr="00A25B7A">
        <w:rPr>
          <w:rFonts w:eastAsia="標楷體" w:hint="eastAsia"/>
          <w:color w:val="000000" w:themeColor="text1"/>
          <w:kern w:val="0"/>
          <w:sz w:val="28"/>
          <w:szCs w:val="32"/>
        </w:rPr>
        <w:t>，惟</w:t>
      </w:r>
      <w:r w:rsidRPr="00A25B7A">
        <w:rPr>
          <w:rFonts w:eastAsia="標楷體"/>
          <w:color w:val="000000" w:themeColor="text1"/>
          <w:kern w:val="0"/>
          <w:sz w:val="28"/>
          <w:szCs w:val="32"/>
        </w:rPr>
        <w:t>第</w:t>
      </w:r>
      <w:r w:rsidRPr="00A25B7A">
        <w:rPr>
          <w:rFonts w:eastAsia="標楷體" w:hint="eastAsia"/>
          <w:color w:val="000000" w:themeColor="text1"/>
          <w:kern w:val="0"/>
          <w:sz w:val="28"/>
          <w:szCs w:val="32"/>
        </w:rPr>
        <w:t>4</w:t>
      </w:r>
      <w:r w:rsidRPr="00A25B7A">
        <w:rPr>
          <w:rFonts w:eastAsia="標楷體"/>
          <w:color w:val="000000" w:themeColor="text1"/>
          <w:kern w:val="0"/>
          <w:sz w:val="28"/>
          <w:szCs w:val="32"/>
        </w:rPr>
        <w:t>季來</w:t>
      </w:r>
      <w:proofErr w:type="gramStart"/>
      <w:r w:rsidRPr="00A25B7A">
        <w:rPr>
          <w:rFonts w:eastAsia="標楷體"/>
          <w:color w:val="000000" w:themeColor="text1"/>
          <w:kern w:val="0"/>
          <w:sz w:val="28"/>
          <w:szCs w:val="32"/>
        </w:rPr>
        <w:t>臺</w:t>
      </w:r>
      <w:proofErr w:type="gramEnd"/>
      <w:r w:rsidRPr="00A25B7A">
        <w:rPr>
          <w:rFonts w:eastAsia="標楷體"/>
          <w:color w:val="000000" w:themeColor="text1"/>
          <w:kern w:val="0"/>
          <w:sz w:val="28"/>
          <w:szCs w:val="32"/>
        </w:rPr>
        <w:t>旅遊人數</w:t>
      </w:r>
      <w:r w:rsidRPr="00A25B7A">
        <w:rPr>
          <w:rFonts w:eastAsia="標楷體"/>
          <w:color w:val="000000" w:themeColor="text1"/>
          <w:kern w:val="0"/>
          <w:sz w:val="28"/>
          <w:szCs w:val="32"/>
        </w:rPr>
        <w:t>(</w:t>
      </w:r>
      <w:r w:rsidRPr="00A25B7A">
        <w:rPr>
          <w:rFonts w:eastAsia="標楷體"/>
          <w:color w:val="000000" w:themeColor="text1"/>
          <w:kern w:val="0"/>
          <w:sz w:val="28"/>
          <w:szCs w:val="32"/>
        </w:rPr>
        <w:t>含團體旅遊及自由行</w:t>
      </w:r>
      <w:r w:rsidRPr="00A25B7A">
        <w:rPr>
          <w:rFonts w:eastAsia="標楷體"/>
          <w:color w:val="000000" w:themeColor="text1"/>
          <w:kern w:val="0"/>
          <w:sz w:val="28"/>
          <w:szCs w:val="32"/>
        </w:rPr>
        <w:t>)</w:t>
      </w:r>
      <w:r w:rsidRPr="00A25B7A">
        <w:rPr>
          <w:rFonts w:eastAsia="標楷體" w:hint="eastAsia"/>
          <w:color w:val="000000" w:themeColor="text1"/>
          <w:kern w:val="0"/>
          <w:sz w:val="28"/>
          <w:szCs w:val="32"/>
        </w:rPr>
        <w:t>52</w:t>
      </w:r>
      <w:r w:rsidRPr="00A25B7A">
        <w:rPr>
          <w:rFonts w:eastAsia="標楷體"/>
          <w:color w:val="000000" w:themeColor="text1"/>
          <w:kern w:val="0"/>
          <w:sz w:val="28"/>
          <w:szCs w:val="32"/>
        </w:rPr>
        <w:t>.</w:t>
      </w:r>
      <w:r w:rsidRPr="00A25B7A">
        <w:rPr>
          <w:rFonts w:eastAsia="標楷體" w:hint="eastAsia"/>
          <w:color w:val="000000" w:themeColor="text1"/>
          <w:kern w:val="0"/>
          <w:sz w:val="28"/>
          <w:szCs w:val="32"/>
        </w:rPr>
        <w:t>9</w:t>
      </w:r>
      <w:r w:rsidRPr="00A25B7A">
        <w:rPr>
          <w:rFonts w:eastAsia="標楷體"/>
          <w:color w:val="000000" w:themeColor="text1"/>
          <w:kern w:val="0"/>
          <w:sz w:val="28"/>
          <w:szCs w:val="32"/>
        </w:rPr>
        <w:t>萬人，較上年同季</w:t>
      </w:r>
      <w:r w:rsidRPr="00A25B7A">
        <w:rPr>
          <w:rFonts w:eastAsia="標楷體" w:hint="eastAsia"/>
          <w:color w:val="000000" w:themeColor="text1"/>
          <w:kern w:val="0"/>
          <w:sz w:val="28"/>
          <w:szCs w:val="32"/>
        </w:rPr>
        <w:t>增加</w:t>
      </w:r>
      <w:r w:rsidRPr="00A25B7A">
        <w:rPr>
          <w:rFonts w:eastAsia="標楷體" w:hint="eastAsia"/>
          <w:color w:val="000000" w:themeColor="text1"/>
          <w:kern w:val="0"/>
          <w:sz w:val="28"/>
          <w:szCs w:val="32"/>
        </w:rPr>
        <w:t>20</w:t>
      </w:r>
      <w:r w:rsidRPr="00A25B7A">
        <w:rPr>
          <w:rFonts w:eastAsia="標楷體"/>
          <w:color w:val="000000" w:themeColor="text1"/>
          <w:kern w:val="0"/>
          <w:sz w:val="28"/>
          <w:szCs w:val="32"/>
        </w:rPr>
        <w:t>.</w:t>
      </w:r>
      <w:r w:rsidRPr="00A25B7A">
        <w:rPr>
          <w:rFonts w:eastAsia="標楷體" w:hint="eastAsia"/>
          <w:color w:val="000000" w:themeColor="text1"/>
          <w:kern w:val="0"/>
          <w:sz w:val="28"/>
          <w:szCs w:val="32"/>
        </w:rPr>
        <w:t>6</w:t>
      </w:r>
      <w:r w:rsidRPr="00A25B7A">
        <w:rPr>
          <w:rFonts w:eastAsia="標楷體"/>
          <w:color w:val="000000" w:themeColor="text1"/>
          <w:kern w:val="0"/>
          <w:sz w:val="28"/>
          <w:szCs w:val="32"/>
        </w:rPr>
        <w:t>%</w:t>
      </w:r>
      <w:r w:rsidRPr="00A25B7A">
        <w:rPr>
          <w:rFonts w:eastAsia="標楷體" w:hint="eastAsia"/>
          <w:color w:val="000000" w:themeColor="text1"/>
          <w:kern w:val="0"/>
          <w:sz w:val="28"/>
          <w:szCs w:val="32"/>
        </w:rPr>
        <w:t>，亦較第</w:t>
      </w:r>
      <w:r w:rsidRPr="00A25B7A">
        <w:rPr>
          <w:rFonts w:eastAsia="標楷體" w:hint="eastAsia"/>
          <w:color w:val="000000" w:themeColor="text1"/>
          <w:kern w:val="0"/>
          <w:sz w:val="28"/>
          <w:szCs w:val="32"/>
        </w:rPr>
        <w:t>3</w:t>
      </w:r>
      <w:r w:rsidRPr="00A25B7A">
        <w:rPr>
          <w:rFonts w:eastAsia="標楷體" w:hint="eastAsia"/>
          <w:color w:val="000000" w:themeColor="text1"/>
          <w:kern w:val="0"/>
          <w:sz w:val="28"/>
          <w:szCs w:val="32"/>
        </w:rPr>
        <w:t>季增加</w:t>
      </w:r>
      <w:r w:rsidRPr="00A25B7A">
        <w:rPr>
          <w:rFonts w:eastAsia="標楷體" w:hint="eastAsia"/>
          <w:color w:val="000000" w:themeColor="text1"/>
          <w:kern w:val="0"/>
          <w:sz w:val="28"/>
          <w:szCs w:val="32"/>
        </w:rPr>
        <w:t>3.6</w:t>
      </w:r>
      <w:r w:rsidRPr="00A25B7A">
        <w:rPr>
          <w:rFonts w:eastAsia="標楷體" w:hint="eastAsia"/>
          <w:color w:val="000000" w:themeColor="text1"/>
          <w:kern w:val="0"/>
          <w:sz w:val="28"/>
          <w:szCs w:val="32"/>
        </w:rPr>
        <w:t>萬人，</w:t>
      </w:r>
      <w:r w:rsidRPr="00A25B7A">
        <w:rPr>
          <w:rFonts w:eastAsia="標楷體"/>
          <w:color w:val="000000" w:themeColor="text1"/>
          <w:kern w:val="0"/>
          <w:sz w:val="28"/>
          <w:szCs w:val="32"/>
        </w:rPr>
        <w:t>其中團體旅遊人數</w:t>
      </w:r>
      <w:r w:rsidRPr="00A25B7A">
        <w:rPr>
          <w:rFonts w:eastAsia="標楷體" w:hint="eastAsia"/>
          <w:color w:val="000000" w:themeColor="text1"/>
          <w:kern w:val="0"/>
          <w:sz w:val="28"/>
          <w:szCs w:val="32"/>
        </w:rPr>
        <w:t>較第</w:t>
      </w:r>
      <w:r w:rsidRPr="00A25B7A">
        <w:rPr>
          <w:rFonts w:eastAsia="標楷體" w:hint="eastAsia"/>
          <w:color w:val="000000" w:themeColor="text1"/>
          <w:kern w:val="0"/>
          <w:sz w:val="28"/>
          <w:szCs w:val="32"/>
        </w:rPr>
        <w:t>3</w:t>
      </w:r>
      <w:r w:rsidRPr="00A25B7A">
        <w:rPr>
          <w:rFonts w:eastAsia="標楷體" w:hint="eastAsia"/>
          <w:color w:val="000000" w:themeColor="text1"/>
          <w:kern w:val="0"/>
          <w:sz w:val="28"/>
          <w:szCs w:val="32"/>
        </w:rPr>
        <w:t>季增加</w:t>
      </w:r>
      <w:r w:rsidRPr="00A25B7A">
        <w:rPr>
          <w:rFonts w:eastAsia="標楷體" w:hint="eastAsia"/>
          <w:color w:val="000000" w:themeColor="text1"/>
          <w:kern w:val="0"/>
          <w:sz w:val="28"/>
          <w:szCs w:val="32"/>
        </w:rPr>
        <w:t>3.9</w:t>
      </w:r>
      <w:r w:rsidRPr="00A25B7A">
        <w:rPr>
          <w:rFonts w:eastAsia="標楷體" w:hint="eastAsia"/>
          <w:color w:val="000000" w:themeColor="text1"/>
          <w:kern w:val="0"/>
          <w:sz w:val="28"/>
          <w:szCs w:val="32"/>
        </w:rPr>
        <w:t>萬人，成長</w:t>
      </w:r>
      <w:r w:rsidRPr="00A25B7A">
        <w:rPr>
          <w:rFonts w:eastAsia="標楷體" w:hint="eastAsia"/>
          <w:color w:val="000000" w:themeColor="text1"/>
          <w:kern w:val="0"/>
          <w:sz w:val="28"/>
          <w:szCs w:val="32"/>
        </w:rPr>
        <w:t>18</w:t>
      </w:r>
      <w:r w:rsidRPr="00A25B7A">
        <w:rPr>
          <w:rFonts w:eastAsia="標楷體"/>
          <w:color w:val="000000" w:themeColor="text1"/>
          <w:kern w:val="0"/>
          <w:sz w:val="28"/>
          <w:szCs w:val="32"/>
        </w:rPr>
        <w:t>.</w:t>
      </w:r>
      <w:r w:rsidRPr="00A25B7A">
        <w:rPr>
          <w:rFonts w:eastAsia="標楷體" w:hint="eastAsia"/>
          <w:color w:val="000000" w:themeColor="text1"/>
          <w:kern w:val="0"/>
          <w:sz w:val="28"/>
          <w:szCs w:val="32"/>
        </w:rPr>
        <w:t>4</w:t>
      </w:r>
      <w:r w:rsidRPr="00A25B7A">
        <w:rPr>
          <w:rFonts w:eastAsia="標楷體"/>
          <w:color w:val="000000" w:themeColor="text1"/>
          <w:kern w:val="0"/>
          <w:sz w:val="28"/>
          <w:szCs w:val="32"/>
        </w:rPr>
        <w:t>%</w:t>
      </w:r>
      <w:r w:rsidRPr="00A25B7A">
        <w:rPr>
          <w:rFonts w:eastAsia="標楷體"/>
          <w:color w:val="000000" w:themeColor="text1"/>
          <w:kern w:val="0"/>
          <w:sz w:val="28"/>
          <w:szCs w:val="32"/>
        </w:rPr>
        <w:t>；自由行人數</w:t>
      </w:r>
      <w:r w:rsidRPr="00A25B7A">
        <w:rPr>
          <w:rFonts w:eastAsia="標楷體" w:hint="eastAsia"/>
          <w:color w:val="000000" w:themeColor="text1"/>
          <w:kern w:val="0"/>
          <w:sz w:val="28"/>
          <w:szCs w:val="32"/>
        </w:rPr>
        <w:t>則較第</w:t>
      </w:r>
      <w:r w:rsidRPr="00A25B7A">
        <w:rPr>
          <w:rFonts w:eastAsia="標楷體" w:hint="eastAsia"/>
          <w:color w:val="000000" w:themeColor="text1"/>
          <w:kern w:val="0"/>
          <w:sz w:val="28"/>
          <w:szCs w:val="32"/>
        </w:rPr>
        <w:t>3</w:t>
      </w:r>
      <w:r w:rsidRPr="00A25B7A">
        <w:rPr>
          <w:rFonts w:eastAsia="標楷體" w:hint="eastAsia"/>
          <w:color w:val="000000" w:themeColor="text1"/>
          <w:kern w:val="0"/>
          <w:sz w:val="28"/>
          <w:szCs w:val="32"/>
        </w:rPr>
        <w:t>季微減</w:t>
      </w:r>
      <w:r w:rsidRPr="00A25B7A">
        <w:rPr>
          <w:rFonts w:eastAsia="標楷體" w:hint="eastAsia"/>
          <w:color w:val="000000" w:themeColor="text1"/>
          <w:kern w:val="0"/>
          <w:sz w:val="28"/>
          <w:szCs w:val="32"/>
        </w:rPr>
        <w:t>0.3</w:t>
      </w:r>
      <w:r w:rsidRPr="00A25B7A">
        <w:rPr>
          <w:rFonts w:eastAsia="標楷體" w:hint="eastAsia"/>
          <w:color w:val="000000" w:themeColor="text1"/>
          <w:kern w:val="0"/>
          <w:sz w:val="28"/>
          <w:szCs w:val="32"/>
        </w:rPr>
        <w:t>萬人，減幅</w:t>
      </w:r>
      <w:r w:rsidRPr="00A25B7A">
        <w:rPr>
          <w:rFonts w:eastAsia="標楷體" w:hint="eastAsia"/>
          <w:color w:val="000000" w:themeColor="text1"/>
          <w:kern w:val="0"/>
          <w:sz w:val="28"/>
          <w:szCs w:val="32"/>
        </w:rPr>
        <w:t>1.1%</w:t>
      </w:r>
      <w:r w:rsidRPr="00A25B7A">
        <w:rPr>
          <w:rFonts w:eastAsia="標楷體"/>
          <w:color w:val="000000" w:themeColor="text1"/>
          <w:kern w:val="0"/>
          <w:sz w:val="28"/>
          <w:szCs w:val="32"/>
        </w:rPr>
        <w:t>。</w:t>
      </w:r>
    </w:p>
    <w:p w:rsidR="00D74F32" w:rsidRPr="006E7090" w:rsidRDefault="00D74F32" w:rsidP="00221515">
      <w:pPr>
        <w:pStyle w:val="11"/>
        <w:numPr>
          <w:ilvl w:val="0"/>
          <w:numId w:val="5"/>
        </w:numPr>
        <w:spacing w:before="120" w:afterLines="100" w:after="240" w:line="520" w:lineRule="exact"/>
        <w:ind w:left="794" w:hanging="794"/>
        <w:jc w:val="center"/>
        <w:rPr>
          <w:rFonts w:ascii="標楷體" w:eastAsia="標楷體" w:hAnsi="標楷體"/>
          <w:color w:val="000000" w:themeColor="text1"/>
          <w:kern w:val="0"/>
          <w:sz w:val="40"/>
          <w:szCs w:val="36"/>
        </w:rPr>
      </w:pPr>
      <w:bookmarkStart w:id="2" w:name="_Toc426708858"/>
      <w:bookmarkStart w:id="3" w:name="_Toc481769099"/>
      <w:bookmarkStart w:id="4" w:name="_Toc497918682"/>
      <w:bookmarkStart w:id="5" w:name="_Toc393355119"/>
      <w:r w:rsidRPr="006E7090">
        <w:rPr>
          <w:rFonts w:ascii="標楷體" w:eastAsia="標楷體" w:hAnsi="標楷體" w:hint="eastAsia"/>
          <w:color w:val="000000" w:themeColor="text1"/>
          <w:kern w:val="0"/>
          <w:sz w:val="40"/>
          <w:szCs w:val="36"/>
        </w:rPr>
        <w:lastRenderedPageBreak/>
        <w:t>中國大陸經濟情勢</w:t>
      </w:r>
      <w:bookmarkEnd w:id="2"/>
      <w:bookmarkEnd w:id="3"/>
      <w:bookmarkEnd w:id="4"/>
    </w:p>
    <w:p w:rsidR="009637F6" w:rsidRPr="00721766" w:rsidRDefault="000A18A5" w:rsidP="000A18A5">
      <w:pPr>
        <w:widowControl/>
        <w:snapToGrid w:val="0"/>
        <w:spacing w:beforeLines="50" w:before="120" w:line="480" w:lineRule="exact"/>
        <w:ind w:firstLineChars="200" w:firstLine="560"/>
        <w:jc w:val="both"/>
        <w:rPr>
          <w:rFonts w:eastAsia="標楷體"/>
          <w:color w:val="000000" w:themeColor="text1"/>
          <w:kern w:val="0"/>
          <w:sz w:val="28"/>
          <w:szCs w:val="32"/>
        </w:rPr>
      </w:pPr>
      <w:bookmarkStart w:id="6" w:name="_Toc426708860"/>
      <w:bookmarkEnd w:id="5"/>
      <w:r w:rsidRPr="000A18A5">
        <w:rPr>
          <w:rFonts w:eastAsia="標楷體" w:hint="eastAsia"/>
          <w:color w:val="000000" w:themeColor="text1"/>
          <w:kern w:val="0"/>
          <w:sz w:val="28"/>
          <w:szCs w:val="32"/>
        </w:rPr>
        <w:t>受</w:t>
      </w:r>
      <w:r w:rsidR="00CC578C">
        <w:rPr>
          <w:rFonts w:eastAsia="標楷體" w:hint="eastAsia"/>
          <w:color w:val="000000" w:themeColor="text1"/>
          <w:kern w:val="0"/>
          <w:sz w:val="28"/>
          <w:szCs w:val="32"/>
        </w:rPr>
        <w:t>惠於</w:t>
      </w:r>
      <w:r w:rsidRPr="000A18A5">
        <w:rPr>
          <w:rFonts w:eastAsia="標楷體" w:hint="eastAsia"/>
          <w:color w:val="000000" w:themeColor="text1"/>
          <w:kern w:val="0"/>
          <w:sz w:val="28"/>
          <w:szCs w:val="32"/>
        </w:rPr>
        <w:t>全球經濟廣泛復甦，全球貿易反彈，中國大陸經濟呈回升走勢，據國家統計局</w:t>
      </w:r>
      <w:r w:rsidRPr="002D7730">
        <w:rPr>
          <w:rFonts w:eastAsia="標楷體" w:hint="eastAsia"/>
          <w:kern w:val="0"/>
          <w:sz w:val="28"/>
          <w:szCs w:val="32"/>
        </w:rPr>
        <w:t>公布數據顯示，</w:t>
      </w:r>
      <w:r w:rsidRPr="002D7730">
        <w:rPr>
          <w:rFonts w:eastAsia="標楷體" w:hint="eastAsia"/>
          <w:kern w:val="0"/>
          <w:sz w:val="28"/>
          <w:szCs w:val="32"/>
        </w:rPr>
        <w:t>2017</w:t>
      </w:r>
      <w:r w:rsidRPr="002D7730">
        <w:rPr>
          <w:rFonts w:eastAsia="標楷體" w:hint="eastAsia"/>
          <w:kern w:val="0"/>
          <w:sz w:val="28"/>
          <w:szCs w:val="32"/>
        </w:rPr>
        <w:t>年全年經濟成長達</w:t>
      </w:r>
      <w:r w:rsidRPr="002D7730">
        <w:rPr>
          <w:rFonts w:eastAsia="標楷體" w:hint="eastAsia"/>
          <w:kern w:val="0"/>
          <w:sz w:val="28"/>
          <w:szCs w:val="32"/>
        </w:rPr>
        <w:t>6.9%</w:t>
      </w:r>
      <w:r w:rsidRPr="002D7730">
        <w:rPr>
          <w:rFonts w:eastAsia="標楷體" w:hint="eastAsia"/>
          <w:kern w:val="0"/>
          <w:sz w:val="28"/>
          <w:szCs w:val="32"/>
        </w:rPr>
        <w:t>，較上年增加</w:t>
      </w:r>
      <w:r w:rsidRPr="002D7730">
        <w:rPr>
          <w:rFonts w:eastAsia="標楷體" w:hint="eastAsia"/>
          <w:kern w:val="0"/>
          <w:sz w:val="28"/>
          <w:szCs w:val="32"/>
        </w:rPr>
        <w:t>0.2</w:t>
      </w:r>
      <w:r w:rsidRPr="002D7730">
        <w:rPr>
          <w:rFonts w:eastAsia="標楷體" w:hint="eastAsia"/>
          <w:kern w:val="0"/>
          <w:sz w:val="28"/>
          <w:szCs w:val="32"/>
        </w:rPr>
        <w:t>個百分點，為</w:t>
      </w:r>
      <w:r w:rsidR="00453E30" w:rsidRPr="002D7730">
        <w:rPr>
          <w:rFonts w:eastAsia="標楷體" w:hint="eastAsia"/>
          <w:kern w:val="0"/>
          <w:sz w:val="28"/>
          <w:szCs w:val="32"/>
        </w:rPr>
        <w:t>連續</w:t>
      </w:r>
      <w:r w:rsidR="00453E30" w:rsidRPr="002D7730">
        <w:rPr>
          <w:rFonts w:eastAsia="標楷體" w:hint="eastAsia"/>
          <w:kern w:val="0"/>
          <w:sz w:val="28"/>
          <w:szCs w:val="32"/>
        </w:rPr>
        <w:t>6</w:t>
      </w:r>
      <w:r w:rsidR="00453E30" w:rsidRPr="002D7730">
        <w:rPr>
          <w:rFonts w:eastAsia="標楷體" w:hint="eastAsia"/>
          <w:kern w:val="0"/>
          <w:sz w:val="28"/>
          <w:szCs w:val="32"/>
        </w:rPr>
        <w:t>年下降後首度回升</w:t>
      </w:r>
      <w:r w:rsidRPr="002D7730">
        <w:rPr>
          <w:rFonts w:eastAsia="標楷體" w:hint="eastAsia"/>
          <w:kern w:val="0"/>
          <w:sz w:val="28"/>
          <w:szCs w:val="32"/>
        </w:rPr>
        <w:t>。展望未來，據</w:t>
      </w:r>
      <w:r w:rsidRPr="002D7730">
        <w:rPr>
          <w:rFonts w:eastAsia="標楷體" w:hint="eastAsia"/>
          <w:kern w:val="0"/>
          <w:sz w:val="28"/>
          <w:szCs w:val="32"/>
        </w:rPr>
        <w:t>IMF</w:t>
      </w:r>
      <w:r w:rsidRPr="002D7730">
        <w:rPr>
          <w:rFonts w:eastAsia="標楷體" w:hint="eastAsia"/>
          <w:kern w:val="0"/>
          <w:sz w:val="28"/>
          <w:szCs w:val="32"/>
        </w:rPr>
        <w:t>、世界銀行及</w:t>
      </w:r>
      <w:r w:rsidRPr="002D7730">
        <w:rPr>
          <w:rFonts w:eastAsia="標楷體" w:hint="eastAsia"/>
          <w:kern w:val="0"/>
          <w:sz w:val="28"/>
          <w:szCs w:val="32"/>
        </w:rPr>
        <w:t>OECD</w:t>
      </w:r>
      <w:r w:rsidRPr="002D7730">
        <w:rPr>
          <w:rFonts w:eastAsia="標楷體" w:hint="eastAsia"/>
          <w:kern w:val="0"/>
          <w:sz w:val="28"/>
          <w:szCs w:val="32"/>
        </w:rPr>
        <w:t>等機構預估，</w:t>
      </w:r>
      <w:r w:rsidRPr="002D7730">
        <w:rPr>
          <w:rFonts w:eastAsia="標楷體" w:hint="eastAsia"/>
          <w:kern w:val="0"/>
          <w:sz w:val="28"/>
          <w:szCs w:val="32"/>
        </w:rPr>
        <w:t>2018</w:t>
      </w:r>
      <w:r w:rsidRPr="002D7730">
        <w:rPr>
          <w:rFonts w:eastAsia="標楷體" w:hint="eastAsia"/>
          <w:kern w:val="0"/>
          <w:sz w:val="28"/>
          <w:szCs w:val="32"/>
        </w:rPr>
        <w:t>年中國大陸經濟成長率</w:t>
      </w:r>
      <w:r w:rsidR="00453E30" w:rsidRPr="002D7730">
        <w:rPr>
          <w:rFonts w:eastAsia="標楷體" w:hint="eastAsia"/>
          <w:kern w:val="0"/>
          <w:sz w:val="28"/>
          <w:szCs w:val="32"/>
        </w:rPr>
        <w:t>將</w:t>
      </w:r>
      <w:r w:rsidRPr="002D7730">
        <w:rPr>
          <w:rFonts w:eastAsia="標楷體" w:hint="eastAsia"/>
          <w:kern w:val="0"/>
          <w:sz w:val="28"/>
          <w:szCs w:val="32"/>
        </w:rPr>
        <w:t>落在</w:t>
      </w:r>
      <w:r w:rsidRPr="002D7730">
        <w:rPr>
          <w:rFonts w:eastAsia="標楷體" w:hint="eastAsia"/>
          <w:kern w:val="0"/>
          <w:sz w:val="28"/>
          <w:szCs w:val="32"/>
        </w:rPr>
        <w:t>6.4%</w:t>
      </w:r>
      <w:r w:rsidRPr="002D7730">
        <w:rPr>
          <w:rFonts w:eastAsia="標楷體" w:hint="eastAsia"/>
          <w:kern w:val="0"/>
          <w:sz w:val="28"/>
          <w:szCs w:val="32"/>
        </w:rPr>
        <w:t>至</w:t>
      </w:r>
      <w:r w:rsidRPr="002D7730">
        <w:rPr>
          <w:rFonts w:eastAsia="標楷體" w:hint="eastAsia"/>
          <w:kern w:val="0"/>
          <w:sz w:val="28"/>
          <w:szCs w:val="32"/>
        </w:rPr>
        <w:t>6.6%</w:t>
      </w:r>
      <w:proofErr w:type="gramStart"/>
      <w:r w:rsidRPr="002D7730">
        <w:rPr>
          <w:rFonts w:eastAsia="標楷體" w:hint="eastAsia"/>
          <w:kern w:val="0"/>
          <w:sz w:val="28"/>
          <w:szCs w:val="32"/>
        </w:rPr>
        <w:t>之間，</w:t>
      </w:r>
      <w:proofErr w:type="gramEnd"/>
      <w:r w:rsidRPr="002D7730">
        <w:rPr>
          <w:rFonts w:eastAsia="標楷體" w:hint="eastAsia"/>
          <w:kern w:val="0"/>
          <w:sz w:val="28"/>
          <w:szCs w:val="32"/>
        </w:rPr>
        <w:t>經濟成長動能仍</w:t>
      </w:r>
      <w:r w:rsidR="00D15F77" w:rsidRPr="002D7730">
        <w:rPr>
          <w:rFonts w:eastAsia="標楷體" w:hint="eastAsia"/>
          <w:kern w:val="0"/>
          <w:sz w:val="28"/>
          <w:szCs w:val="32"/>
        </w:rPr>
        <w:t>將</w:t>
      </w:r>
      <w:r w:rsidRPr="002D7730">
        <w:rPr>
          <w:rFonts w:eastAsia="標楷體" w:hint="eastAsia"/>
          <w:kern w:val="0"/>
          <w:sz w:val="28"/>
          <w:szCs w:val="32"/>
        </w:rPr>
        <w:t>穩健。</w:t>
      </w:r>
      <w:r w:rsidR="00242250" w:rsidRPr="002D7730">
        <w:rPr>
          <w:rFonts w:eastAsia="標楷體" w:hint="eastAsia"/>
          <w:kern w:val="0"/>
          <w:sz w:val="28"/>
          <w:szCs w:val="32"/>
        </w:rPr>
        <w:t>謹就中國大陸整體經</w:t>
      </w:r>
      <w:r w:rsidR="00242250" w:rsidRPr="00721766">
        <w:rPr>
          <w:rFonts w:eastAsia="標楷體" w:hint="eastAsia"/>
          <w:color w:val="000000" w:themeColor="text1"/>
          <w:kern w:val="0"/>
          <w:sz w:val="28"/>
          <w:szCs w:val="32"/>
        </w:rPr>
        <w:t>濟及金融情勢，說明如下：</w:t>
      </w:r>
    </w:p>
    <w:p w:rsidR="009637F6" w:rsidRPr="00721766" w:rsidRDefault="009637F6" w:rsidP="009637F6">
      <w:pPr>
        <w:pStyle w:val="20"/>
        <w:spacing w:beforeLines="50" w:before="120" w:line="480" w:lineRule="exact"/>
        <w:rPr>
          <w:rFonts w:ascii="Times New Roman" w:eastAsia="標楷體" w:hAnsi="Times New Roman"/>
          <w:color w:val="000000" w:themeColor="text1"/>
          <w:sz w:val="28"/>
          <w:szCs w:val="32"/>
        </w:rPr>
      </w:pPr>
      <w:bookmarkStart w:id="7" w:name="_Toc426708859"/>
      <w:bookmarkStart w:id="8" w:name="_Toc466292776"/>
      <w:bookmarkStart w:id="9" w:name="_Toc497918683"/>
      <w:r w:rsidRPr="00721766">
        <w:rPr>
          <w:rFonts w:ascii="Times New Roman" w:eastAsia="標楷體" w:hAnsi="Times New Roman"/>
          <w:color w:val="000000" w:themeColor="text1"/>
          <w:sz w:val="28"/>
          <w:szCs w:val="32"/>
        </w:rPr>
        <w:t>一、總體經濟情勢</w:t>
      </w:r>
      <w:bookmarkEnd w:id="7"/>
      <w:bookmarkEnd w:id="8"/>
      <w:bookmarkEnd w:id="9"/>
    </w:p>
    <w:p w:rsidR="000A18A5" w:rsidRPr="006E7090" w:rsidRDefault="000A18A5" w:rsidP="000A18A5">
      <w:pPr>
        <w:widowControl/>
        <w:numPr>
          <w:ilvl w:val="0"/>
          <w:numId w:val="6"/>
        </w:numPr>
        <w:tabs>
          <w:tab w:val="left" w:pos="567"/>
        </w:tabs>
        <w:autoSpaceDE w:val="0"/>
        <w:snapToGrid w:val="0"/>
        <w:spacing w:beforeLines="25" w:before="60" w:line="480" w:lineRule="exact"/>
        <w:ind w:left="331" w:hangingChars="118" w:hanging="331"/>
        <w:jc w:val="both"/>
        <w:rPr>
          <w:rFonts w:eastAsia="標楷體"/>
          <w:b/>
          <w:color w:val="000000" w:themeColor="text1"/>
          <w:sz w:val="28"/>
          <w:szCs w:val="32"/>
        </w:rPr>
      </w:pPr>
      <w:bookmarkStart w:id="10" w:name="_Toc497918684"/>
      <w:bookmarkEnd w:id="6"/>
      <w:r w:rsidRPr="006E7090">
        <w:rPr>
          <w:rFonts w:eastAsia="標楷體"/>
          <w:b/>
          <w:color w:val="000000" w:themeColor="text1"/>
          <w:sz w:val="28"/>
          <w:szCs w:val="32"/>
        </w:rPr>
        <w:t>經濟成長</w:t>
      </w:r>
      <w:r>
        <w:rPr>
          <w:rFonts w:eastAsia="標楷體" w:hint="eastAsia"/>
          <w:b/>
          <w:color w:val="000000" w:themeColor="text1"/>
          <w:sz w:val="28"/>
          <w:szCs w:val="32"/>
        </w:rPr>
        <w:t>穩健</w:t>
      </w:r>
    </w:p>
    <w:p w:rsidR="000A18A5" w:rsidRDefault="00E96913" w:rsidP="000A18A5">
      <w:pPr>
        <w:widowControl/>
        <w:autoSpaceDE w:val="0"/>
        <w:snapToGrid w:val="0"/>
        <w:spacing w:beforeLines="25" w:before="60" w:line="480" w:lineRule="exact"/>
        <w:ind w:leftChars="236" w:left="566" w:firstLineChars="200" w:firstLine="560"/>
        <w:jc w:val="both"/>
        <w:rPr>
          <w:rFonts w:eastAsia="標楷體"/>
          <w:b/>
          <w:color w:val="000000" w:themeColor="text1"/>
          <w:sz w:val="28"/>
          <w:szCs w:val="32"/>
        </w:rPr>
      </w:pPr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中國大陸</w:t>
      </w:r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2017</w:t>
      </w:r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年</w:t>
      </w:r>
      <w:r w:rsidR="00691850">
        <w:rPr>
          <w:rFonts w:eastAsia="標楷體" w:hint="eastAsia"/>
          <w:color w:val="000000" w:themeColor="text1"/>
          <w:kern w:val="0"/>
          <w:sz w:val="28"/>
          <w:szCs w:val="32"/>
        </w:rPr>
        <w:t>第</w:t>
      </w:r>
      <w:r>
        <w:rPr>
          <w:rFonts w:eastAsia="標楷體" w:hint="eastAsia"/>
          <w:color w:val="000000" w:themeColor="text1"/>
          <w:kern w:val="0"/>
          <w:sz w:val="28"/>
          <w:szCs w:val="32"/>
        </w:rPr>
        <w:t>1</w:t>
      </w:r>
      <w:r>
        <w:rPr>
          <w:rFonts w:eastAsia="標楷體" w:hint="eastAsia"/>
          <w:color w:val="000000" w:themeColor="text1"/>
          <w:kern w:val="0"/>
          <w:sz w:val="28"/>
          <w:szCs w:val="32"/>
        </w:rPr>
        <w:t>至</w:t>
      </w:r>
      <w:r>
        <w:rPr>
          <w:rFonts w:eastAsia="標楷體" w:hint="eastAsia"/>
          <w:color w:val="000000" w:themeColor="text1"/>
          <w:kern w:val="0"/>
          <w:sz w:val="28"/>
          <w:szCs w:val="32"/>
        </w:rPr>
        <w:t>4</w:t>
      </w:r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季經濟成長率分別為</w:t>
      </w:r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6.9%</w:t>
      </w:r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、</w:t>
      </w:r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6.9%</w:t>
      </w:r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、</w:t>
      </w:r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6.8%</w:t>
      </w:r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及</w:t>
      </w:r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6.8%</w:t>
      </w:r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，</w:t>
      </w:r>
      <w:r w:rsidR="00CC578C" w:rsidRPr="00CC578C">
        <w:rPr>
          <w:rFonts w:eastAsia="標楷體" w:hint="eastAsia"/>
          <w:color w:val="000000" w:themeColor="text1"/>
          <w:kern w:val="0"/>
          <w:sz w:val="28"/>
          <w:szCs w:val="32"/>
        </w:rPr>
        <w:t>下半年較上半年略為走緩</w:t>
      </w:r>
      <w:r>
        <w:rPr>
          <w:rFonts w:eastAsia="標楷體" w:hint="eastAsia"/>
          <w:color w:val="000000" w:themeColor="text1"/>
          <w:kern w:val="0"/>
          <w:sz w:val="28"/>
          <w:szCs w:val="32"/>
        </w:rPr>
        <w:t>，主要是</w:t>
      </w:r>
      <w:r w:rsidRPr="00DA1F95">
        <w:rPr>
          <w:rFonts w:eastAsia="標楷體" w:hint="eastAsia"/>
          <w:color w:val="000000" w:themeColor="text1"/>
          <w:kern w:val="0"/>
          <w:sz w:val="28"/>
          <w:szCs w:val="32"/>
        </w:rPr>
        <w:t>受投資縮減、抑制信貸及削減過剩產能影響，</w:t>
      </w:r>
      <w:r>
        <w:rPr>
          <w:rFonts w:eastAsia="標楷體" w:hint="eastAsia"/>
          <w:color w:val="000000" w:themeColor="text1"/>
          <w:kern w:val="0"/>
          <w:sz w:val="28"/>
          <w:szCs w:val="32"/>
        </w:rPr>
        <w:t>惟外貿強勁回升支撐經濟成長。</w:t>
      </w:r>
      <w:r w:rsidR="000A18A5">
        <w:rPr>
          <w:rFonts w:eastAsia="標楷體" w:hint="eastAsia"/>
          <w:color w:val="000000" w:themeColor="text1"/>
          <w:sz w:val="28"/>
          <w:szCs w:val="32"/>
        </w:rPr>
        <w:t>主要經濟情勢分析如下：</w:t>
      </w:r>
      <w:r w:rsidR="000A18A5">
        <w:rPr>
          <w:rFonts w:eastAsia="標楷體"/>
          <w:b/>
          <w:color w:val="000000" w:themeColor="text1"/>
          <w:sz w:val="28"/>
          <w:szCs w:val="32"/>
        </w:rPr>
        <w:t xml:space="preserve"> </w:t>
      </w:r>
    </w:p>
    <w:p w:rsidR="000A18A5" w:rsidRPr="006E7090" w:rsidRDefault="000A18A5" w:rsidP="000A18A5">
      <w:pPr>
        <w:widowControl/>
        <w:autoSpaceDE w:val="0"/>
        <w:snapToGrid w:val="0"/>
        <w:spacing w:beforeLines="25" w:before="60" w:line="480" w:lineRule="exact"/>
        <w:ind w:firstLineChars="152" w:firstLine="426"/>
        <w:jc w:val="both"/>
        <w:rPr>
          <w:rFonts w:eastAsia="標楷體"/>
          <w:color w:val="000000" w:themeColor="text1"/>
          <w:sz w:val="28"/>
          <w:szCs w:val="32"/>
        </w:rPr>
      </w:pPr>
      <w:r w:rsidRPr="006E7090">
        <w:rPr>
          <w:rFonts w:eastAsia="標楷體"/>
          <w:b/>
          <w:color w:val="000000" w:themeColor="text1"/>
          <w:sz w:val="28"/>
          <w:szCs w:val="32"/>
        </w:rPr>
        <w:t>1.</w:t>
      </w:r>
      <w:r w:rsidRPr="006E7090">
        <w:rPr>
          <w:rFonts w:eastAsia="標楷體"/>
          <w:b/>
          <w:color w:val="000000" w:themeColor="text1"/>
          <w:sz w:val="28"/>
          <w:szCs w:val="32"/>
        </w:rPr>
        <w:t>消費</w:t>
      </w:r>
      <w:r>
        <w:rPr>
          <w:rFonts w:eastAsia="標楷體" w:hint="eastAsia"/>
          <w:b/>
          <w:color w:val="000000" w:themeColor="text1"/>
          <w:sz w:val="28"/>
          <w:szCs w:val="32"/>
        </w:rPr>
        <w:t>動能走緩</w:t>
      </w:r>
    </w:p>
    <w:p w:rsidR="000A18A5" w:rsidRPr="00280592" w:rsidRDefault="000A18A5" w:rsidP="000A18A5">
      <w:pPr>
        <w:widowControl/>
        <w:autoSpaceDE w:val="0"/>
        <w:snapToGrid w:val="0"/>
        <w:spacing w:beforeLines="25" w:before="60" w:line="480" w:lineRule="exact"/>
        <w:ind w:leftChars="236" w:left="849" w:hangingChars="101" w:hanging="283"/>
        <w:jc w:val="both"/>
        <w:rPr>
          <w:rFonts w:eastAsia="標楷體"/>
          <w:sz w:val="28"/>
          <w:szCs w:val="32"/>
        </w:rPr>
      </w:pPr>
      <w:proofErr w:type="gramStart"/>
      <w:r w:rsidRPr="006E7090">
        <w:rPr>
          <w:rFonts w:ascii="標楷體" w:eastAsia="標楷體" w:hAnsi="標楷體"/>
          <w:color w:val="000000" w:themeColor="text1"/>
          <w:sz w:val="28"/>
          <w:szCs w:val="32"/>
        </w:rPr>
        <w:t>─</w:t>
      </w:r>
      <w:proofErr w:type="gramEnd"/>
      <w:r w:rsidRPr="00280592">
        <w:rPr>
          <w:rFonts w:ascii="標楷體" w:eastAsia="標楷體" w:hAnsi="標楷體" w:hint="eastAsia"/>
          <w:sz w:val="28"/>
          <w:szCs w:val="32"/>
        </w:rPr>
        <w:t>中國大陸</w:t>
      </w:r>
      <w:r>
        <w:rPr>
          <w:rFonts w:ascii="標楷體" w:eastAsia="標楷體" w:hAnsi="標楷體" w:hint="eastAsia"/>
          <w:sz w:val="28"/>
          <w:szCs w:val="32"/>
        </w:rPr>
        <w:t>2017年</w:t>
      </w:r>
      <w:r w:rsidRPr="00280592">
        <w:rPr>
          <w:rFonts w:ascii="標楷體" w:eastAsia="標楷體" w:hAnsi="標楷體" w:hint="eastAsia"/>
          <w:sz w:val="28"/>
          <w:szCs w:val="32"/>
        </w:rPr>
        <w:t>社會消費品零售總額成長10.</w:t>
      </w:r>
      <w:r>
        <w:rPr>
          <w:rFonts w:ascii="標楷體" w:eastAsia="標楷體" w:hAnsi="標楷體" w:hint="eastAsia"/>
          <w:sz w:val="28"/>
          <w:szCs w:val="32"/>
        </w:rPr>
        <w:t>2</w:t>
      </w:r>
      <w:r w:rsidR="00434A5B" w:rsidRPr="00DA1F95">
        <w:rPr>
          <w:rFonts w:eastAsia="標楷體" w:hint="eastAsia"/>
          <w:color w:val="000000" w:themeColor="text1"/>
          <w:kern w:val="0"/>
          <w:sz w:val="28"/>
          <w:szCs w:val="32"/>
        </w:rPr>
        <w:t>%</w:t>
      </w:r>
      <w:r w:rsidRPr="00280592">
        <w:rPr>
          <w:rFonts w:ascii="標楷體" w:eastAsia="標楷體" w:hAnsi="標楷體" w:hint="eastAsia"/>
          <w:sz w:val="28"/>
          <w:szCs w:val="32"/>
        </w:rPr>
        <w:t>，</w:t>
      </w:r>
      <w:r>
        <w:rPr>
          <w:rFonts w:ascii="標楷體" w:eastAsia="標楷體" w:hAnsi="標楷體" w:hint="eastAsia"/>
          <w:sz w:val="28"/>
          <w:szCs w:val="32"/>
        </w:rPr>
        <w:t>較</w:t>
      </w:r>
      <w:r w:rsidRPr="00280592">
        <w:rPr>
          <w:rFonts w:ascii="標楷體" w:eastAsia="標楷體" w:hAnsi="標楷體" w:hint="eastAsia"/>
          <w:sz w:val="28"/>
          <w:szCs w:val="32"/>
        </w:rPr>
        <w:t>2016年全年</w:t>
      </w:r>
      <w:r>
        <w:rPr>
          <w:rFonts w:ascii="標楷體" w:eastAsia="標楷體" w:hAnsi="標楷體" w:hint="eastAsia"/>
          <w:sz w:val="28"/>
          <w:szCs w:val="32"/>
        </w:rPr>
        <w:t>減少0.2個百分點</w:t>
      </w:r>
      <w:r w:rsidRPr="00280592">
        <w:rPr>
          <w:rFonts w:eastAsia="標楷體"/>
          <w:sz w:val="28"/>
          <w:szCs w:val="32"/>
        </w:rPr>
        <w:t>。</w:t>
      </w:r>
      <w:r>
        <w:rPr>
          <w:rFonts w:eastAsia="標楷體" w:hint="eastAsia"/>
          <w:sz w:val="28"/>
          <w:szCs w:val="32"/>
        </w:rPr>
        <w:t>其中，通訊器材、住宿餐飲及休閒娛樂仍維持較高成長，是</w:t>
      </w:r>
      <w:r w:rsidR="00913E2F">
        <w:rPr>
          <w:rFonts w:eastAsia="標楷體" w:hint="eastAsia"/>
          <w:sz w:val="28"/>
          <w:szCs w:val="32"/>
        </w:rPr>
        <w:t>支撐</w:t>
      </w:r>
      <w:r>
        <w:rPr>
          <w:rFonts w:eastAsia="標楷體" w:hint="eastAsia"/>
          <w:sz w:val="28"/>
          <w:szCs w:val="32"/>
        </w:rPr>
        <w:t>消費</w:t>
      </w:r>
      <w:r w:rsidR="00913E2F">
        <w:rPr>
          <w:rFonts w:eastAsia="標楷體" w:hint="eastAsia"/>
          <w:sz w:val="28"/>
          <w:szCs w:val="32"/>
        </w:rPr>
        <w:t>的</w:t>
      </w:r>
      <w:r>
        <w:rPr>
          <w:rFonts w:eastAsia="標楷體" w:hint="eastAsia"/>
          <w:sz w:val="28"/>
          <w:szCs w:val="32"/>
        </w:rPr>
        <w:t>主要動能，</w:t>
      </w: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但受到政府對房地產市場調控力道加大之影響，建築及</w:t>
      </w:r>
      <w:r w:rsidRPr="002D7730">
        <w:rPr>
          <w:rFonts w:ascii="標楷體" w:eastAsia="標楷體" w:hAnsi="標楷體" w:hint="eastAsia"/>
          <w:sz w:val="28"/>
          <w:szCs w:val="32"/>
        </w:rPr>
        <w:t>裝潢材料消費成長較上年滑落3.7個百分點</w:t>
      </w:r>
      <w:r w:rsidR="00D15F77" w:rsidRPr="002D7730">
        <w:rPr>
          <w:rFonts w:ascii="標楷體" w:eastAsia="標楷體" w:hAnsi="標楷體" w:hint="eastAsia"/>
          <w:sz w:val="28"/>
          <w:szCs w:val="32"/>
        </w:rPr>
        <w:t>；</w:t>
      </w:r>
      <w:r w:rsidRPr="002D7730">
        <w:rPr>
          <w:rFonts w:ascii="標楷體" w:eastAsia="標楷體" w:hAnsi="標楷體" w:hint="eastAsia"/>
          <w:sz w:val="28"/>
          <w:szCs w:val="32"/>
        </w:rPr>
        <w:t>另受到</w:t>
      </w:r>
      <w:r w:rsidR="00CC578C">
        <w:rPr>
          <w:rFonts w:ascii="標楷體" w:eastAsia="標楷體" w:hAnsi="標楷體" w:hint="eastAsia"/>
          <w:sz w:val="28"/>
          <w:szCs w:val="32"/>
        </w:rPr>
        <w:t>民眾預期</w:t>
      </w:r>
      <w:r w:rsidR="0063064B" w:rsidRPr="002D7730">
        <w:rPr>
          <w:rFonts w:ascii="標楷體" w:eastAsia="標楷體" w:hAnsi="標楷體" w:hint="eastAsia"/>
          <w:sz w:val="28"/>
          <w:szCs w:val="32"/>
        </w:rPr>
        <w:t>汽車</w:t>
      </w:r>
      <w:r w:rsidRPr="002D7730">
        <w:rPr>
          <w:rFonts w:ascii="標楷體" w:eastAsia="標楷體" w:hAnsi="標楷體" w:hint="eastAsia"/>
          <w:sz w:val="28"/>
          <w:szCs w:val="32"/>
        </w:rPr>
        <w:t>購置稅減半政策</w:t>
      </w:r>
      <w:r w:rsidR="007F5B8E">
        <w:rPr>
          <w:rFonts w:ascii="標楷體" w:eastAsia="標楷體" w:hAnsi="標楷體" w:hint="eastAsia"/>
          <w:sz w:val="28"/>
          <w:szCs w:val="32"/>
        </w:rPr>
        <w:t>調整</w:t>
      </w:r>
      <w:r w:rsidRPr="002D7730">
        <w:rPr>
          <w:rFonts w:ascii="標楷體" w:eastAsia="標楷體" w:hAnsi="標楷體" w:hint="eastAsia"/>
          <w:sz w:val="28"/>
          <w:szCs w:val="32"/>
        </w:rPr>
        <w:t>影響，2017年汽車</w:t>
      </w:r>
      <w:r w:rsidRPr="0063064B">
        <w:rPr>
          <w:rFonts w:ascii="標楷體" w:eastAsia="標楷體" w:hAnsi="標楷體" w:hint="eastAsia"/>
          <w:sz w:val="28"/>
          <w:szCs w:val="32"/>
        </w:rPr>
        <w:t>消費</w:t>
      </w:r>
      <w:r w:rsidR="004F3B7F">
        <w:rPr>
          <w:rFonts w:ascii="標楷體" w:eastAsia="標楷體" w:hAnsi="標楷體" w:hint="eastAsia"/>
          <w:sz w:val="28"/>
          <w:szCs w:val="32"/>
        </w:rPr>
        <w:t>成長</w:t>
      </w:r>
      <w:r w:rsidRPr="0063064B">
        <w:rPr>
          <w:rFonts w:ascii="標楷體" w:eastAsia="標楷體" w:hAnsi="標楷體" w:hint="eastAsia"/>
          <w:sz w:val="28"/>
          <w:szCs w:val="32"/>
        </w:rPr>
        <w:t>較</w:t>
      </w: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上年減少4.5個百分點</w:t>
      </w:r>
      <w:r w:rsidR="00913E2F">
        <w:rPr>
          <w:rFonts w:ascii="標楷體" w:eastAsia="標楷體" w:hAnsi="標楷體" w:hint="eastAsia"/>
          <w:color w:val="000000" w:themeColor="text1"/>
          <w:sz w:val="28"/>
          <w:szCs w:val="32"/>
        </w:rPr>
        <w:t>，致2017年全年消費較上年減緩</w:t>
      </w: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</w:p>
    <w:p w:rsidR="000A18A5" w:rsidRPr="006E7090" w:rsidRDefault="000A18A5" w:rsidP="000A18A5">
      <w:pPr>
        <w:widowControl/>
        <w:autoSpaceDE w:val="0"/>
        <w:snapToGrid w:val="0"/>
        <w:spacing w:beforeLines="25" w:before="60" w:line="480" w:lineRule="exact"/>
        <w:ind w:leftChars="236" w:left="849" w:hangingChars="101" w:hanging="283"/>
        <w:jc w:val="both"/>
        <w:rPr>
          <w:rFonts w:eastAsia="標楷體"/>
          <w:color w:val="000000" w:themeColor="text1"/>
          <w:sz w:val="28"/>
          <w:szCs w:val="32"/>
        </w:rPr>
      </w:pPr>
      <w:proofErr w:type="gramStart"/>
      <w:r w:rsidRPr="006E7090">
        <w:rPr>
          <w:rFonts w:ascii="標楷體" w:eastAsia="標楷體" w:hAnsi="標楷體"/>
          <w:color w:val="000000" w:themeColor="text1"/>
          <w:sz w:val="28"/>
          <w:szCs w:val="32"/>
        </w:rPr>
        <w:t>─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2017年</w:t>
      </w:r>
      <w:r w:rsidRPr="00AC09A9">
        <w:rPr>
          <w:rFonts w:ascii="標楷體" w:eastAsia="標楷體" w:hAnsi="標楷體" w:hint="eastAsia"/>
          <w:color w:val="000000" w:themeColor="text1"/>
          <w:sz w:val="28"/>
          <w:szCs w:val="32"/>
        </w:rPr>
        <w:t>最終消費支出對經濟</w:t>
      </w: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成</w:t>
      </w:r>
      <w:r w:rsidRPr="00AC09A9">
        <w:rPr>
          <w:rFonts w:ascii="標楷體" w:eastAsia="標楷體" w:hAnsi="標楷體" w:hint="eastAsia"/>
          <w:color w:val="000000" w:themeColor="text1"/>
          <w:sz w:val="28"/>
          <w:szCs w:val="32"/>
        </w:rPr>
        <w:t>長的貢獻率達到58.8</w:t>
      </w:r>
      <w:r w:rsidR="00434A5B" w:rsidRPr="00DA1F95">
        <w:rPr>
          <w:rFonts w:eastAsia="標楷體" w:hint="eastAsia"/>
          <w:color w:val="000000" w:themeColor="text1"/>
          <w:kern w:val="0"/>
          <w:sz w:val="28"/>
          <w:szCs w:val="32"/>
        </w:rPr>
        <w:t>%</w:t>
      </w:r>
      <w:r w:rsidRPr="00AC09A9">
        <w:rPr>
          <w:rFonts w:ascii="標楷體" w:eastAsia="標楷體" w:hAnsi="標楷體" w:hint="eastAsia"/>
          <w:color w:val="000000" w:themeColor="text1"/>
          <w:sz w:val="28"/>
          <w:szCs w:val="32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較資</w:t>
      </w:r>
      <w:r w:rsidRPr="00AC09A9">
        <w:rPr>
          <w:rFonts w:ascii="標楷體" w:eastAsia="標楷體" w:hAnsi="標楷體" w:hint="eastAsia"/>
          <w:color w:val="000000" w:themeColor="text1"/>
          <w:sz w:val="28"/>
          <w:szCs w:val="32"/>
        </w:rPr>
        <w:t>本形成總額高26.7個百分點</w:t>
      </w: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，</w:t>
      </w:r>
      <w:r w:rsidRPr="006E7090">
        <w:rPr>
          <w:rFonts w:eastAsia="標楷體"/>
          <w:color w:val="000000" w:themeColor="text1"/>
          <w:sz w:val="28"/>
          <w:szCs w:val="32"/>
        </w:rPr>
        <w:t>持續發揮</w:t>
      </w:r>
      <w:r>
        <w:rPr>
          <w:rFonts w:eastAsia="標楷體" w:hint="eastAsia"/>
          <w:color w:val="000000" w:themeColor="text1"/>
          <w:sz w:val="28"/>
          <w:szCs w:val="32"/>
        </w:rPr>
        <w:t>支撐</w:t>
      </w:r>
      <w:r w:rsidRPr="006E7090">
        <w:rPr>
          <w:rFonts w:eastAsia="標楷體"/>
          <w:color w:val="000000" w:themeColor="text1"/>
          <w:sz w:val="28"/>
          <w:szCs w:val="32"/>
        </w:rPr>
        <w:t>經濟成長</w:t>
      </w:r>
      <w:r>
        <w:rPr>
          <w:rFonts w:eastAsia="標楷體" w:hint="eastAsia"/>
          <w:color w:val="000000" w:themeColor="text1"/>
          <w:sz w:val="28"/>
          <w:szCs w:val="32"/>
        </w:rPr>
        <w:t>的</w:t>
      </w:r>
      <w:r w:rsidRPr="006E7090">
        <w:rPr>
          <w:rFonts w:eastAsia="標楷體" w:hint="eastAsia"/>
          <w:color w:val="000000" w:themeColor="text1"/>
          <w:sz w:val="28"/>
          <w:szCs w:val="32"/>
        </w:rPr>
        <w:t>主要力量</w:t>
      </w:r>
      <w:r>
        <w:rPr>
          <w:rFonts w:eastAsia="標楷體" w:hint="eastAsia"/>
          <w:color w:val="000000" w:themeColor="text1"/>
          <w:sz w:val="28"/>
          <w:szCs w:val="32"/>
        </w:rPr>
        <w:t>，但相較</w:t>
      </w:r>
      <w:r>
        <w:rPr>
          <w:rFonts w:eastAsia="標楷體" w:hint="eastAsia"/>
          <w:color w:val="000000" w:themeColor="text1"/>
          <w:sz w:val="28"/>
          <w:szCs w:val="32"/>
        </w:rPr>
        <w:t>2016</w:t>
      </w:r>
      <w:r>
        <w:rPr>
          <w:rFonts w:eastAsia="標楷體" w:hint="eastAsia"/>
          <w:color w:val="000000" w:themeColor="text1"/>
          <w:sz w:val="28"/>
          <w:szCs w:val="32"/>
        </w:rPr>
        <w:t>年的</w:t>
      </w:r>
      <w:r>
        <w:rPr>
          <w:rFonts w:eastAsia="標楷體" w:hint="eastAsia"/>
          <w:color w:val="000000" w:themeColor="text1"/>
          <w:sz w:val="28"/>
          <w:szCs w:val="32"/>
        </w:rPr>
        <w:t>64.6%</w:t>
      </w:r>
      <w:r>
        <w:rPr>
          <w:rFonts w:eastAsia="標楷體" w:hint="eastAsia"/>
          <w:color w:val="000000" w:themeColor="text1"/>
          <w:sz w:val="28"/>
          <w:szCs w:val="32"/>
        </w:rPr>
        <w:t>，消費對</w:t>
      </w:r>
      <w:r>
        <w:rPr>
          <w:rFonts w:eastAsia="標楷體" w:hint="eastAsia"/>
          <w:color w:val="000000" w:themeColor="text1"/>
          <w:sz w:val="28"/>
          <w:szCs w:val="32"/>
        </w:rPr>
        <w:t>GDP</w:t>
      </w:r>
      <w:r>
        <w:rPr>
          <w:rFonts w:eastAsia="標楷體" w:hint="eastAsia"/>
          <w:color w:val="000000" w:themeColor="text1"/>
          <w:sz w:val="28"/>
          <w:szCs w:val="32"/>
        </w:rPr>
        <w:t>貢獻率持續下跌</w:t>
      </w:r>
      <w:r w:rsidRPr="00AC09A9">
        <w:rPr>
          <w:rFonts w:eastAsia="標楷體" w:hint="eastAsia"/>
          <w:color w:val="000000" w:themeColor="text1"/>
          <w:sz w:val="28"/>
          <w:szCs w:val="32"/>
        </w:rPr>
        <w:t>，顯示</w:t>
      </w:r>
      <w:r>
        <w:rPr>
          <w:rFonts w:eastAsia="標楷體" w:hint="eastAsia"/>
          <w:color w:val="000000" w:themeColor="text1"/>
          <w:sz w:val="28"/>
          <w:szCs w:val="32"/>
        </w:rPr>
        <w:t>近期政策措施如房地產調控</w:t>
      </w:r>
      <w:r w:rsidRPr="00AC09A9">
        <w:rPr>
          <w:rFonts w:eastAsia="標楷體" w:hint="eastAsia"/>
          <w:color w:val="000000" w:themeColor="text1"/>
          <w:sz w:val="28"/>
          <w:szCs w:val="32"/>
        </w:rPr>
        <w:t>已對消費支出產生影響。</w:t>
      </w:r>
    </w:p>
    <w:p w:rsidR="000A18A5" w:rsidRPr="006E7090" w:rsidRDefault="000A18A5" w:rsidP="000A18A5">
      <w:pPr>
        <w:widowControl/>
        <w:autoSpaceDE w:val="0"/>
        <w:snapToGrid w:val="0"/>
        <w:spacing w:beforeLines="25" w:before="60" w:line="480" w:lineRule="exact"/>
        <w:ind w:firstLineChars="152" w:firstLine="426"/>
        <w:jc w:val="both"/>
        <w:rPr>
          <w:rFonts w:ascii="標楷體" w:eastAsia="標楷體" w:hAnsi="標楷體"/>
          <w:color w:val="000000" w:themeColor="text1"/>
          <w:sz w:val="28"/>
          <w:szCs w:val="32"/>
        </w:rPr>
      </w:pPr>
      <w:r w:rsidRPr="006E7090">
        <w:rPr>
          <w:rFonts w:eastAsia="標楷體"/>
          <w:b/>
          <w:color w:val="000000" w:themeColor="text1"/>
          <w:sz w:val="28"/>
          <w:szCs w:val="32"/>
        </w:rPr>
        <w:t>2.</w:t>
      </w:r>
      <w:r w:rsidRPr="006E7090">
        <w:rPr>
          <w:rFonts w:ascii="標楷體" w:eastAsia="標楷體" w:hAnsi="標楷體" w:cs="MS Gothic" w:hint="eastAsia"/>
          <w:b/>
          <w:color w:val="000000" w:themeColor="text1"/>
          <w:sz w:val="28"/>
          <w:szCs w:val="32"/>
        </w:rPr>
        <w:t>固定資產投資成長</w:t>
      </w:r>
      <w:r>
        <w:rPr>
          <w:rFonts w:ascii="標楷體" w:eastAsia="標楷體" w:hAnsi="標楷體" w:cs="MS Gothic" w:hint="eastAsia"/>
          <w:b/>
          <w:color w:val="000000" w:themeColor="text1"/>
          <w:sz w:val="28"/>
          <w:szCs w:val="32"/>
        </w:rPr>
        <w:t>縮減</w:t>
      </w:r>
    </w:p>
    <w:p w:rsidR="000A18A5" w:rsidRPr="006E7090" w:rsidRDefault="000A18A5" w:rsidP="000A18A5">
      <w:pPr>
        <w:widowControl/>
        <w:autoSpaceDE w:val="0"/>
        <w:snapToGrid w:val="0"/>
        <w:spacing w:beforeLines="25" w:before="60" w:line="460" w:lineRule="exact"/>
        <w:ind w:left="567"/>
        <w:jc w:val="both"/>
        <w:rPr>
          <w:rFonts w:eastAsia="標楷體"/>
          <w:color w:val="000000" w:themeColor="text1"/>
          <w:sz w:val="28"/>
          <w:szCs w:val="32"/>
        </w:rPr>
      </w:pPr>
      <w:r w:rsidRPr="006E7090">
        <w:rPr>
          <w:rFonts w:eastAsia="標楷體"/>
          <w:color w:val="000000" w:themeColor="text1"/>
          <w:sz w:val="28"/>
          <w:szCs w:val="32"/>
        </w:rPr>
        <w:t xml:space="preserve">    </w:t>
      </w:r>
      <w:r>
        <w:rPr>
          <w:rFonts w:eastAsia="標楷體" w:hint="eastAsia"/>
          <w:color w:val="000000" w:themeColor="text1"/>
          <w:sz w:val="28"/>
          <w:szCs w:val="32"/>
        </w:rPr>
        <w:t>中國大陸</w:t>
      </w:r>
      <w:r w:rsidRPr="006E7090">
        <w:rPr>
          <w:rFonts w:eastAsia="標楷體"/>
          <w:color w:val="000000" w:themeColor="text1"/>
          <w:sz w:val="28"/>
          <w:szCs w:val="32"/>
        </w:rPr>
        <w:t>2017</w:t>
      </w:r>
      <w:r w:rsidRPr="006E7090">
        <w:rPr>
          <w:rFonts w:eastAsia="標楷體"/>
          <w:color w:val="000000" w:themeColor="text1"/>
          <w:sz w:val="28"/>
          <w:szCs w:val="32"/>
        </w:rPr>
        <w:t>年固定資產投資</w:t>
      </w:r>
      <w:r>
        <w:rPr>
          <w:rFonts w:eastAsia="標楷體" w:hint="eastAsia"/>
          <w:color w:val="000000" w:themeColor="text1"/>
          <w:sz w:val="28"/>
          <w:szCs w:val="32"/>
        </w:rPr>
        <w:t>僅</w:t>
      </w:r>
      <w:r w:rsidRPr="006E7090">
        <w:rPr>
          <w:rFonts w:eastAsia="標楷體"/>
          <w:color w:val="000000" w:themeColor="text1"/>
          <w:sz w:val="28"/>
          <w:szCs w:val="32"/>
        </w:rPr>
        <w:t>成長</w:t>
      </w:r>
      <w:r>
        <w:rPr>
          <w:rFonts w:eastAsia="標楷體" w:hint="eastAsia"/>
          <w:color w:val="000000" w:themeColor="text1"/>
          <w:sz w:val="28"/>
          <w:szCs w:val="32"/>
        </w:rPr>
        <w:t>7.2%</w:t>
      </w:r>
      <w:r w:rsidRPr="006E7090">
        <w:rPr>
          <w:rFonts w:eastAsia="標楷體"/>
          <w:color w:val="000000" w:themeColor="text1"/>
          <w:sz w:val="28"/>
          <w:szCs w:val="32"/>
        </w:rPr>
        <w:t>，</w:t>
      </w:r>
      <w:r>
        <w:rPr>
          <w:rFonts w:eastAsia="標楷體" w:hint="eastAsia"/>
          <w:color w:val="000000" w:themeColor="text1"/>
          <w:sz w:val="28"/>
          <w:szCs w:val="32"/>
        </w:rPr>
        <w:t>較</w:t>
      </w:r>
      <w:r>
        <w:rPr>
          <w:rFonts w:eastAsia="標楷體" w:hint="eastAsia"/>
          <w:color w:val="000000" w:themeColor="text1"/>
          <w:sz w:val="28"/>
          <w:szCs w:val="32"/>
        </w:rPr>
        <w:t>2016</w:t>
      </w:r>
      <w:r>
        <w:rPr>
          <w:rFonts w:eastAsia="標楷體" w:hint="eastAsia"/>
          <w:color w:val="000000" w:themeColor="text1"/>
          <w:sz w:val="28"/>
          <w:szCs w:val="32"/>
        </w:rPr>
        <w:t>年下降</w:t>
      </w:r>
      <w:r>
        <w:rPr>
          <w:rFonts w:eastAsia="標楷體" w:hint="eastAsia"/>
          <w:color w:val="000000" w:themeColor="text1"/>
          <w:sz w:val="28"/>
          <w:szCs w:val="32"/>
        </w:rPr>
        <w:t>0.9</w:t>
      </w:r>
      <w:r>
        <w:rPr>
          <w:rFonts w:eastAsia="標楷體" w:hint="eastAsia"/>
          <w:color w:val="000000" w:themeColor="text1"/>
          <w:sz w:val="28"/>
          <w:szCs w:val="32"/>
        </w:rPr>
        <w:t>個百分點，已連續</w:t>
      </w:r>
      <w:r>
        <w:rPr>
          <w:rFonts w:eastAsia="標楷體" w:hint="eastAsia"/>
          <w:color w:val="000000" w:themeColor="text1"/>
          <w:sz w:val="28"/>
          <w:szCs w:val="32"/>
        </w:rPr>
        <w:t>8</w:t>
      </w:r>
      <w:r>
        <w:rPr>
          <w:rFonts w:eastAsia="標楷體" w:hint="eastAsia"/>
          <w:color w:val="000000" w:themeColor="text1"/>
          <w:sz w:val="28"/>
          <w:szCs w:val="32"/>
        </w:rPr>
        <w:t>年成長下滑</w:t>
      </w:r>
      <w:r w:rsidRPr="006E7090">
        <w:rPr>
          <w:rFonts w:eastAsia="標楷體"/>
          <w:color w:val="000000" w:themeColor="text1"/>
          <w:sz w:val="28"/>
          <w:szCs w:val="32"/>
        </w:rPr>
        <w:t>。</w:t>
      </w:r>
      <w:r w:rsidR="007505A5">
        <w:rPr>
          <w:rFonts w:eastAsia="標楷體" w:hint="eastAsia"/>
          <w:color w:val="000000" w:themeColor="text1"/>
          <w:sz w:val="28"/>
          <w:szCs w:val="32"/>
        </w:rPr>
        <w:t>說明如下：</w:t>
      </w:r>
    </w:p>
    <w:p w:rsidR="000A18A5" w:rsidRPr="006E7090" w:rsidRDefault="000A18A5" w:rsidP="000A18A5">
      <w:pPr>
        <w:widowControl/>
        <w:autoSpaceDE w:val="0"/>
        <w:snapToGrid w:val="0"/>
        <w:spacing w:beforeLines="25" w:before="60" w:line="460" w:lineRule="exact"/>
        <w:ind w:leftChars="236" w:left="849" w:hangingChars="101" w:hanging="283"/>
        <w:jc w:val="both"/>
        <w:rPr>
          <w:rFonts w:ascii="標楷體" w:eastAsia="標楷體" w:hAnsi="標楷體" w:cs="MS Gothic"/>
          <w:color w:val="000000" w:themeColor="text1"/>
          <w:sz w:val="28"/>
          <w:szCs w:val="32"/>
        </w:rPr>
      </w:pPr>
      <w:proofErr w:type="gramStart"/>
      <w:r w:rsidRPr="006E7090">
        <w:rPr>
          <w:rFonts w:ascii="標楷體" w:eastAsia="標楷體" w:hAnsi="標楷體" w:cs="MS Gothic" w:hint="eastAsia"/>
          <w:color w:val="000000" w:themeColor="text1"/>
          <w:sz w:val="28"/>
          <w:szCs w:val="32"/>
        </w:rPr>
        <w:lastRenderedPageBreak/>
        <w:t>─</w:t>
      </w:r>
      <w:proofErr w:type="gramEnd"/>
      <w:r w:rsidRPr="006E7090">
        <w:rPr>
          <w:rFonts w:eastAsia="標楷體"/>
          <w:color w:val="000000" w:themeColor="text1"/>
          <w:sz w:val="28"/>
          <w:szCs w:val="32"/>
        </w:rPr>
        <w:t>製造業投資方面</w:t>
      </w:r>
      <w:r w:rsidRPr="006E7090">
        <w:rPr>
          <w:rFonts w:eastAsia="標楷體" w:hint="eastAsia"/>
          <w:color w:val="000000" w:themeColor="text1"/>
          <w:sz w:val="28"/>
          <w:szCs w:val="32"/>
        </w:rPr>
        <w:t>(</w:t>
      </w:r>
      <w:r w:rsidRPr="006E7090">
        <w:rPr>
          <w:rFonts w:eastAsia="標楷體"/>
          <w:color w:val="000000" w:themeColor="text1"/>
          <w:sz w:val="28"/>
          <w:szCs w:val="32"/>
        </w:rPr>
        <w:t>占整體固定資產投資比重為</w:t>
      </w:r>
      <w:r w:rsidRPr="006E7090">
        <w:rPr>
          <w:rFonts w:eastAsia="標楷體"/>
          <w:color w:val="000000" w:themeColor="text1"/>
          <w:sz w:val="28"/>
          <w:szCs w:val="32"/>
        </w:rPr>
        <w:t>30.</w:t>
      </w:r>
      <w:r>
        <w:rPr>
          <w:rFonts w:eastAsia="標楷體" w:hint="eastAsia"/>
          <w:color w:val="000000" w:themeColor="text1"/>
          <w:sz w:val="28"/>
          <w:szCs w:val="32"/>
        </w:rPr>
        <w:t>6</w:t>
      </w:r>
      <w:r w:rsidRPr="006E7090">
        <w:rPr>
          <w:rFonts w:eastAsia="標楷體"/>
          <w:color w:val="000000" w:themeColor="text1"/>
          <w:sz w:val="28"/>
          <w:szCs w:val="32"/>
        </w:rPr>
        <w:t>%</w:t>
      </w:r>
      <w:r w:rsidRPr="006E7090">
        <w:rPr>
          <w:rFonts w:eastAsia="標楷體" w:hint="eastAsia"/>
          <w:color w:val="000000" w:themeColor="text1"/>
          <w:sz w:val="28"/>
          <w:szCs w:val="32"/>
        </w:rPr>
        <w:t>)</w:t>
      </w:r>
      <w:r>
        <w:rPr>
          <w:rFonts w:eastAsia="標楷體" w:hint="eastAsia"/>
          <w:color w:val="000000" w:themeColor="text1"/>
          <w:sz w:val="28"/>
          <w:szCs w:val="32"/>
        </w:rPr>
        <w:t>：</w:t>
      </w:r>
      <w:r w:rsidRPr="006E7090">
        <w:rPr>
          <w:rFonts w:eastAsia="標楷體"/>
          <w:color w:val="000000" w:themeColor="text1"/>
          <w:sz w:val="28"/>
          <w:szCs w:val="32"/>
        </w:rPr>
        <w:t>受金融去槓桿</w:t>
      </w:r>
      <w:r>
        <w:rPr>
          <w:rFonts w:eastAsia="標楷體" w:hint="eastAsia"/>
          <w:color w:val="000000" w:themeColor="text1"/>
          <w:sz w:val="28"/>
          <w:szCs w:val="32"/>
        </w:rPr>
        <w:t>及環保限產等因素影響</w:t>
      </w:r>
      <w:r w:rsidRPr="006E7090">
        <w:rPr>
          <w:rFonts w:eastAsia="標楷體"/>
          <w:color w:val="000000" w:themeColor="text1"/>
          <w:sz w:val="28"/>
          <w:szCs w:val="32"/>
        </w:rPr>
        <w:t>，</w:t>
      </w:r>
      <w:r w:rsidRPr="0085507C">
        <w:rPr>
          <w:rFonts w:eastAsia="標楷體" w:hint="eastAsia"/>
          <w:color w:val="000000" w:themeColor="text1"/>
          <w:sz w:val="28"/>
          <w:szCs w:val="32"/>
        </w:rPr>
        <w:t>高耗能製造業投資</w:t>
      </w:r>
      <w:r>
        <w:rPr>
          <w:rFonts w:eastAsia="標楷體" w:hint="eastAsia"/>
          <w:color w:val="000000" w:themeColor="text1"/>
          <w:sz w:val="28"/>
          <w:szCs w:val="32"/>
        </w:rPr>
        <w:t>較</w:t>
      </w:r>
      <w:r w:rsidRPr="0085507C">
        <w:rPr>
          <w:rFonts w:eastAsia="標楷體" w:hint="eastAsia"/>
          <w:color w:val="000000" w:themeColor="text1"/>
          <w:sz w:val="28"/>
          <w:szCs w:val="32"/>
        </w:rPr>
        <w:t>上年下降</w:t>
      </w:r>
      <w:r w:rsidRPr="0085507C">
        <w:rPr>
          <w:rFonts w:eastAsia="標楷體" w:hint="eastAsia"/>
          <w:color w:val="000000" w:themeColor="text1"/>
          <w:sz w:val="28"/>
          <w:szCs w:val="32"/>
        </w:rPr>
        <w:t>1.8%</w:t>
      </w:r>
      <w:r>
        <w:rPr>
          <w:rFonts w:eastAsia="標楷體" w:hint="eastAsia"/>
          <w:color w:val="000000" w:themeColor="text1"/>
          <w:sz w:val="28"/>
          <w:szCs w:val="32"/>
        </w:rPr>
        <w:t>，惟</w:t>
      </w:r>
      <w:r w:rsidRPr="0085507C">
        <w:rPr>
          <w:rFonts w:eastAsia="標楷體" w:hint="eastAsia"/>
          <w:color w:val="000000" w:themeColor="text1"/>
          <w:sz w:val="28"/>
          <w:szCs w:val="32"/>
        </w:rPr>
        <w:t>高科技</w:t>
      </w:r>
      <w:r>
        <w:rPr>
          <w:rFonts w:eastAsia="標楷體" w:hint="eastAsia"/>
          <w:color w:val="000000" w:themeColor="text1"/>
          <w:sz w:val="28"/>
          <w:szCs w:val="32"/>
        </w:rPr>
        <w:t>及</w:t>
      </w:r>
      <w:r w:rsidRPr="0085507C">
        <w:rPr>
          <w:rFonts w:eastAsia="標楷體" w:hint="eastAsia"/>
          <w:color w:val="000000" w:themeColor="text1"/>
          <w:sz w:val="28"/>
          <w:szCs w:val="32"/>
        </w:rPr>
        <w:t>裝備製造業投資分別成長</w:t>
      </w:r>
      <w:r w:rsidRPr="0085507C">
        <w:rPr>
          <w:rFonts w:eastAsia="標楷體" w:hint="eastAsia"/>
          <w:color w:val="000000" w:themeColor="text1"/>
          <w:sz w:val="28"/>
          <w:szCs w:val="32"/>
        </w:rPr>
        <w:t>17.0%</w:t>
      </w:r>
      <w:r w:rsidRPr="0085507C">
        <w:rPr>
          <w:rFonts w:eastAsia="標楷體" w:hint="eastAsia"/>
          <w:color w:val="000000" w:themeColor="text1"/>
          <w:sz w:val="28"/>
          <w:szCs w:val="32"/>
        </w:rPr>
        <w:t>和</w:t>
      </w:r>
      <w:r w:rsidRPr="0085507C">
        <w:rPr>
          <w:rFonts w:eastAsia="標楷體" w:hint="eastAsia"/>
          <w:color w:val="000000" w:themeColor="text1"/>
          <w:sz w:val="28"/>
          <w:szCs w:val="32"/>
        </w:rPr>
        <w:t>8.6%</w:t>
      </w:r>
      <w:r>
        <w:rPr>
          <w:rFonts w:eastAsia="標楷體" w:hint="eastAsia"/>
          <w:color w:val="000000" w:themeColor="text1"/>
          <w:sz w:val="28"/>
          <w:szCs w:val="32"/>
        </w:rPr>
        <w:t>，</w:t>
      </w:r>
      <w:r w:rsidR="00174688">
        <w:rPr>
          <w:rFonts w:eastAsia="標楷體" w:hint="eastAsia"/>
          <w:color w:val="000000" w:themeColor="text1"/>
          <w:sz w:val="28"/>
          <w:szCs w:val="32"/>
        </w:rPr>
        <w:t>致</w:t>
      </w:r>
      <w:r w:rsidRPr="006E7090">
        <w:rPr>
          <w:rFonts w:eastAsia="標楷體"/>
          <w:color w:val="000000" w:themeColor="text1"/>
          <w:sz w:val="28"/>
          <w:szCs w:val="32"/>
        </w:rPr>
        <w:t>2017</w:t>
      </w:r>
      <w:r w:rsidRPr="006E7090">
        <w:rPr>
          <w:rFonts w:eastAsia="標楷體"/>
          <w:color w:val="000000" w:themeColor="text1"/>
          <w:sz w:val="28"/>
          <w:szCs w:val="32"/>
        </w:rPr>
        <w:t>年</w:t>
      </w:r>
      <w:r>
        <w:rPr>
          <w:rFonts w:eastAsia="標楷體" w:hint="eastAsia"/>
          <w:color w:val="000000" w:themeColor="text1"/>
          <w:sz w:val="28"/>
          <w:szCs w:val="32"/>
        </w:rPr>
        <w:t>製造業固定資產投資仍</w:t>
      </w:r>
      <w:r w:rsidRPr="006E7090">
        <w:rPr>
          <w:rFonts w:eastAsia="標楷體"/>
          <w:color w:val="000000" w:themeColor="text1"/>
          <w:sz w:val="28"/>
          <w:szCs w:val="32"/>
        </w:rPr>
        <w:t>成長</w:t>
      </w:r>
      <w:r>
        <w:rPr>
          <w:rFonts w:eastAsia="標楷體" w:hint="eastAsia"/>
          <w:color w:val="000000" w:themeColor="text1"/>
          <w:sz w:val="28"/>
          <w:szCs w:val="32"/>
        </w:rPr>
        <w:t>4.8</w:t>
      </w:r>
      <w:r w:rsidRPr="006E7090">
        <w:rPr>
          <w:rFonts w:eastAsia="標楷體"/>
          <w:color w:val="000000" w:themeColor="text1"/>
          <w:sz w:val="28"/>
          <w:szCs w:val="32"/>
        </w:rPr>
        <w:t>%</w:t>
      </w:r>
      <w:r w:rsidRPr="006E7090">
        <w:rPr>
          <w:rFonts w:eastAsia="標楷體"/>
          <w:color w:val="000000" w:themeColor="text1"/>
          <w:sz w:val="28"/>
          <w:szCs w:val="32"/>
        </w:rPr>
        <w:t>，較</w:t>
      </w:r>
      <w:r>
        <w:rPr>
          <w:rFonts w:eastAsia="標楷體" w:hint="eastAsia"/>
          <w:color w:val="000000" w:themeColor="text1"/>
          <w:sz w:val="28"/>
          <w:szCs w:val="32"/>
        </w:rPr>
        <w:t>上年的</w:t>
      </w:r>
      <w:r>
        <w:rPr>
          <w:rFonts w:eastAsia="標楷體" w:hint="eastAsia"/>
          <w:color w:val="000000" w:themeColor="text1"/>
          <w:sz w:val="28"/>
          <w:szCs w:val="32"/>
        </w:rPr>
        <w:t>4.2%</w:t>
      </w:r>
      <w:r>
        <w:rPr>
          <w:rFonts w:eastAsia="標楷體" w:hint="eastAsia"/>
          <w:color w:val="000000" w:themeColor="text1"/>
          <w:sz w:val="28"/>
          <w:szCs w:val="32"/>
        </w:rPr>
        <w:t>增加</w:t>
      </w:r>
      <w:r>
        <w:rPr>
          <w:rFonts w:eastAsia="標楷體" w:hint="eastAsia"/>
          <w:color w:val="000000" w:themeColor="text1"/>
          <w:sz w:val="28"/>
          <w:szCs w:val="32"/>
        </w:rPr>
        <w:t>0.6</w:t>
      </w:r>
      <w:r>
        <w:rPr>
          <w:rFonts w:eastAsia="標楷體" w:hint="eastAsia"/>
          <w:color w:val="000000" w:themeColor="text1"/>
          <w:sz w:val="28"/>
          <w:szCs w:val="32"/>
        </w:rPr>
        <w:t>個</w:t>
      </w:r>
      <w:r w:rsidRPr="006E7090">
        <w:rPr>
          <w:rFonts w:eastAsia="標楷體"/>
          <w:color w:val="000000" w:themeColor="text1"/>
          <w:sz w:val="28"/>
          <w:szCs w:val="32"/>
        </w:rPr>
        <w:t>百分點。</w:t>
      </w:r>
    </w:p>
    <w:p w:rsidR="000A18A5" w:rsidRPr="006E7090" w:rsidRDefault="000A18A5" w:rsidP="000A18A5">
      <w:pPr>
        <w:widowControl/>
        <w:autoSpaceDE w:val="0"/>
        <w:snapToGrid w:val="0"/>
        <w:spacing w:beforeLines="25" w:before="60" w:line="460" w:lineRule="exact"/>
        <w:ind w:leftChars="236" w:left="849" w:hangingChars="101" w:hanging="283"/>
        <w:jc w:val="both"/>
        <w:rPr>
          <w:rFonts w:eastAsia="標楷體"/>
          <w:color w:val="000000" w:themeColor="text1"/>
          <w:sz w:val="28"/>
          <w:szCs w:val="32"/>
        </w:rPr>
      </w:pPr>
      <w:proofErr w:type="gramStart"/>
      <w:r w:rsidRPr="006E7090">
        <w:rPr>
          <w:rFonts w:ascii="標楷體" w:eastAsia="標楷體" w:hAnsi="標楷體" w:cs="MS Gothic" w:hint="eastAsia"/>
          <w:color w:val="000000" w:themeColor="text1"/>
          <w:sz w:val="28"/>
          <w:szCs w:val="32"/>
        </w:rPr>
        <w:t>─</w:t>
      </w:r>
      <w:proofErr w:type="gramEnd"/>
      <w:r w:rsidRPr="006E7090">
        <w:rPr>
          <w:rFonts w:ascii="標楷體" w:eastAsia="標楷體" w:hAnsi="標楷體" w:cs="MS Gothic" w:hint="eastAsia"/>
          <w:color w:val="000000" w:themeColor="text1"/>
          <w:sz w:val="28"/>
          <w:szCs w:val="32"/>
        </w:rPr>
        <w:t>基礎設施</w:t>
      </w:r>
      <w:r w:rsidRPr="006E7090">
        <w:rPr>
          <w:rStyle w:val="a8"/>
          <w:rFonts w:eastAsia="標楷體"/>
          <w:color w:val="000000" w:themeColor="text1"/>
          <w:sz w:val="28"/>
          <w:szCs w:val="32"/>
        </w:rPr>
        <w:footnoteReference w:id="1"/>
      </w:r>
      <w:r w:rsidRPr="006E7090">
        <w:rPr>
          <w:rFonts w:ascii="標楷體" w:eastAsia="標楷體" w:hAnsi="標楷體" w:cs="MS Gothic" w:hint="eastAsia"/>
          <w:color w:val="000000" w:themeColor="text1"/>
          <w:sz w:val="28"/>
          <w:szCs w:val="32"/>
        </w:rPr>
        <w:t>投資方面(</w:t>
      </w:r>
      <w:r w:rsidRPr="006E7090">
        <w:rPr>
          <w:rFonts w:eastAsia="標楷體"/>
          <w:color w:val="000000" w:themeColor="text1"/>
          <w:sz w:val="28"/>
          <w:szCs w:val="32"/>
        </w:rPr>
        <w:t>占整體固定資產投資比重約</w:t>
      </w:r>
      <w:r w:rsidRPr="006E7090">
        <w:rPr>
          <w:rFonts w:eastAsia="標楷體"/>
          <w:color w:val="000000" w:themeColor="text1"/>
          <w:sz w:val="28"/>
          <w:szCs w:val="32"/>
        </w:rPr>
        <w:t>2</w:t>
      </w:r>
      <w:r>
        <w:rPr>
          <w:rFonts w:eastAsia="標楷體" w:hint="eastAsia"/>
          <w:color w:val="000000" w:themeColor="text1"/>
          <w:sz w:val="28"/>
          <w:szCs w:val="32"/>
        </w:rPr>
        <w:t>2.2</w:t>
      </w:r>
      <w:r w:rsidRPr="006E7090">
        <w:rPr>
          <w:rFonts w:eastAsia="標楷體"/>
          <w:color w:val="000000" w:themeColor="text1"/>
          <w:sz w:val="28"/>
          <w:szCs w:val="32"/>
        </w:rPr>
        <w:t>%</w:t>
      </w:r>
      <w:r w:rsidRPr="006E7090">
        <w:rPr>
          <w:rFonts w:ascii="標楷體" w:eastAsia="標楷體" w:hAnsi="標楷體" w:cs="MS Gothic" w:hint="eastAsia"/>
          <w:color w:val="000000" w:themeColor="text1"/>
          <w:sz w:val="28"/>
          <w:szCs w:val="32"/>
        </w:rPr>
        <w:t>)</w:t>
      </w:r>
      <w:r>
        <w:rPr>
          <w:rFonts w:ascii="標楷體" w:eastAsia="標楷體" w:hAnsi="標楷體" w:cs="MS Gothic" w:hint="eastAsia"/>
          <w:color w:val="000000" w:themeColor="text1"/>
          <w:sz w:val="28"/>
          <w:szCs w:val="32"/>
        </w:rPr>
        <w:t>：雖</w:t>
      </w:r>
      <w:r w:rsidRPr="006E7090">
        <w:rPr>
          <w:rFonts w:eastAsia="標楷體"/>
          <w:color w:val="000000" w:themeColor="text1"/>
          <w:sz w:val="28"/>
          <w:szCs w:val="32"/>
        </w:rPr>
        <w:t>受</w:t>
      </w:r>
      <w:r>
        <w:rPr>
          <w:rFonts w:eastAsia="標楷體" w:hint="eastAsia"/>
          <w:color w:val="000000" w:themeColor="text1"/>
          <w:sz w:val="28"/>
          <w:szCs w:val="32"/>
        </w:rPr>
        <w:t>近來嚴控地方債務與融資平台的</w:t>
      </w:r>
      <w:r w:rsidRPr="006E7090">
        <w:rPr>
          <w:rFonts w:eastAsia="標楷體"/>
          <w:color w:val="000000" w:themeColor="text1"/>
          <w:sz w:val="28"/>
          <w:szCs w:val="32"/>
        </w:rPr>
        <w:t>影響，</w:t>
      </w:r>
      <w:r>
        <w:rPr>
          <w:rFonts w:eastAsia="標楷體" w:hint="eastAsia"/>
          <w:color w:val="000000" w:themeColor="text1"/>
          <w:sz w:val="28"/>
          <w:szCs w:val="32"/>
        </w:rPr>
        <w:t>縮減地方政府基礎設施投資動能，但受惠於官方持續大力投入鐵、公路等基礎設施投資，致</w:t>
      </w:r>
      <w:r w:rsidRPr="006E7090">
        <w:rPr>
          <w:rFonts w:eastAsia="標楷體"/>
          <w:color w:val="000000" w:themeColor="text1"/>
          <w:sz w:val="28"/>
          <w:szCs w:val="32"/>
        </w:rPr>
        <w:t>2017</w:t>
      </w:r>
      <w:r w:rsidRPr="006E7090">
        <w:rPr>
          <w:rFonts w:eastAsia="標楷體"/>
          <w:color w:val="000000" w:themeColor="text1"/>
          <w:sz w:val="28"/>
          <w:szCs w:val="32"/>
        </w:rPr>
        <w:t>年</w:t>
      </w:r>
      <w:r>
        <w:rPr>
          <w:rFonts w:eastAsia="標楷體" w:hint="eastAsia"/>
          <w:color w:val="000000" w:themeColor="text1"/>
          <w:sz w:val="28"/>
          <w:szCs w:val="32"/>
        </w:rPr>
        <w:t>基礎設施投資成長</w:t>
      </w:r>
      <w:r>
        <w:rPr>
          <w:rFonts w:eastAsia="標楷體" w:hint="eastAsia"/>
          <w:color w:val="000000" w:themeColor="text1"/>
          <w:sz w:val="28"/>
          <w:szCs w:val="32"/>
        </w:rPr>
        <w:t>19.0%</w:t>
      </w:r>
      <w:r>
        <w:rPr>
          <w:rFonts w:eastAsia="標楷體" w:hint="eastAsia"/>
          <w:color w:val="000000" w:themeColor="text1"/>
          <w:sz w:val="28"/>
          <w:szCs w:val="32"/>
        </w:rPr>
        <w:t>，較上年增加</w:t>
      </w:r>
      <w:r>
        <w:rPr>
          <w:rFonts w:eastAsia="標楷體" w:hint="eastAsia"/>
          <w:color w:val="000000" w:themeColor="text1"/>
          <w:sz w:val="28"/>
          <w:szCs w:val="32"/>
        </w:rPr>
        <w:t>1.6</w:t>
      </w:r>
      <w:r>
        <w:rPr>
          <w:rFonts w:eastAsia="標楷體" w:hint="eastAsia"/>
          <w:color w:val="000000" w:themeColor="text1"/>
          <w:sz w:val="28"/>
          <w:szCs w:val="32"/>
        </w:rPr>
        <w:t>個百分點</w:t>
      </w:r>
      <w:r w:rsidRPr="006E7090">
        <w:rPr>
          <w:rFonts w:eastAsia="標楷體"/>
          <w:color w:val="000000" w:themeColor="text1"/>
          <w:sz w:val="28"/>
          <w:szCs w:val="32"/>
        </w:rPr>
        <w:t>。</w:t>
      </w:r>
    </w:p>
    <w:p w:rsidR="000A18A5" w:rsidRPr="006E7090" w:rsidRDefault="000A18A5" w:rsidP="000A18A5">
      <w:pPr>
        <w:widowControl/>
        <w:autoSpaceDE w:val="0"/>
        <w:snapToGrid w:val="0"/>
        <w:spacing w:beforeLines="25" w:before="60" w:line="460" w:lineRule="exact"/>
        <w:ind w:leftChars="236" w:left="849" w:hangingChars="101" w:hanging="283"/>
        <w:jc w:val="both"/>
        <w:rPr>
          <w:rFonts w:eastAsia="標楷體"/>
          <w:color w:val="000000" w:themeColor="text1"/>
          <w:sz w:val="28"/>
          <w:szCs w:val="32"/>
        </w:rPr>
      </w:pPr>
      <w:proofErr w:type="gramStart"/>
      <w:r w:rsidRPr="006E7090">
        <w:rPr>
          <w:rFonts w:ascii="標楷體" w:eastAsia="標楷體" w:hAnsi="標楷體" w:cs="MS Gothic" w:hint="eastAsia"/>
          <w:color w:val="000000" w:themeColor="text1"/>
          <w:sz w:val="28"/>
          <w:szCs w:val="32"/>
        </w:rPr>
        <w:t>─</w:t>
      </w:r>
      <w:proofErr w:type="gramEnd"/>
      <w:r w:rsidRPr="006E7090">
        <w:rPr>
          <w:rFonts w:ascii="標楷體" w:eastAsia="標楷體" w:hAnsi="標楷體" w:cs="MS Gothic" w:hint="eastAsia"/>
          <w:color w:val="000000" w:themeColor="text1"/>
          <w:sz w:val="28"/>
          <w:szCs w:val="32"/>
        </w:rPr>
        <w:t>房地產開發投資方面(占整</w:t>
      </w:r>
      <w:r w:rsidRPr="0063064B">
        <w:rPr>
          <w:rFonts w:eastAsia="標楷體" w:hint="eastAsia"/>
          <w:color w:val="000000" w:themeColor="text1"/>
          <w:sz w:val="28"/>
          <w:szCs w:val="32"/>
        </w:rPr>
        <w:t>體固定資產投資比重為</w:t>
      </w:r>
      <w:r w:rsidRPr="0063064B">
        <w:rPr>
          <w:rFonts w:eastAsia="標楷體" w:hint="eastAsia"/>
          <w:color w:val="000000" w:themeColor="text1"/>
          <w:sz w:val="28"/>
          <w:szCs w:val="32"/>
        </w:rPr>
        <w:t>17.4%)</w:t>
      </w:r>
      <w:r w:rsidRPr="0063064B">
        <w:rPr>
          <w:rFonts w:eastAsia="標楷體" w:hint="eastAsia"/>
          <w:color w:val="000000" w:themeColor="text1"/>
          <w:sz w:val="28"/>
          <w:szCs w:val="32"/>
        </w:rPr>
        <w:t>：</w:t>
      </w:r>
      <w:r w:rsidRPr="006E7090">
        <w:rPr>
          <w:rFonts w:ascii="標楷體" w:eastAsia="標楷體" w:hAnsi="標楷體" w:cs="MS Gothic" w:hint="eastAsia"/>
          <w:color w:val="000000" w:themeColor="text1"/>
          <w:sz w:val="28"/>
          <w:szCs w:val="32"/>
        </w:rPr>
        <w:t>受房地產</w:t>
      </w:r>
      <w:proofErr w:type="gramStart"/>
      <w:r w:rsidRPr="006E7090">
        <w:rPr>
          <w:rFonts w:ascii="標楷體" w:eastAsia="標楷體" w:hAnsi="標楷體" w:cs="MS Gothic" w:hint="eastAsia"/>
          <w:color w:val="000000" w:themeColor="text1"/>
          <w:sz w:val="28"/>
          <w:szCs w:val="32"/>
        </w:rPr>
        <w:t>調控趨嚴</w:t>
      </w:r>
      <w:proofErr w:type="gramEnd"/>
      <w:r w:rsidRPr="006E7090">
        <w:rPr>
          <w:rFonts w:ascii="標楷體" w:eastAsia="標楷體" w:hAnsi="標楷體" w:cs="MS Gothic" w:hint="eastAsia"/>
          <w:color w:val="000000" w:themeColor="text1"/>
          <w:sz w:val="28"/>
          <w:szCs w:val="32"/>
        </w:rPr>
        <w:t>影響，</w:t>
      </w:r>
      <w:r>
        <w:rPr>
          <w:rFonts w:ascii="標楷體" w:eastAsia="標楷體" w:hAnsi="標楷體" w:cs="MS Gothic" w:hint="eastAsia"/>
          <w:color w:val="000000" w:themeColor="text1"/>
          <w:sz w:val="28"/>
          <w:szCs w:val="32"/>
        </w:rPr>
        <w:t>一線城市房地產銷售及投資嚴重下滑，惟二、三線城市房地產依舊熱絡，致</w:t>
      </w:r>
      <w:r w:rsidRPr="006E7090">
        <w:rPr>
          <w:rFonts w:eastAsia="標楷體"/>
          <w:color w:val="000000" w:themeColor="text1"/>
          <w:sz w:val="28"/>
          <w:szCs w:val="32"/>
        </w:rPr>
        <w:t>2017</w:t>
      </w:r>
      <w:r w:rsidRPr="006E7090">
        <w:rPr>
          <w:rFonts w:eastAsia="標楷體"/>
          <w:color w:val="000000" w:themeColor="text1"/>
          <w:sz w:val="28"/>
          <w:szCs w:val="32"/>
        </w:rPr>
        <w:t>年</w:t>
      </w:r>
      <w:r>
        <w:rPr>
          <w:rFonts w:eastAsia="標楷體" w:hint="eastAsia"/>
          <w:color w:val="000000" w:themeColor="text1"/>
          <w:sz w:val="28"/>
          <w:szCs w:val="32"/>
        </w:rPr>
        <w:t>房地產開發投資</w:t>
      </w:r>
      <w:r w:rsidRPr="006E7090">
        <w:rPr>
          <w:rFonts w:eastAsia="標楷體"/>
          <w:color w:val="000000" w:themeColor="text1"/>
          <w:sz w:val="28"/>
          <w:szCs w:val="32"/>
        </w:rPr>
        <w:t>成長</w:t>
      </w:r>
      <w:r>
        <w:rPr>
          <w:rFonts w:eastAsia="標楷體" w:hint="eastAsia"/>
          <w:color w:val="000000" w:themeColor="text1"/>
          <w:sz w:val="28"/>
          <w:szCs w:val="32"/>
        </w:rPr>
        <w:t>7.0</w:t>
      </w:r>
      <w:r w:rsidRPr="006E7090">
        <w:rPr>
          <w:rFonts w:eastAsia="標楷體"/>
          <w:color w:val="000000" w:themeColor="text1"/>
          <w:sz w:val="28"/>
          <w:szCs w:val="32"/>
        </w:rPr>
        <w:t>%</w:t>
      </w:r>
      <w:r w:rsidRPr="006E7090">
        <w:rPr>
          <w:rFonts w:eastAsia="標楷體"/>
          <w:color w:val="000000" w:themeColor="text1"/>
          <w:sz w:val="28"/>
          <w:szCs w:val="32"/>
        </w:rPr>
        <w:t>，較</w:t>
      </w:r>
      <w:r>
        <w:rPr>
          <w:rFonts w:eastAsia="標楷體" w:hint="eastAsia"/>
          <w:color w:val="000000" w:themeColor="text1"/>
          <w:sz w:val="28"/>
          <w:szCs w:val="32"/>
        </w:rPr>
        <w:t>上年增加</w:t>
      </w:r>
      <w:r>
        <w:rPr>
          <w:rFonts w:eastAsia="標楷體" w:hint="eastAsia"/>
          <w:color w:val="000000" w:themeColor="text1"/>
          <w:sz w:val="28"/>
          <w:szCs w:val="32"/>
        </w:rPr>
        <w:t>0.1</w:t>
      </w:r>
      <w:r w:rsidRPr="006E7090">
        <w:rPr>
          <w:rFonts w:eastAsia="標楷體"/>
          <w:color w:val="000000" w:themeColor="text1"/>
          <w:sz w:val="28"/>
          <w:szCs w:val="32"/>
        </w:rPr>
        <w:t>個百分點。</w:t>
      </w:r>
      <w:r w:rsidR="009F16AE" w:rsidRPr="009F16AE">
        <w:rPr>
          <w:rFonts w:eastAsia="標楷體" w:hint="eastAsia"/>
          <w:color w:val="000000" w:themeColor="text1"/>
          <w:sz w:val="28"/>
          <w:szCs w:val="32"/>
        </w:rPr>
        <w:t>（圖</w:t>
      </w:r>
      <w:r w:rsidR="009F16AE" w:rsidRPr="009F16AE">
        <w:rPr>
          <w:rFonts w:eastAsia="標楷體" w:hint="eastAsia"/>
          <w:color w:val="000000" w:themeColor="text1"/>
          <w:sz w:val="28"/>
          <w:szCs w:val="32"/>
        </w:rPr>
        <w:t>1-</w:t>
      </w:r>
      <w:r w:rsidR="009F16AE">
        <w:rPr>
          <w:rFonts w:eastAsia="標楷體" w:hint="eastAsia"/>
          <w:color w:val="000000" w:themeColor="text1"/>
          <w:sz w:val="28"/>
          <w:szCs w:val="32"/>
        </w:rPr>
        <w:t>1</w:t>
      </w:r>
      <w:r w:rsidR="009F16AE" w:rsidRPr="009F16AE">
        <w:rPr>
          <w:rFonts w:eastAsia="標楷體" w:hint="eastAsia"/>
          <w:color w:val="000000" w:themeColor="text1"/>
          <w:sz w:val="28"/>
          <w:szCs w:val="32"/>
        </w:rPr>
        <w:t>）</w:t>
      </w:r>
    </w:p>
    <w:p w:rsidR="000A18A5" w:rsidRPr="006E7090" w:rsidRDefault="000A18A5" w:rsidP="000A18A5">
      <w:pPr>
        <w:widowControl/>
        <w:autoSpaceDE w:val="0"/>
        <w:snapToGrid w:val="0"/>
        <w:spacing w:beforeLines="25" w:before="60" w:line="460" w:lineRule="exact"/>
        <w:ind w:leftChars="236" w:left="849" w:hangingChars="101" w:hanging="283"/>
        <w:jc w:val="both"/>
        <w:rPr>
          <w:rFonts w:eastAsia="標楷體"/>
          <w:color w:val="000000" w:themeColor="text1"/>
          <w:sz w:val="28"/>
          <w:szCs w:val="32"/>
        </w:rPr>
      </w:pPr>
      <w:r w:rsidRPr="006E7090">
        <w:rPr>
          <w:rFonts w:ascii="微軟正黑體" w:eastAsia="微軟正黑體" w:hAnsi="微軟正黑體" w:cs="MS Gothic"/>
          <w:noProof/>
          <w:color w:val="000000" w:themeColor="text1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BE30B7" wp14:editId="525F9FD7">
                <wp:simplePos x="0" y="0"/>
                <wp:positionH relativeFrom="column">
                  <wp:posOffset>-97790</wp:posOffset>
                </wp:positionH>
                <wp:positionV relativeFrom="paragraph">
                  <wp:posOffset>224732</wp:posOffset>
                </wp:positionV>
                <wp:extent cx="438150" cy="1403985"/>
                <wp:effectExtent l="0" t="0" r="0" b="12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F1A" w:rsidRPr="00BA0844" w:rsidRDefault="00902F1A" w:rsidP="000A18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08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7.7pt;margin-top:17.7pt;width:34.5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" stroked="f">
                <v:textbox style="mso-fit-shape-to-text:t">
                  <w:txbxContent>
                    <w:p w:rsidR="00902F1A" w:rsidRPr="00BA0844" w:rsidRDefault="00902F1A" w:rsidP="000A18A5">
                      <w:pPr>
                        <w:rPr>
                          <w:sz w:val="20"/>
                          <w:szCs w:val="20"/>
                        </w:rPr>
                      </w:pPr>
                      <w:r w:rsidRPr="00BA0844">
                        <w:rPr>
                          <w:rFonts w:hint="eastAsia"/>
                          <w:sz w:val="20"/>
                          <w:szCs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2752" behindDoc="1" locked="0" layoutInCell="1" allowOverlap="1" wp14:anchorId="3983E042" wp14:editId="133F2610">
            <wp:simplePos x="0" y="0"/>
            <wp:positionH relativeFrom="column">
              <wp:posOffset>-96520</wp:posOffset>
            </wp:positionH>
            <wp:positionV relativeFrom="paragraph">
              <wp:posOffset>131445</wp:posOffset>
            </wp:positionV>
            <wp:extent cx="5777230" cy="2327275"/>
            <wp:effectExtent l="0" t="0" r="0" b="0"/>
            <wp:wrapTight wrapText="bothSides">
              <wp:wrapPolygon edited="0">
                <wp:start x="4487" y="707"/>
                <wp:lineTo x="2707" y="2122"/>
                <wp:lineTo x="142" y="3713"/>
                <wp:lineTo x="142" y="6542"/>
                <wp:lineTo x="7621" y="6719"/>
                <wp:lineTo x="214" y="7603"/>
                <wp:lineTo x="214" y="8840"/>
                <wp:lineTo x="4772" y="9548"/>
                <wp:lineTo x="427" y="9724"/>
                <wp:lineTo x="142" y="9901"/>
                <wp:lineTo x="142" y="13968"/>
                <wp:lineTo x="926" y="15205"/>
                <wp:lineTo x="2066" y="15205"/>
                <wp:lineTo x="499" y="15913"/>
                <wp:lineTo x="499" y="16620"/>
                <wp:lineTo x="1994" y="18034"/>
                <wp:lineTo x="3063" y="20333"/>
                <wp:lineTo x="3134" y="20686"/>
                <wp:lineTo x="13889" y="20686"/>
                <wp:lineTo x="14174" y="20333"/>
                <wp:lineTo x="20726" y="18211"/>
                <wp:lineTo x="20869" y="17858"/>
                <wp:lineTo x="19302" y="15205"/>
                <wp:lineTo x="20798" y="15029"/>
                <wp:lineTo x="20584" y="12377"/>
                <wp:lineTo x="13746" y="12377"/>
                <wp:lineTo x="5484" y="9548"/>
                <wp:lineTo x="20655" y="9194"/>
                <wp:lineTo x="20726" y="7603"/>
                <wp:lineTo x="9473" y="6719"/>
                <wp:lineTo x="9544" y="5481"/>
                <wp:lineTo x="6268" y="4420"/>
                <wp:lineTo x="7621" y="3890"/>
                <wp:lineTo x="18376" y="2122"/>
                <wp:lineTo x="18305" y="707"/>
                <wp:lineTo x="4487" y="707"/>
              </wp:wrapPolygon>
            </wp:wrapTight>
            <wp:docPr id="9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8A5" w:rsidRPr="006E7090" w:rsidRDefault="000A18A5" w:rsidP="000A18A5">
      <w:pPr>
        <w:widowControl/>
        <w:autoSpaceDE w:val="0"/>
        <w:snapToGrid w:val="0"/>
        <w:spacing w:beforeLines="25" w:before="60" w:line="460" w:lineRule="exact"/>
        <w:ind w:leftChars="236" w:left="849" w:hangingChars="101" w:hanging="283"/>
        <w:jc w:val="both"/>
        <w:rPr>
          <w:rFonts w:eastAsia="標楷體"/>
          <w:color w:val="000000" w:themeColor="text1"/>
          <w:sz w:val="28"/>
          <w:szCs w:val="32"/>
        </w:rPr>
      </w:pPr>
    </w:p>
    <w:p w:rsidR="000A18A5" w:rsidRPr="006E7090" w:rsidRDefault="000A18A5" w:rsidP="000A18A5">
      <w:pPr>
        <w:widowControl/>
        <w:autoSpaceDE w:val="0"/>
        <w:snapToGrid w:val="0"/>
        <w:spacing w:beforeLines="25" w:before="60" w:line="480" w:lineRule="exact"/>
        <w:ind w:leftChars="236" w:left="849" w:hangingChars="101" w:hanging="283"/>
        <w:jc w:val="both"/>
        <w:rPr>
          <w:rFonts w:ascii="微軟正黑體" w:eastAsia="微軟正黑體" w:hAnsi="微軟正黑體" w:cs="MS Gothic"/>
          <w:color w:val="000000" w:themeColor="text1"/>
          <w:sz w:val="28"/>
          <w:szCs w:val="32"/>
        </w:rPr>
      </w:pPr>
    </w:p>
    <w:p w:rsidR="000A18A5" w:rsidRPr="006E7090" w:rsidRDefault="000A18A5" w:rsidP="000A18A5">
      <w:pPr>
        <w:widowControl/>
        <w:autoSpaceDE w:val="0"/>
        <w:snapToGrid w:val="0"/>
        <w:spacing w:beforeLines="25" w:before="60" w:line="460" w:lineRule="exact"/>
        <w:ind w:leftChars="236" w:left="849" w:hangingChars="101" w:hanging="283"/>
        <w:jc w:val="both"/>
        <w:rPr>
          <w:rFonts w:ascii="微軟正黑體" w:eastAsia="微軟正黑體" w:hAnsi="微軟正黑體"/>
          <w:color w:val="000000" w:themeColor="text1"/>
          <w:sz w:val="28"/>
          <w:szCs w:val="32"/>
        </w:rPr>
      </w:pPr>
    </w:p>
    <w:p w:rsidR="000A18A5" w:rsidRPr="006E7090" w:rsidRDefault="000A18A5" w:rsidP="000A18A5">
      <w:pPr>
        <w:widowControl/>
        <w:autoSpaceDE w:val="0"/>
        <w:snapToGrid w:val="0"/>
        <w:spacing w:beforeLines="25" w:before="60" w:line="240" w:lineRule="atLeast"/>
        <w:ind w:left="567"/>
        <w:jc w:val="both"/>
        <w:rPr>
          <w:rFonts w:ascii="標楷體" w:eastAsia="標楷體" w:hAnsi="標楷體"/>
          <w:color w:val="000000" w:themeColor="text1"/>
          <w:sz w:val="20"/>
          <w:szCs w:val="20"/>
        </w:rPr>
      </w:pPr>
      <w:r w:rsidRPr="006E7090">
        <w:rPr>
          <w:rFonts w:ascii="標楷體" w:eastAsia="標楷體" w:hAnsi="標楷體" w:hint="eastAsia"/>
          <w:color w:val="000000" w:themeColor="text1"/>
          <w:sz w:val="20"/>
          <w:szCs w:val="20"/>
        </w:rPr>
        <w:t>資料來源：中國大陸國家統計局。</w:t>
      </w:r>
    </w:p>
    <w:p w:rsidR="000A18A5" w:rsidRPr="006E7090" w:rsidRDefault="000A18A5" w:rsidP="000A18A5">
      <w:pPr>
        <w:widowControl/>
        <w:autoSpaceDE w:val="0"/>
        <w:snapToGrid w:val="0"/>
        <w:spacing w:beforeLines="25" w:before="60" w:line="240" w:lineRule="atLeast"/>
        <w:ind w:left="567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E709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圖</w:t>
      </w:r>
      <w:r w:rsidRPr="006E7090">
        <w:rPr>
          <w:rFonts w:eastAsia="標楷體"/>
          <w:b/>
          <w:color w:val="000000" w:themeColor="text1"/>
          <w:sz w:val="28"/>
          <w:szCs w:val="28"/>
        </w:rPr>
        <w:t>1-1</w:t>
      </w:r>
      <w:r w:rsidRPr="006E709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中國大陸固定資產投資</w:t>
      </w:r>
      <w:r w:rsidR="0017468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成長率</w:t>
      </w:r>
    </w:p>
    <w:p w:rsidR="000A18A5" w:rsidRPr="006E7090" w:rsidRDefault="000A18A5" w:rsidP="000A18A5">
      <w:pPr>
        <w:widowControl/>
        <w:tabs>
          <w:tab w:val="left" w:pos="567"/>
        </w:tabs>
        <w:autoSpaceDE w:val="0"/>
        <w:snapToGrid w:val="0"/>
        <w:spacing w:beforeLines="25" w:before="60" w:line="480" w:lineRule="exact"/>
        <w:ind w:left="330"/>
        <w:jc w:val="both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6E7090">
        <w:rPr>
          <w:rFonts w:eastAsia="標楷體" w:hint="eastAsia"/>
          <w:b/>
          <w:color w:val="000000" w:themeColor="text1"/>
          <w:sz w:val="28"/>
          <w:szCs w:val="32"/>
        </w:rPr>
        <w:t>3</w:t>
      </w:r>
      <w:r w:rsidRPr="006E7090">
        <w:rPr>
          <w:rFonts w:eastAsia="標楷體"/>
          <w:b/>
          <w:color w:val="000000" w:themeColor="text1"/>
          <w:sz w:val="28"/>
          <w:szCs w:val="32"/>
        </w:rPr>
        <w:t>.</w:t>
      </w:r>
      <w:r w:rsidRPr="006E7090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外貿</w:t>
      </w:r>
      <w:r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由衰退轉為</w:t>
      </w:r>
      <w:r w:rsidRPr="006E7090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成長</w:t>
      </w:r>
    </w:p>
    <w:p w:rsidR="000A18A5" w:rsidRDefault="000A18A5" w:rsidP="000A18A5">
      <w:pPr>
        <w:widowControl/>
        <w:autoSpaceDE w:val="0"/>
        <w:snapToGrid w:val="0"/>
        <w:spacing w:beforeLines="25" w:before="60" w:line="480" w:lineRule="exact"/>
        <w:ind w:leftChars="236" w:left="566" w:firstLineChars="200" w:firstLine="560"/>
        <w:jc w:val="both"/>
        <w:rPr>
          <w:rFonts w:eastAsia="標楷體"/>
          <w:color w:val="000000" w:themeColor="text1"/>
          <w:sz w:val="28"/>
          <w:szCs w:val="32"/>
        </w:rPr>
      </w:pPr>
      <w:r w:rsidRPr="006E7090">
        <w:rPr>
          <w:rFonts w:eastAsia="標楷體"/>
          <w:color w:val="000000" w:themeColor="text1"/>
          <w:sz w:val="28"/>
          <w:szCs w:val="32"/>
        </w:rPr>
        <w:t>全球景氣</w:t>
      </w:r>
      <w:r>
        <w:rPr>
          <w:rFonts w:eastAsia="標楷體" w:hint="eastAsia"/>
          <w:color w:val="000000" w:themeColor="text1"/>
          <w:sz w:val="28"/>
          <w:szCs w:val="32"/>
        </w:rPr>
        <w:t>回升</w:t>
      </w:r>
      <w:r w:rsidRPr="006E7090">
        <w:rPr>
          <w:rFonts w:eastAsia="標楷體"/>
          <w:color w:val="000000" w:themeColor="text1"/>
          <w:sz w:val="28"/>
          <w:szCs w:val="32"/>
        </w:rPr>
        <w:t>，帶動中國大陸外貿成長，</w:t>
      </w:r>
      <w:r w:rsidR="00FE7B6B">
        <w:rPr>
          <w:rFonts w:eastAsia="標楷體" w:hint="eastAsia"/>
          <w:color w:val="000000" w:themeColor="text1"/>
          <w:sz w:val="28"/>
          <w:szCs w:val="32"/>
        </w:rPr>
        <w:t>反轉</w:t>
      </w:r>
      <w:r>
        <w:rPr>
          <w:rFonts w:eastAsia="標楷體" w:hint="eastAsia"/>
          <w:color w:val="000000" w:themeColor="text1"/>
          <w:sz w:val="28"/>
          <w:szCs w:val="32"/>
        </w:rPr>
        <w:t>連續兩年衰退的現象，</w:t>
      </w:r>
      <w:r>
        <w:rPr>
          <w:rFonts w:eastAsia="標楷體" w:hint="eastAsia"/>
          <w:color w:val="000000" w:themeColor="text1"/>
          <w:sz w:val="28"/>
          <w:szCs w:val="32"/>
        </w:rPr>
        <w:t>2017</w:t>
      </w:r>
      <w:r>
        <w:rPr>
          <w:rFonts w:eastAsia="標楷體" w:hint="eastAsia"/>
          <w:color w:val="000000" w:themeColor="text1"/>
          <w:sz w:val="28"/>
          <w:szCs w:val="32"/>
        </w:rPr>
        <w:t>年對外貿易總額為</w:t>
      </w:r>
      <w:r>
        <w:rPr>
          <w:rFonts w:eastAsia="標楷體" w:hint="eastAsia"/>
          <w:color w:val="000000" w:themeColor="text1"/>
          <w:sz w:val="28"/>
          <w:szCs w:val="32"/>
        </w:rPr>
        <w:t>41,044</w:t>
      </w:r>
      <w:r>
        <w:rPr>
          <w:rFonts w:eastAsia="標楷體" w:hint="eastAsia"/>
          <w:color w:val="000000" w:themeColor="text1"/>
          <w:sz w:val="28"/>
          <w:szCs w:val="32"/>
        </w:rPr>
        <w:t>億美元</w:t>
      </w:r>
      <w:r w:rsidR="0063064B">
        <w:rPr>
          <w:rFonts w:eastAsia="標楷體" w:hint="eastAsia"/>
          <w:color w:val="000000" w:themeColor="text1"/>
          <w:sz w:val="28"/>
          <w:szCs w:val="32"/>
        </w:rPr>
        <w:t>，</w:t>
      </w:r>
      <w:r>
        <w:rPr>
          <w:rFonts w:eastAsia="標楷體" w:hint="eastAsia"/>
          <w:color w:val="000000" w:themeColor="text1"/>
          <w:sz w:val="28"/>
          <w:szCs w:val="32"/>
        </w:rPr>
        <w:t>成長</w:t>
      </w:r>
      <w:r>
        <w:rPr>
          <w:rFonts w:eastAsia="標楷體" w:hint="eastAsia"/>
          <w:color w:val="000000" w:themeColor="text1"/>
          <w:sz w:val="28"/>
          <w:szCs w:val="32"/>
        </w:rPr>
        <w:t>11.4%</w:t>
      </w:r>
      <w:r w:rsidR="00163A79">
        <w:rPr>
          <w:rFonts w:eastAsia="標楷體" w:hint="eastAsia"/>
          <w:color w:val="000000" w:themeColor="text1"/>
          <w:sz w:val="28"/>
          <w:szCs w:val="32"/>
        </w:rPr>
        <w:t>。</w:t>
      </w:r>
      <w:r>
        <w:rPr>
          <w:rFonts w:eastAsia="標楷體" w:hint="eastAsia"/>
          <w:color w:val="000000" w:themeColor="text1"/>
          <w:sz w:val="28"/>
          <w:szCs w:val="32"/>
        </w:rPr>
        <w:t>其中，</w:t>
      </w:r>
      <w:r w:rsidRPr="00DE5C46">
        <w:rPr>
          <w:rFonts w:eastAsia="標楷體" w:hint="eastAsia"/>
          <w:color w:val="000000" w:themeColor="text1"/>
          <w:sz w:val="28"/>
          <w:szCs w:val="32"/>
        </w:rPr>
        <w:t>出口金額為</w:t>
      </w:r>
      <w:r>
        <w:rPr>
          <w:rFonts w:eastAsia="標楷體" w:hint="eastAsia"/>
          <w:color w:val="000000" w:themeColor="text1"/>
          <w:sz w:val="28"/>
          <w:szCs w:val="32"/>
        </w:rPr>
        <w:t>22,634</w:t>
      </w:r>
      <w:r w:rsidRPr="00DE5C46">
        <w:rPr>
          <w:rFonts w:eastAsia="標楷體" w:hint="eastAsia"/>
          <w:color w:val="000000" w:themeColor="text1"/>
          <w:sz w:val="28"/>
          <w:szCs w:val="32"/>
        </w:rPr>
        <w:t>億美元</w:t>
      </w:r>
      <w:r>
        <w:rPr>
          <w:rFonts w:eastAsia="標楷體" w:hint="eastAsia"/>
          <w:color w:val="000000" w:themeColor="text1"/>
          <w:sz w:val="28"/>
          <w:szCs w:val="32"/>
        </w:rPr>
        <w:t>，已</w:t>
      </w:r>
      <w:r w:rsidR="00B02DD8">
        <w:rPr>
          <w:rFonts w:eastAsia="標楷體" w:hint="eastAsia"/>
          <w:color w:val="000000" w:themeColor="text1"/>
          <w:sz w:val="28"/>
          <w:szCs w:val="32"/>
        </w:rPr>
        <w:t>由連續兩年衰退</w:t>
      </w:r>
      <w:r>
        <w:rPr>
          <w:rFonts w:eastAsia="標楷體" w:hint="eastAsia"/>
          <w:color w:val="000000" w:themeColor="text1"/>
          <w:sz w:val="28"/>
          <w:szCs w:val="32"/>
        </w:rPr>
        <w:t>轉為成長</w:t>
      </w:r>
      <w:r>
        <w:rPr>
          <w:rFonts w:eastAsia="標楷體" w:hint="eastAsia"/>
          <w:color w:val="000000" w:themeColor="text1"/>
          <w:sz w:val="28"/>
          <w:szCs w:val="32"/>
        </w:rPr>
        <w:t>7.9%</w:t>
      </w:r>
      <w:r w:rsidRPr="00DE5C46">
        <w:rPr>
          <w:rFonts w:eastAsia="標楷體" w:hint="eastAsia"/>
          <w:color w:val="000000" w:themeColor="text1"/>
          <w:sz w:val="28"/>
          <w:szCs w:val="32"/>
        </w:rPr>
        <w:t>；</w:t>
      </w:r>
      <w:r>
        <w:rPr>
          <w:rFonts w:eastAsia="標楷體" w:hint="eastAsia"/>
          <w:color w:val="000000" w:themeColor="text1"/>
          <w:sz w:val="28"/>
          <w:szCs w:val="32"/>
        </w:rPr>
        <w:t>在</w:t>
      </w:r>
      <w:r w:rsidRPr="00DE5C46">
        <w:rPr>
          <w:rFonts w:eastAsia="標楷體" w:hint="eastAsia"/>
          <w:color w:val="000000" w:themeColor="text1"/>
          <w:sz w:val="28"/>
          <w:szCs w:val="32"/>
        </w:rPr>
        <w:t>進口</w:t>
      </w:r>
      <w:r>
        <w:rPr>
          <w:rFonts w:eastAsia="標楷體" w:hint="eastAsia"/>
          <w:color w:val="000000" w:themeColor="text1"/>
          <w:sz w:val="28"/>
          <w:szCs w:val="32"/>
        </w:rPr>
        <w:t>分面，受</w:t>
      </w:r>
      <w:r w:rsidRPr="00D001D3">
        <w:rPr>
          <w:rFonts w:eastAsia="標楷體" w:hint="eastAsia"/>
          <w:color w:val="000000" w:themeColor="text1"/>
          <w:sz w:val="28"/>
          <w:szCs w:val="32"/>
        </w:rPr>
        <w:t>國際大宗商品價格走強，企業增加原材料庫存</w:t>
      </w:r>
      <w:r>
        <w:rPr>
          <w:rFonts w:eastAsia="標楷體" w:hint="eastAsia"/>
          <w:color w:val="000000" w:themeColor="text1"/>
          <w:sz w:val="28"/>
          <w:szCs w:val="32"/>
        </w:rPr>
        <w:t>等，</w:t>
      </w:r>
      <w:r>
        <w:rPr>
          <w:rFonts w:eastAsia="標楷體" w:hint="eastAsia"/>
          <w:color w:val="000000" w:themeColor="text1"/>
          <w:sz w:val="28"/>
          <w:szCs w:val="32"/>
        </w:rPr>
        <w:t>2017</w:t>
      </w:r>
      <w:r>
        <w:rPr>
          <w:rFonts w:eastAsia="標楷體" w:hint="eastAsia"/>
          <w:color w:val="000000" w:themeColor="text1"/>
          <w:sz w:val="28"/>
          <w:szCs w:val="32"/>
        </w:rPr>
        <w:t>年</w:t>
      </w:r>
      <w:r w:rsidRPr="006E7090">
        <w:rPr>
          <w:rFonts w:eastAsia="標楷體"/>
          <w:color w:val="000000" w:themeColor="text1"/>
          <w:sz w:val="28"/>
          <w:szCs w:val="32"/>
        </w:rPr>
        <w:t>進口</w:t>
      </w:r>
      <w:r w:rsidRPr="006A3FC3">
        <w:rPr>
          <w:rFonts w:eastAsia="標楷體" w:hint="eastAsia"/>
          <w:color w:val="000000" w:themeColor="text1"/>
          <w:sz w:val="28"/>
          <w:szCs w:val="32"/>
        </w:rPr>
        <w:lastRenderedPageBreak/>
        <w:t>金額為</w:t>
      </w:r>
      <w:r>
        <w:rPr>
          <w:rFonts w:eastAsia="標楷體" w:hint="eastAsia"/>
          <w:color w:val="000000" w:themeColor="text1"/>
          <w:sz w:val="28"/>
          <w:szCs w:val="32"/>
        </w:rPr>
        <w:t>18</w:t>
      </w:r>
      <w:r w:rsidRPr="006A3FC3">
        <w:rPr>
          <w:rFonts w:eastAsia="標楷體" w:hint="eastAsia"/>
          <w:color w:val="000000" w:themeColor="text1"/>
          <w:sz w:val="28"/>
          <w:szCs w:val="32"/>
        </w:rPr>
        <w:t>,</w:t>
      </w:r>
      <w:r>
        <w:rPr>
          <w:rFonts w:eastAsia="標楷體" w:hint="eastAsia"/>
          <w:color w:val="000000" w:themeColor="text1"/>
          <w:sz w:val="28"/>
          <w:szCs w:val="32"/>
        </w:rPr>
        <w:t>409</w:t>
      </w:r>
      <w:r w:rsidRPr="006A3FC3">
        <w:rPr>
          <w:rFonts w:eastAsia="標楷體" w:hint="eastAsia"/>
          <w:color w:val="000000" w:themeColor="text1"/>
          <w:sz w:val="28"/>
          <w:szCs w:val="32"/>
        </w:rPr>
        <w:t>億美元，</w:t>
      </w:r>
      <w:r>
        <w:rPr>
          <w:rFonts w:eastAsia="標楷體" w:hint="eastAsia"/>
          <w:color w:val="000000" w:themeColor="text1"/>
          <w:sz w:val="28"/>
          <w:szCs w:val="32"/>
        </w:rPr>
        <w:t>由上年的衰退</w:t>
      </w:r>
      <w:r>
        <w:rPr>
          <w:rFonts w:eastAsia="標楷體" w:hint="eastAsia"/>
          <w:color w:val="000000" w:themeColor="text1"/>
          <w:sz w:val="28"/>
          <w:szCs w:val="32"/>
        </w:rPr>
        <w:t>5.5%</w:t>
      </w:r>
      <w:r>
        <w:rPr>
          <w:rFonts w:eastAsia="標楷體" w:hint="eastAsia"/>
          <w:color w:val="000000" w:themeColor="text1"/>
          <w:sz w:val="28"/>
          <w:szCs w:val="32"/>
        </w:rPr>
        <w:t>轉為大幅成長</w:t>
      </w:r>
      <w:r>
        <w:rPr>
          <w:rFonts w:eastAsia="標楷體" w:hint="eastAsia"/>
          <w:color w:val="000000" w:themeColor="text1"/>
          <w:sz w:val="28"/>
          <w:szCs w:val="32"/>
        </w:rPr>
        <w:t>15.9%</w:t>
      </w:r>
      <w:r>
        <w:rPr>
          <w:rFonts w:eastAsia="標楷體" w:hint="eastAsia"/>
          <w:color w:val="000000" w:themeColor="text1"/>
          <w:sz w:val="28"/>
          <w:szCs w:val="32"/>
        </w:rPr>
        <w:t>。</w:t>
      </w:r>
      <w:r w:rsidR="00BF71E4" w:rsidRPr="00BF71E4">
        <w:rPr>
          <w:rFonts w:eastAsia="標楷體" w:hint="eastAsia"/>
          <w:color w:val="000000" w:themeColor="text1"/>
          <w:sz w:val="28"/>
          <w:szCs w:val="32"/>
        </w:rPr>
        <w:t>（</w:t>
      </w:r>
      <w:r w:rsidR="00BF71E4">
        <w:rPr>
          <w:rFonts w:eastAsia="標楷體" w:hint="eastAsia"/>
          <w:color w:val="000000" w:themeColor="text1"/>
          <w:sz w:val="28"/>
          <w:szCs w:val="32"/>
        </w:rPr>
        <w:t>表</w:t>
      </w:r>
      <w:r w:rsidR="00BF71E4" w:rsidRPr="00BF71E4">
        <w:rPr>
          <w:rFonts w:eastAsia="標楷體" w:hint="eastAsia"/>
          <w:color w:val="000000" w:themeColor="text1"/>
          <w:sz w:val="28"/>
          <w:szCs w:val="32"/>
        </w:rPr>
        <w:t>1-1</w:t>
      </w:r>
      <w:r w:rsidR="00BF71E4" w:rsidRPr="00BF71E4">
        <w:rPr>
          <w:rFonts w:eastAsia="標楷體" w:hint="eastAsia"/>
          <w:color w:val="000000" w:themeColor="text1"/>
          <w:sz w:val="28"/>
          <w:szCs w:val="32"/>
        </w:rPr>
        <w:t>）</w:t>
      </w:r>
    </w:p>
    <w:p w:rsidR="000A18A5" w:rsidRPr="006E7090" w:rsidRDefault="000A18A5" w:rsidP="000A18A5">
      <w:pPr>
        <w:widowControl/>
        <w:tabs>
          <w:tab w:val="left" w:pos="567"/>
        </w:tabs>
        <w:autoSpaceDE w:val="0"/>
        <w:snapToGrid w:val="0"/>
        <w:spacing w:beforeLines="25" w:before="60" w:line="480" w:lineRule="exact"/>
        <w:ind w:leftChars="1" w:left="568" w:hangingChars="202" w:hanging="566"/>
        <w:jc w:val="center"/>
        <w:rPr>
          <w:rFonts w:ascii="標楷體" w:eastAsia="標楷體" w:hAnsi="標楷體" w:cs="Arial"/>
          <w:b/>
          <w:color w:val="000000" w:themeColor="text1"/>
          <w:sz w:val="28"/>
          <w:szCs w:val="32"/>
        </w:rPr>
      </w:pPr>
      <w:r w:rsidRPr="006E7090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32"/>
        </w:rPr>
        <w:t>表</w:t>
      </w:r>
      <w:r w:rsidRPr="006E7090">
        <w:rPr>
          <w:rFonts w:eastAsia="標楷體"/>
          <w:b/>
          <w:color w:val="000000" w:themeColor="text1"/>
          <w:kern w:val="0"/>
          <w:sz w:val="28"/>
          <w:szCs w:val="32"/>
        </w:rPr>
        <w:t>1-</w:t>
      </w:r>
      <w:r w:rsidR="00BF71E4">
        <w:rPr>
          <w:rFonts w:eastAsia="標楷體" w:hint="eastAsia"/>
          <w:b/>
          <w:color w:val="000000" w:themeColor="text1"/>
          <w:kern w:val="0"/>
          <w:sz w:val="28"/>
          <w:szCs w:val="32"/>
        </w:rPr>
        <w:t>1</w:t>
      </w:r>
      <w:r w:rsidRPr="006E7090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32"/>
        </w:rPr>
        <w:t xml:space="preserve">  中國大陸對外貿易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7"/>
        <w:gridCol w:w="1134"/>
        <w:gridCol w:w="1036"/>
        <w:gridCol w:w="1036"/>
        <w:gridCol w:w="966"/>
        <w:gridCol w:w="1111"/>
        <w:gridCol w:w="886"/>
        <w:gridCol w:w="1287"/>
        <w:gridCol w:w="128"/>
      </w:tblGrid>
      <w:tr w:rsidR="000A18A5" w:rsidRPr="006E7090" w:rsidTr="00DC02F8">
        <w:trPr>
          <w:gridAfter w:val="1"/>
          <w:wAfter w:w="128" w:type="dxa"/>
          <w:trHeight w:val="227"/>
          <w:jc w:val="center"/>
        </w:trPr>
        <w:tc>
          <w:tcPr>
            <w:tcW w:w="92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6E7090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單位：億美元</w:t>
            </w:r>
            <w:r w:rsidRPr="006E709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；</w:t>
            </w:r>
            <w:r w:rsidRPr="006E709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%</w:t>
            </w:r>
          </w:p>
        </w:tc>
      </w:tr>
      <w:tr w:rsidR="000A18A5" w:rsidRPr="006E7090" w:rsidTr="00DC02F8">
        <w:trPr>
          <w:trHeight w:val="227"/>
          <w:jc w:val="center"/>
        </w:trPr>
        <w:tc>
          <w:tcPr>
            <w:tcW w:w="17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8A5" w:rsidRPr="006E7090" w:rsidRDefault="000A18A5" w:rsidP="00DC02F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E7090">
              <w:rPr>
                <w:rFonts w:ascii="標楷體" w:eastAsia="標楷體" w:hAnsi="標楷體" w:hint="eastAsia"/>
                <w:color w:val="000000" w:themeColor="text1"/>
                <w:kern w:val="0"/>
              </w:rPr>
              <w:t>期間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E7090">
              <w:rPr>
                <w:rFonts w:ascii="標楷體" w:eastAsia="標楷體" w:hAnsi="標楷體" w:hint="eastAsia"/>
                <w:color w:val="000000" w:themeColor="text1"/>
                <w:kern w:val="0"/>
              </w:rPr>
              <w:t>貿易總額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E7090">
              <w:rPr>
                <w:rFonts w:ascii="標楷體" w:eastAsia="標楷體" w:hAnsi="標楷體" w:hint="eastAsia"/>
                <w:color w:val="000000" w:themeColor="text1"/>
                <w:kern w:val="0"/>
              </w:rPr>
              <w:t>出口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E7090">
              <w:rPr>
                <w:rFonts w:ascii="標楷體" w:eastAsia="標楷體" w:hAnsi="標楷體" w:hint="eastAsia"/>
                <w:color w:val="000000" w:themeColor="text1"/>
                <w:kern w:val="0"/>
              </w:rPr>
              <w:t>進口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ind w:firstLineChars="100" w:firstLine="24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E7090">
              <w:rPr>
                <w:rFonts w:ascii="標楷體" w:eastAsia="標楷體" w:hAnsi="標楷體" w:hint="eastAsia"/>
                <w:color w:val="000000" w:themeColor="text1"/>
                <w:kern w:val="0"/>
              </w:rPr>
              <w:t>出（入）超</w:t>
            </w:r>
          </w:p>
        </w:tc>
      </w:tr>
      <w:tr w:rsidR="000A18A5" w:rsidRPr="006E7090" w:rsidTr="00DC02F8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E7090">
              <w:rPr>
                <w:rFonts w:ascii="標楷體" w:eastAsia="標楷體" w:hAnsi="標楷體" w:hint="eastAsia"/>
                <w:color w:val="000000" w:themeColor="text1"/>
                <w:kern w:val="0"/>
              </w:rPr>
              <w:t>金額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E7090">
              <w:rPr>
                <w:rFonts w:ascii="標楷體" w:eastAsia="標楷體" w:hAnsi="標楷體" w:hint="eastAsia"/>
                <w:color w:val="000000" w:themeColor="text1"/>
                <w:kern w:val="0"/>
              </w:rPr>
              <w:t>年增率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E7090">
              <w:rPr>
                <w:rFonts w:ascii="標楷體" w:eastAsia="標楷體" w:hAnsi="標楷體" w:hint="eastAsia"/>
                <w:color w:val="000000" w:themeColor="text1"/>
                <w:kern w:val="0"/>
              </w:rPr>
              <w:t>金額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E7090">
              <w:rPr>
                <w:rFonts w:ascii="標楷體" w:eastAsia="標楷體" w:hAnsi="標楷體" w:hint="eastAsia"/>
                <w:color w:val="000000" w:themeColor="text1"/>
                <w:kern w:val="0"/>
              </w:rPr>
              <w:t>年增率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E7090">
              <w:rPr>
                <w:rFonts w:ascii="標楷體" w:eastAsia="標楷體" w:hAnsi="標楷體" w:hint="eastAsia"/>
                <w:color w:val="000000" w:themeColor="text1"/>
                <w:kern w:val="0"/>
              </w:rPr>
              <w:t>金額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E7090">
              <w:rPr>
                <w:rFonts w:ascii="標楷體" w:eastAsia="標楷體" w:hAnsi="標楷體" w:hint="eastAsia"/>
                <w:color w:val="000000" w:themeColor="text1"/>
                <w:kern w:val="0"/>
              </w:rPr>
              <w:t>年增率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E7090">
              <w:rPr>
                <w:rFonts w:ascii="標楷體" w:eastAsia="標楷體" w:hAnsi="標楷體" w:hint="eastAsia"/>
                <w:color w:val="000000" w:themeColor="text1"/>
                <w:kern w:val="0"/>
              </w:rPr>
              <w:t>金  額</w:t>
            </w:r>
          </w:p>
        </w:tc>
      </w:tr>
      <w:tr w:rsidR="000A18A5" w:rsidRPr="006E7090" w:rsidTr="00DC02F8">
        <w:trPr>
          <w:trHeight w:val="227"/>
          <w:jc w:val="center"/>
        </w:trPr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2013</w:t>
            </w:r>
            <w:r w:rsidRPr="006E7090">
              <w:rPr>
                <w:rFonts w:eastAsia="標楷體"/>
                <w:color w:val="000000" w:themeColor="text1"/>
                <w:kern w:val="0"/>
              </w:rPr>
              <w:t>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41,603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7.6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22,100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7.9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19,503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7.3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2,597</w:t>
            </w:r>
          </w:p>
        </w:tc>
      </w:tr>
      <w:tr w:rsidR="000A18A5" w:rsidRPr="006E7090" w:rsidTr="00DC02F8">
        <w:trPr>
          <w:trHeight w:val="227"/>
          <w:jc w:val="center"/>
        </w:trPr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第</w:t>
            </w:r>
            <w:r w:rsidRPr="006E7090">
              <w:rPr>
                <w:rFonts w:eastAsia="標楷體" w:hint="eastAsia"/>
                <w:color w:val="000000" w:themeColor="text1"/>
                <w:kern w:val="0"/>
              </w:rPr>
              <w:t>1</w:t>
            </w:r>
            <w:r w:rsidRPr="006E7090">
              <w:rPr>
                <w:rFonts w:eastAsia="標楷體"/>
                <w:color w:val="000000" w:themeColor="text1"/>
                <w:kern w:val="0"/>
              </w:rPr>
              <w:t>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9,753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13.5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5,087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18.3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4,667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8.6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420</w:t>
            </w:r>
          </w:p>
        </w:tc>
      </w:tr>
      <w:tr w:rsidR="000A18A5" w:rsidRPr="006E7090" w:rsidTr="00DC02F8">
        <w:trPr>
          <w:trHeight w:val="227"/>
          <w:jc w:val="center"/>
        </w:trPr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第</w:t>
            </w:r>
            <w:r w:rsidRPr="006E7090">
              <w:rPr>
                <w:rFonts w:eastAsia="標楷體" w:hint="eastAsia"/>
                <w:color w:val="000000" w:themeColor="text1"/>
                <w:kern w:val="0"/>
              </w:rPr>
              <w:t>2</w:t>
            </w:r>
            <w:r w:rsidRPr="006E7090">
              <w:rPr>
                <w:rFonts w:eastAsia="標楷體"/>
                <w:color w:val="000000" w:themeColor="text1"/>
                <w:kern w:val="0"/>
              </w:rPr>
              <w:t>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10,217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3.7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5,439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2.5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4,778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4.8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661</w:t>
            </w:r>
          </w:p>
        </w:tc>
      </w:tr>
      <w:tr w:rsidR="000A18A5" w:rsidRPr="006E7090" w:rsidTr="00DC02F8">
        <w:trPr>
          <w:trHeight w:val="227"/>
          <w:jc w:val="center"/>
        </w:trPr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第</w:t>
            </w:r>
            <w:r w:rsidRPr="006E7090">
              <w:rPr>
                <w:rFonts w:eastAsia="標楷體"/>
                <w:color w:val="000000" w:themeColor="text1"/>
                <w:kern w:val="0"/>
              </w:rPr>
              <w:t>3</w:t>
            </w:r>
            <w:r w:rsidRPr="006E7090">
              <w:rPr>
                <w:rFonts w:eastAsia="標楷體"/>
                <w:color w:val="000000" w:themeColor="text1"/>
                <w:kern w:val="0"/>
              </w:rPr>
              <w:t>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10,631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5.9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5,621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3.2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5,010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8.5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611</w:t>
            </w:r>
          </w:p>
        </w:tc>
      </w:tr>
      <w:tr w:rsidR="000A18A5" w:rsidRPr="006E7090" w:rsidTr="00DC02F8">
        <w:trPr>
          <w:trHeight w:val="227"/>
          <w:jc w:val="center"/>
        </w:trPr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第</w:t>
            </w:r>
            <w:r w:rsidRPr="006E7090">
              <w:rPr>
                <w:rFonts w:eastAsia="標楷體"/>
                <w:color w:val="000000" w:themeColor="text1"/>
                <w:kern w:val="0"/>
              </w:rPr>
              <w:t>4</w:t>
            </w:r>
            <w:r w:rsidRPr="006E7090">
              <w:rPr>
                <w:rFonts w:eastAsia="標楷體"/>
                <w:color w:val="000000" w:themeColor="text1"/>
                <w:kern w:val="0"/>
              </w:rPr>
              <w:t>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11,002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7.3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5,953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7.6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5,048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7.3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905</w:t>
            </w:r>
          </w:p>
        </w:tc>
      </w:tr>
      <w:tr w:rsidR="000A18A5" w:rsidRPr="006E7090" w:rsidTr="00DC02F8">
        <w:trPr>
          <w:trHeight w:val="227"/>
          <w:jc w:val="center"/>
        </w:trPr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2014</w:t>
            </w:r>
            <w:r w:rsidRPr="006E7090">
              <w:rPr>
                <w:rFonts w:eastAsia="標楷體"/>
                <w:color w:val="000000" w:themeColor="text1"/>
                <w:kern w:val="0"/>
              </w:rPr>
              <w:t>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43,030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3.4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23,427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6.1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19,602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0.4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3,824</w:t>
            </w:r>
          </w:p>
        </w:tc>
      </w:tr>
      <w:tr w:rsidR="000A18A5" w:rsidRPr="006E7090" w:rsidTr="00DC02F8">
        <w:trPr>
          <w:trHeight w:val="227"/>
          <w:jc w:val="center"/>
        </w:trPr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第</w:t>
            </w:r>
            <w:r w:rsidRPr="006E7090">
              <w:rPr>
                <w:rFonts w:eastAsia="標楷體"/>
                <w:color w:val="000000" w:themeColor="text1"/>
                <w:kern w:val="0"/>
              </w:rPr>
              <w:t>1</w:t>
            </w:r>
            <w:r w:rsidRPr="006E7090">
              <w:rPr>
                <w:rFonts w:eastAsia="標楷體"/>
                <w:color w:val="000000" w:themeColor="text1"/>
                <w:kern w:val="0"/>
              </w:rPr>
              <w:t>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9,658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-1.0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4,913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-3.4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4,745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1.6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167</w:t>
            </w:r>
          </w:p>
        </w:tc>
      </w:tr>
      <w:tr w:rsidR="000A18A5" w:rsidRPr="006E7090" w:rsidTr="00DC02F8">
        <w:trPr>
          <w:trHeight w:val="227"/>
          <w:jc w:val="center"/>
        </w:trPr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第</w:t>
            </w:r>
            <w:r w:rsidRPr="006E7090">
              <w:rPr>
                <w:rFonts w:eastAsia="標楷體"/>
                <w:color w:val="000000" w:themeColor="text1"/>
                <w:kern w:val="0"/>
              </w:rPr>
              <w:t>2</w:t>
            </w:r>
            <w:r w:rsidRPr="006E7090">
              <w:rPr>
                <w:rFonts w:eastAsia="標楷體"/>
                <w:color w:val="000000" w:themeColor="text1"/>
                <w:kern w:val="0"/>
              </w:rPr>
              <w:t>季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第</w:t>
            </w:r>
            <w:r w:rsidRPr="006E7090">
              <w:rPr>
                <w:rFonts w:eastAsia="標楷體"/>
                <w:color w:val="000000" w:themeColor="text1"/>
                <w:kern w:val="0"/>
              </w:rPr>
              <w:t>3</w:t>
            </w:r>
            <w:r w:rsidRPr="006E7090">
              <w:rPr>
                <w:rFonts w:eastAsia="標楷體"/>
                <w:color w:val="000000" w:themeColor="text1"/>
                <w:kern w:val="0"/>
              </w:rPr>
              <w:t>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10,556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11,411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3.2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7.3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5,706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6,351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4.8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12.9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4,847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5,063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1.3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1.1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858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1,290</w:t>
            </w:r>
          </w:p>
        </w:tc>
      </w:tr>
      <w:tr w:rsidR="000A18A5" w:rsidRPr="006E7090" w:rsidTr="00DC02F8">
        <w:trPr>
          <w:trHeight w:val="227"/>
          <w:jc w:val="center"/>
        </w:trPr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第</w:t>
            </w:r>
            <w:r w:rsidRPr="006E7090">
              <w:rPr>
                <w:rFonts w:eastAsia="標楷體"/>
                <w:color w:val="000000" w:themeColor="text1"/>
                <w:kern w:val="0"/>
              </w:rPr>
              <w:t>4</w:t>
            </w:r>
            <w:r w:rsidRPr="006E7090">
              <w:rPr>
                <w:rFonts w:eastAsia="標楷體"/>
                <w:color w:val="000000" w:themeColor="text1"/>
                <w:kern w:val="0"/>
              </w:rPr>
              <w:t>季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2015</w:t>
            </w:r>
            <w:r w:rsidRPr="006E7090">
              <w:rPr>
                <w:rFonts w:eastAsia="標楷體"/>
                <w:color w:val="000000" w:themeColor="text1"/>
                <w:kern w:val="0"/>
              </w:rPr>
              <w:t>年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第</w:t>
            </w:r>
            <w:r w:rsidRPr="006E7090">
              <w:rPr>
                <w:rFonts w:eastAsia="標楷體"/>
                <w:color w:val="000000" w:themeColor="text1"/>
                <w:kern w:val="0"/>
              </w:rPr>
              <w:t>1</w:t>
            </w:r>
            <w:r w:rsidRPr="006E7090">
              <w:rPr>
                <w:rFonts w:eastAsia="標楷體"/>
                <w:color w:val="000000" w:themeColor="text1"/>
                <w:kern w:val="0"/>
              </w:rPr>
              <w:t>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11,405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39,586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9,041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3.7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-8.0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-6.3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6,457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22,765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5,139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8.5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-2.8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4.7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4,947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16,820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3,902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-2.0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-14.1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-17.6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1,509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5,945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1,236</w:t>
            </w:r>
          </w:p>
        </w:tc>
      </w:tr>
      <w:tr w:rsidR="000A18A5" w:rsidRPr="006E7090" w:rsidTr="00DC02F8">
        <w:trPr>
          <w:trHeight w:val="227"/>
          <w:jc w:val="center"/>
        </w:trPr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第</w:t>
            </w:r>
            <w:r w:rsidRPr="006E7090">
              <w:rPr>
                <w:rFonts w:eastAsia="標楷體"/>
                <w:color w:val="000000" w:themeColor="text1"/>
                <w:kern w:val="0"/>
              </w:rPr>
              <w:t>2</w:t>
            </w:r>
            <w:r w:rsidRPr="006E7090">
              <w:rPr>
                <w:rFonts w:eastAsia="標楷體"/>
                <w:color w:val="000000" w:themeColor="text1"/>
                <w:kern w:val="0"/>
              </w:rPr>
              <w:t>季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第</w:t>
            </w:r>
            <w:r w:rsidRPr="006E7090">
              <w:rPr>
                <w:rFonts w:eastAsia="標楷體"/>
                <w:color w:val="000000" w:themeColor="text1"/>
                <w:kern w:val="0"/>
              </w:rPr>
              <w:t>3</w:t>
            </w:r>
            <w:r w:rsidRPr="006E7090">
              <w:rPr>
                <w:rFonts w:eastAsia="標楷體"/>
                <w:color w:val="000000" w:themeColor="text1"/>
                <w:kern w:val="0"/>
              </w:rPr>
              <w:t>季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第</w:t>
            </w:r>
            <w:r w:rsidRPr="006E7090">
              <w:rPr>
                <w:rFonts w:eastAsia="標楷體"/>
                <w:color w:val="000000" w:themeColor="text1"/>
                <w:kern w:val="0"/>
              </w:rPr>
              <w:t>4</w:t>
            </w:r>
            <w:r w:rsidRPr="006E7090">
              <w:rPr>
                <w:rFonts w:eastAsia="標楷體"/>
                <w:color w:val="000000" w:themeColor="text1"/>
                <w:kern w:val="0"/>
              </w:rPr>
              <w:t>季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2016</w:t>
            </w:r>
            <w:r w:rsidRPr="006E7090">
              <w:rPr>
                <w:rFonts w:eastAsia="標楷體"/>
                <w:color w:val="000000" w:themeColor="text1"/>
                <w:kern w:val="0"/>
              </w:rPr>
              <w:t>年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 xml:space="preserve">        </w:t>
            </w:r>
            <w:r w:rsidRPr="006E7090">
              <w:rPr>
                <w:rFonts w:eastAsia="標楷體"/>
                <w:color w:val="000000" w:themeColor="text1"/>
                <w:kern w:val="0"/>
              </w:rPr>
              <w:t>第</w:t>
            </w:r>
            <w:r w:rsidRPr="006E7090">
              <w:rPr>
                <w:rFonts w:eastAsia="標楷體"/>
                <w:color w:val="000000" w:themeColor="text1"/>
                <w:kern w:val="0"/>
              </w:rPr>
              <w:t>1</w:t>
            </w:r>
            <w:r w:rsidRPr="006E7090">
              <w:rPr>
                <w:rFonts w:eastAsia="標楷體"/>
                <w:color w:val="000000" w:themeColor="text1"/>
                <w:kern w:val="0"/>
              </w:rPr>
              <w:t>季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第</w:t>
            </w:r>
            <w:r w:rsidRPr="006E7090">
              <w:rPr>
                <w:rFonts w:eastAsia="標楷體"/>
                <w:color w:val="000000" w:themeColor="text1"/>
                <w:kern w:val="0"/>
              </w:rPr>
              <w:t>2</w:t>
            </w:r>
            <w:r w:rsidRPr="006E7090">
              <w:rPr>
                <w:rFonts w:eastAsia="標楷體"/>
                <w:color w:val="000000" w:themeColor="text1"/>
                <w:kern w:val="0"/>
              </w:rPr>
              <w:t>季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第</w:t>
            </w:r>
            <w:r w:rsidRPr="006E7090">
              <w:rPr>
                <w:rFonts w:eastAsia="標楷體"/>
                <w:color w:val="000000" w:themeColor="text1"/>
                <w:kern w:val="0"/>
              </w:rPr>
              <w:t>3</w:t>
            </w:r>
            <w:r w:rsidRPr="006E7090">
              <w:rPr>
                <w:rFonts w:eastAsia="標楷體"/>
                <w:color w:val="000000" w:themeColor="text1"/>
                <w:kern w:val="0"/>
              </w:rPr>
              <w:t>季</w:t>
            </w:r>
          </w:p>
          <w:p w:rsidR="000A18A5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第</w:t>
            </w:r>
            <w:r w:rsidRPr="006E7090">
              <w:rPr>
                <w:rFonts w:eastAsia="標楷體"/>
                <w:color w:val="000000" w:themeColor="text1"/>
                <w:kern w:val="0"/>
              </w:rPr>
              <w:t>4</w:t>
            </w:r>
            <w:r w:rsidRPr="006E7090">
              <w:rPr>
                <w:rFonts w:eastAsia="標楷體"/>
                <w:color w:val="000000" w:themeColor="text1"/>
                <w:kern w:val="0"/>
              </w:rPr>
              <w:t>季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2017</w:t>
            </w:r>
            <w:r w:rsidRPr="006E7090">
              <w:rPr>
                <w:rFonts w:eastAsia="標楷體"/>
                <w:color w:val="000000" w:themeColor="text1"/>
                <w:kern w:val="0"/>
              </w:rPr>
              <w:t>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9,779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10,221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10,545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36,849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8,021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9,105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9,650</w:t>
            </w:r>
          </w:p>
          <w:p w:rsidR="000A18A5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10,073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41,044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-7.3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-10.4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-8.0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-6.8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-11.3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-6.8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-5.6</w:t>
            </w:r>
          </w:p>
          <w:p w:rsidR="000A18A5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-4.5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11.4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5,590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5,912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6,124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20,974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4,639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5,215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5,516</w:t>
            </w:r>
          </w:p>
          <w:p w:rsidR="000A18A5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5,604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22,634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-2.0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-6.9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-7.0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-7.7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-9.6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-0.06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-6.7</w:t>
            </w:r>
          </w:p>
          <w:p w:rsidR="000A18A5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-8.5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7.9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4,187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4,311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4,420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15,874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3,382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3,889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4,135</w:t>
            </w:r>
          </w:p>
          <w:p w:rsidR="000A18A5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4,468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18,409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-13.6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-14.8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-10.4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-5.5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-13.5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-7.1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-4.1</w:t>
            </w:r>
          </w:p>
          <w:p w:rsidR="000A18A5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1.1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15.9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1,400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1,604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1,705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5,099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1,257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1,325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1,381</w:t>
            </w:r>
          </w:p>
          <w:p w:rsidR="000A18A5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1,136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4,225</w:t>
            </w:r>
          </w:p>
        </w:tc>
      </w:tr>
      <w:tr w:rsidR="000A18A5" w:rsidRPr="006E7090" w:rsidTr="00DC02F8">
        <w:trPr>
          <w:trHeight w:val="1201"/>
          <w:jc w:val="center"/>
        </w:trPr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第</w:t>
            </w:r>
            <w:r w:rsidRPr="006E7090">
              <w:rPr>
                <w:rFonts w:eastAsia="標楷體"/>
                <w:color w:val="000000" w:themeColor="text1"/>
                <w:kern w:val="0"/>
              </w:rPr>
              <w:t>1</w:t>
            </w:r>
            <w:r w:rsidRPr="006E7090">
              <w:rPr>
                <w:rFonts w:eastAsia="標楷體"/>
                <w:color w:val="000000" w:themeColor="text1"/>
                <w:kern w:val="0"/>
              </w:rPr>
              <w:t>季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第</w:t>
            </w:r>
            <w:r w:rsidRPr="006E7090">
              <w:rPr>
                <w:rFonts w:eastAsia="標楷體"/>
                <w:color w:val="000000" w:themeColor="text1"/>
                <w:kern w:val="0"/>
              </w:rPr>
              <w:t>2</w:t>
            </w:r>
            <w:r w:rsidRPr="006E7090">
              <w:rPr>
                <w:rFonts w:eastAsia="標楷體"/>
                <w:color w:val="000000" w:themeColor="text1"/>
                <w:kern w:val="0"/>
              </w:rPr>
              <w:t>季</w:t>
            </w:r>
            <w:r w:rsidRPr="006E7090">
              <w:rPr>
                <w:rFonts w:eastAsia="標楷體"/>
                <w:color w:val="000000" w:themeColor="text1"/>
                <w:kern w:val="0"/>
              </w:rPr>
              <w:t xml:space="preserve">   </w:t>
            </w:r>
          </w:p>
          <w:p w:rsidR="000A18A5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 xml:space="preserve">     </w:t>
            </w:r>
            <w:r>
              <w:rPr>
                <w:rFonts w:eastAsia="標楷體" w:hint="eastAsia"/>
                <w:color w:val="000000" w:themeColor="text1"/>
                <w:kern w:val="0"/>
              </w:rPr>
              <w:t>第</w:t>
            </w:r>
            <w:r>
              <w:rPr>
                <w:rFonts w:eastAsia="標楷體" w:hint="eastAsia"/>
                <w:color w:val="000000" w:themeColor="text1"/>
                <w:kern w:val="0"/>
              </w:rPr>
              <w:t>3</w:t>
            </w:r>
            <w:r>
              <w:rPr>
                <w:rFonts w:eastAsia="標楷體" w:hint="eastAsia"/>
                <w:color w:val="000000" w:themeColor="text1"/>
                <w:kern w:val="0"/>
              </w:rPr>
              <w:t>季</w:t>
            </w:r>
            <w:r>
              <w:rPr>
                <w:rFonts w:eastAsia="標楷體" w:hint="eastAsia"/>
                <w:color w:val="000000" w:themeColor="text1"/>
                <w:kern w:val="0"/>
              </w:rPr>
              <w:t xml:space="preserve">      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第</w:t>
            </w:r>
            <w:r>
              <w:rPr>
                <w:rFonts w:eastAsia="標楷體" w:hint="eastAsia"/>
                <w:color w:val="000000" w:themeColor="text1"/>
                <w:kern w:val="0"/>
              </w:rPr>
              <w:t>4</w:t>
            </w:r>
            <w:r>
              <w:rPr>
                <w:rFonts w:eastAsia="標楷體" w:hint="eastAsia"/>
                <w:color w:val="000000" w:themeColor="text1"/>
                <w:kern w:val="0"/>
              </w:rPr>
              <w:t>季</w:t>
            </w:r>
            <w:r w:rsidRPr="006E7090">
              <w:rPr>
                <w:rFonts w:eastAsia="標楷體"/>
                <w:color w:val="000000" w:themeColor="text1"/>
                <w:kern w:val="0"/>
              </w:rPr>
              <w:t xml:space="preserve">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8,999</w:t>
            </w:r>
          </w:p>
          <w:p w:rsidR="000A18A5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10,144</w:t>
            </w:r>
          </w:p>
          <w:p w:rsidR="000A18A5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10,550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11,351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15.0</w:t>
            </w:r>
          </w:p>
          <w:p w:rsidR="000A18A5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6.6</w:t>
            </w:r>
          </w:p>
          <w:p w:rsidR="000A18A5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9.3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12.7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4,827</w:t>
            </w:r>
          </w:p>
          <w:p w:rsidR="000A18A5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5,645</w:t>
            </w:r>
          </w:p>
          <w:p w:rsidR="000A18A5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5,891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6,271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8.2</w:t>
            </w:r>
          </w:p>
          <w:p w:rsidR="000A18A5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8.8</w:t>
            </w:r>
          </w:p>
          <w:p w:rsidR="000A18A5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6.8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11.9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4,171</w:t>
            </w:r>
          </w:p>
          <w:p w:rsidR="000A18A5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4,451</w:t>
            </w:r>
          </w:p>
          <w:p w:rsidR="000A18A5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4,742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5,045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24.0</w:t>
            </w:r>
          </w:p>
          <w:p w:rsidR="000A18A5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13.8</w:t>
            </w:r>
          </w:p>
          <w:p w:rsidR="000A18A5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14.6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12.9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656</w:t>
            </w:r>
          </w:p>
          <w:p w:rsidR="000A18A5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 w:rsidRPr="006E7090">
              <w:rPr>
                <w:rFonts w:eastAsia="標楷體"/>
                <w:color w:val="000000" w:themeColor="text1"/>
                <w:kern w:val="0"/>
              </w:rPr>
              <w:t>1,194</w:t>
            </w:r>
          </w:p>
          <w:p w:rsidR="000A18A5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1,148</w:t>
            </w:r>
          </w:p>
          <w:p w:rsidR="000A18A5" w:rsidRPr="006E7090" w:rsidRDefault="000A18A5" w:rsidP="00DC02F8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1227</w:t>
            </w:r>
          </w:p>
        </w:tc>
      </w:tr>
    </w:tbl>
    <w:p w:rsidR="000A18A5" w:rsidRPr="006E7090" w:rsidRDefault="00B02DD8" w:rsidP="000A18A5">
      <w:pPr>
        <w:widowControl/>
        <w:spacing w:line="260" w:lineRule="atLeast"/>
        <w:ind w:leftChars="-118" w:left="-283"/>
        <w:rPr>
          <w:rFonts w:ascii="標楷體" w:eastAsia="標楷體" w:hAnsi="標楷體"/>
          <w:color w:val="000000" w:themeColor="text1"/>
          <w:sz w:val="20"/>
        </w:rPr>
      </w:pPr>
      <w:proofErr w:type="gramStart"/>
      <w:r>
        <w:rPr>
          <w:rFonts w:ascii="標楷體" w:eastAsia="標楷體" w:hAnsi="標楷體" w:hint="eastAsia"/>
          <w:color w:val="000000" w:themeColor="text1"/>
          <w:sz w:val="20"/>
        </w:rPr>
        <w:t>註</w:t>
      </w:r>
      <w:proofErr w:type="gramEnd"/>
      <w:r w:rsidR="000A18A5" w:rsidRPr="006E7090">
        <w:rPr>
          <w:rFonts w:ascii="標楷體" w:eastAsia="標楷體" w:hAnsi="標楷體" w:hint="eastAsia"/>
          <w:color w:val="000000" w:themeColor="text1"/>
          <w:sz w:val="20"/>
        </w:rPr>
        <w:t>：年</w:t>
      </w:r>
      <w:proofErr w:type="gramStart"/>
      <w:r w:rsidR="000A18A5" w:rsidRPr="006E7090">
        <w:rPr>
          <w:rFonts w:ascii="標楷體" w:eastAsia="標楷體" w:hAnsi="標楷體" w:hint="eastAsia"/>
          <w:color w:val="000000" w:themeColor="text1"/>
          <w:sz w:val="20"/>
        </w:rPr>
        <w:t>增率係指</w:t>
      </w:r>
      <w:proofErr w:type="gramEnd"/>
      <w:r w:rsidR="000A18A5" w:rsidRPr="006E7090">
        <w:rPr>
          <w:rFonts w:ascii="標楷體" w:eastAsia="標楷體" w:hAnsi="標楷體" w:hint="eastAsia"/>
          <w:color w:val="000000" w:themeColor="text1"/>
          <w:sz w:val="20"/>
        </w:rPr>
        <w:t>較上年或上年同期增減比率。</w:t>
      </w:r>
    </w:p>
    <w:p w:rsidR="000A18A5" w:rsidRPr="006E7090" w:rsidRDefault="000A18A5" w:rsidP="000A18A5">
      <w:pPr>
        <w:widowControl/>
        <w:spacing w:line="260" w:lineRule="atLeast"/>
        <w:ind w:leftChars="-118" w:left="-283"/>
        <w:rPr>
          <w:rFonts w:ascii="標楷體" w:eastAsia="標楷體" w:hAnsi="標楷體"/>
          <w:color w:val="000000" w:themeColor="text1"/>
          <w:sz w:val="20"/>
        </w:rPr>
      </w:pPr>
      <w:r w:rsidRPr="006E7090">
        <w:rPr>
          <w:rFonts w:ascii="標楷體" w:eastAsia="標楷體" w:hAnsi="標楷體" w:hint="eastAsia"/>
          <w:color w:val="000000" w:themeColor="text1"/>
          <w:sz w:val="20"/>
        </w:rPr>
        <w:t>資料來源：中國大陸海關總署、</w:t>
      </w:r>
      <w:r w:rsidRPr="006E7090">
        <w:rPr>
          <w:rFonts w:ascii="標楷體" w:eastAsia="標楷體" w:hAnsi="標楷體"/>
          <w:color w:val="000000" w:themeColor="text1"/>
          <w:sz w:val="20"/>
        </w:rPr>
        <w:t>CEIC</w:t>
      </w:r>
      <w:r w:rsidRPr="006E7090">
        <w:rPr>
          <w:rFonts w:ascii="標楷體" w:eastAsia="標楷體" w:hAnsi="標楷體" w:hint="eastAsia"/>
          <w:color w:val="000000" w:themeColor="text1"/>
          <w:sz w:val="20"/>
        </w:rPr>
        <w:t>資料庫。</w:t>
      </w:r>
    </w:p>
    <w:p w:rsidR="000A18A5" w:rsidRPr="006E7090" w:rsidRDefault="000A18A5" w:rsidP="000A18A5">
      <w:pPr>
        <w:widowControl/>
        <w:autoSpaceDE w:val="0"/>
        <w:snapToGrid w:val="0"/>
        <w:spacing w:beforeLines="25" w:before="60" w:line="480" w:lineRule="exact"/>
        <w:ind w:left="568"/>
        <w:jc w:val="both"/>
        <w:rPr>
          <w:rFonts w:ascii="標楷體" w:eastAsia="標楷體" w:hAnsi="標楷體" w:cs="MS Gothic"/>
          <w:color w:val="000000" w:themeColor="text1"/>
          <w:sz w:val="28"/>
          <w:szCs w:val="32"/>
        </w:rPr>
      </w:pPr>
      <w:r w:rsidRPr="006E7090">
        <w:rPr>
          <w:rFonts w:eastAsia="標楷體" w:hint="eastAsia"/>
          <w:b/>
          <w:color w:val="000000" w:themeColor="text1"/>
          <w:sz w:val="28"/>
          <w:szCs w:val="32"/>
        </w:rPr>
        <w:t>4</w:t>
      </w:r>
      <w:r w:rsidRPr="006E7090">
        <w:rPr>
          <w:rFonts w:eastAsia="標楷體"/>
          <w:b/>
          <w:color w:val="000000" w:themeColor="text1"/>
          <w:sz w:val="28"/>
          <w:szCs w:val="32"/>
        </w:rPr>
        <w:t>.</w:t>
      </w:r>
      <w:r w:rsidRPr="006E7090">
        <w:rPr>
          <w:rFonts w:ascii="標楷體" w:eastAsia="標楷體" w:hAnsi="標楷體" w:cs="MS Gothic" w:hint="eastAsia"/>
          <w:b/>
          <w:color w:val="000000" w:themeColor="text1"/>
          <w:sz w:val="28"/>
          <w:szCs w:val="32"/>
        </w:rPr>
        <w:t>工業生產</w:t>
      </w:r>
      <w:r>
        <w:rPr>
          <w:rFonts w:ascii="標楷體" w:eastAsia="標楷體" w:hAnsi="標楷體" w:cs="MS Gothic" w:hint="eastAsia"/>
          <w:b/>
          <w:color w:val="000000" w:themeColor="text1"/>
          <w:sz w:val="28"/>
          <w:szCs w:val="32"/>
        </w:rPr>
        <w:t>回溫</w:t>
      </w:r>
    </w:p>
    <w:p w:rsidR="000A18A5" w:rsidRDefault="000A18A5" w:rsidP="000A18A5">
      <w:pPr>
        <w:widowControl/>
        <w:autoSpaceDE w:val="0"/>
        <w:snapToGrid w:val="0"/>
        <w:spacing w:beforeLines="25" w:before="60" w:line="480" w:lineRule="exact"/>
        <w:ind w:left="568"/>
        <w:jc w:val="both"/>
        <w:rPr>
          <w:rFonts w:eastAsia="標楷體"/>
          <w:color w:val="000000" w:themeColor="text1"/>
          <w:sz w:val="28"/>
          <w:szCs w:val="32"/>
        </w:rPr>
      </w:pPr>
      <w:r w:rsidRPr="006E7090">
        <w:rPr>
          <w:rFonts w:ascii="標楷體" w:eastAsia="標楷體" w:hAnsi="標楷體" w:cs="MS Gothic" w:hint="eastAsia"/>
          <w:color w:val="000000" w:themeColor="text1"/>
          <w:sz w:val="28"/>
          <w:szCs w:val="32"/>
        </w:rPr>
        <w:t xml:space="preserve">   </w:t>
      </w:r>
      <w:r>
        <w:rPr>
          <w:rFonts w:ascii="標楷體" w:eastAsia="標楷體" w:hAnsi="標楷體" w:cs="MS Gothic" w:hint="eastAsia"/>
          <w:color w:val="000000" w:themeColor="text1"/>
          <w:sz w:val="28"/>
          <w:szCs w:val="32"/>
        </w:rPr>
        <w:t>2017年</w:t>
      </w:r>
      <w:r w:rsidRPr="006E7090">
        <w:rPr>
          <w:rFonts w:eastAsia="標楷體"/>
          <w:color w:val="000000" w:themeColor="text1"/>
          <w:sz w:val="28"/>
          <w:szCs w:val="32"/>
        </w:rPr>
        <w:t>中國大陸全國規模以</w:t>
      </w:r>
      <w:proofErr w:type="gramStart"/>
      <w:r w:rsidRPr="006E7090">
        <w:rPr>
          <w:rFonts w:eastAsia="標楷體"/>
          <w:color w:val="000000" w:themeColor="text1"/>
          <w:sz w:val="28"/>
          <w:szCs w:val="32"/>
        </w:rPr>
        <w:t>上</w:t>
      </w:r>
      <w:proofErr w:type="gramEnd"/>
      <w:r w:rsidRPr="006E7090">
        <w:rPr>
          <w:rStyle w:val="a8"/>
          <w:rFonts w:eastAsia="標楷體"/>
          <w:color w:val="000000" w:themeColor="text1"/>
          <w:sz w:val="28"/>
          <w:szCs w:val="32"/>
        </w:rPr>
        <w:footnoteReference w:id="2"/>
      </w:r>
      <w:r w:rsidRPr="006E7090">
        <w:rPr>
          <w:rFonts w:eastAsia="標楷體"/>
          <w:color w:val="000000" w:themeColor="text1"/>
          <w:sz w:val="28"/>
          <w:szCs w:val="32"/>
        </w:rPr>
        <w:t>工業增加值成長</w:t>
      </w:r>
      <w:r>
        <w:rPr>
          <w:rFonts w:eastAsia="標楷體" w:hint="eastAsia"/>
          <w:color w:val="000000" w:themeColor="text1"/>
          <w:sz w:val="28"/>
          <w:szCs w:val="32"/>
        </w:rPr>
        <w:t>6.6%</w:t>
      </w:r>
      <w:r>
        <w:rPr>
          <w:rFonts w:eastAsia="標楷體" w:hint="eastAsia"/>
          <w:color w:val="000000" w:themeColor="text1"/>
          <w:sz w:val="28"/>
          <w:szCs w:val="32"/>
        </w:rPr>
        <w:t>，較上年增加</w:t>
      </w:r>
      <w:r>
        <w:rPr>
          <w:rFonts w:eastAsia="標楷體" w:hint="eastAsia"/>
          <w:color w:val="000000" w:themeColor="text1"/>
          <w:sz w:val="28"/>
          <w:szCs w:val="32"/>
        </w:rPr>
        <w:t>0.6</w:t>
      </w:r>
      <w:r>
        <w:rPr>
          <w:rFonts w:eastAsia="標楷體" w:hint="eastAsia"/>
          <w:color w:val="000000" w:themeColor="text1"/>
          <w:sz w:val="28"/>
          <w:szCs w:val="32"/>
        </w:rPr>
        <w:t>個百分點</w:t>
      </w:r>
      <w:r w:rsidRPr="006E7090">
        <w:rPr>
          <w:rFonts w:eastAsia="標楷體"/>
          <w:color w:val="000000" w:themeColor="text1"/>
          <w:sz w:val="28"/>
          <w:szCs w:val="32"/>
        </w:rPr>
        <w:t>，</w:t>
      </w:r>
      <w:r>
        <w:rPr>
          <w:rFonts w:eastAsia="標楷體" w:hint="eastAsia"/>
          <w:color w:val="000000" w:themeColor="text1"/>
          <w:sz w:val="28"/>
          <w:szCs w:val="32"/>
        </w:rPr>
        <w:t>說明如下：</w:t>
      </w:r>
    </w:p>
    <w:p w:rsidR="000A18A5" w:rsidRDefault="000A18A5" w:rsidP="000A18A5">
      <w:pPr>
        <w:widowControl/>
        <w:autoSpaceDE w:val="0"/>
        <w:snapToGrid w:val="0"/>
        <w:spacing w:beforeLines="25" w:before="60" w:line="480" w:lineRule="exact"/>
        <w:ind w:leftChars="236" w:left="849" w:hangingChars="101" w:hanging="283"/>
        <w:jc w:val="both"/>
        <w:rPr>
          <w:rFonts w:eastAsia="標楷體"/>
          <w:color w:val="000000" w:themeColor="text1"/>
          <w:sz w:val="28"/>
          <w:szCs w:val="32"/>
        </w:rPr>
      </w:pPr>
      <w:r>
        <w:rPr>
          <w:rFonts w:eastAsia="標楷體" w:hint="eastAsia"/>
          <w:color w:val="000000" w:themeColor="text1"/>
          <w:sz w:val="28"/>
          <w:szCs w:val="32"/>
        </w:rPr>
        <w:t>─增幅</w:t>
      </w:r>
      <w:r w:rsidR="00CC578C">
        <w:rPr>
          <w:rFonts w:eastAsia="標楷體" w:hint="eastAsia"/>
          <w:color w:val="000000" w:themeColor="text1"/>
          <w:sz w:val="28"/>
          <w:szCs w:val="32"/>
        </w:rPr>
        <w:t>擴大業別</w:t>
      </w:r>
      <w:r>
        <w:rPr>
          <w:rFonts w:eastAsia="標楷體" w:hint="eastAsia"/>
          <w:color w:val="000000" w:themeColor="text1"/>
          <w:sz w:val="28"/>
          <w:szCs w:val="32"/>
        </w:rPr>
        <w:t>：</w:t>
      </w:r>
      <w:r w:rsidRPr="00456720">
        <w:rPr>
          <w:rFonts w:eastAsia="標楷體" w:hint="eastAsia"/>
          <w:color w:val="000000" w:themeColor="text1"/>
          <w:sz w:val="28"/>
          <w:szCs w:val="32"/>
        </w:rPr>
        <w:t>專用設備製造業</w:t>
      </w:r>
      <w:r>
        <w:rPr>
          <w:rFonts w:eastAsia="標楷體" w:hint="eastAsia"/>
          <w:color w:val="000000" w:themeColor="text1"/>
          <w:sz w:val="28"/>
          <w:szCs w:val="32"/>
        </w:rPr>
        <w:t>成長</w:t>
      </w:r>
      <w:r>
        <w:rPr>
          <w:rFonts w:eastAsia="標楷體" w:hint="eastAsia"/>
          <w:color w:val="000000" w:themeColor="text1"/>
          <w:sz w:val="28"/>
          <w:szCs w:val="32"/>
        </w:rPr>
        <w:t>11.8%</w:t>
      </w:r>
      <w:r>
        <w:rPr>
          <w:rFonts w:eastAsia="標楷體" w:hint="eastAsia"/>
          <w:color w:val="000000" w:themeColor="text1"/>
          <w:sz w:val="28"/>
          <w:szCs w:val="32"/>
        </w:rPr>
        <w:t>，較上年增加</w:t>
      </w:r>
      <w:r>
        <w:rPr>
          <w:rFonts w:eastAsia="標楷體" w:hint="eastAsia"/>
          <w:color w:val="000000" w:themeColor="text1"/>
          <w:sz w:val="28"/>
          <w:szCs w:val="32"/>
        </w:rPr>
        <w:t>5.1</w:t>
      </w:r>
      <w:r>
        <w:rPr>
          <w:rFonts w:eastAsia="標楷體" w:hint="eastAsia"/>
          <w:color w:val="000000" w:themeColor="text1"/>
          <w:sz w:val="28"/>
          <w:szCs w:val="32"/>
        </w:rPr>
        <w:t>個百分點，增幅最大；</w:t>
      </w:r>
      <w:bookmarkStart w:id="11" w:name="_GoBack"/>
      <w:bookmarkEnd w:id="11"/>
      <w:r w:rsidRPr="003229CD">
        <w:rPr>
          <w:rFonts w:eastAsia="標楷體" w:hint="eastAsia"/>
          <w:color w:val="000000" w:themeColor="text1"/>
          <w:sz w:val="28"/>
          <w:szCs w:val="32"/>
        </w:rPr>
        <w:t>通用設備製造業</w:t>
      </w:r>
      <w:r w:rsidR="00B02DD8" w:rsidRPr="00B02DD8">
        <w:rPr>
          <w:rFonts w:eastAsia="標楷體" w:hint="eastAsia"/>
          <w:color w:val="000000" w:themeColor="text1"/>
          <w:sz w:val="28"/>
          <w:szCs w:val="32"/>
        </w:rPr>
        <w:t>成長</w:t>
      </w:r>
      <w:r w:rsidR="00B74E57">
        <w:rPr>
          <w:rFonts w:eastAsia="標楷體" w:hint="eastAsia"/>
          <w:color w:val="000000" w:themeColor="text1"/>
          <w:sz w:val="28"/>
          <w:szCs w:val="32"/>
        </w:rPr>
        <w:t>10</w:t>
      </w:r>
      <w:r w:rsidR="00B02DD8" w:rsidRPr="00B02DD8">
        <w:rPr>
          <w:rFonts w:eastAsia="標楷體" w:hint="eastAsia"/>
          <w:color w:val="000000" w:themeColor="text1"/>
          <w:sz w:val="28"/>
          <w:szCs w:val="32"/>
        </w:rPr>
        <w:t>.</w:t>
      </w:r>
      <w:r w:rsidR="00B74E57">
        <w:rPr>
          <w:rFonts w:eastAsia="標楷體" w:hint="eastAsia"/>
          <w:color w:val="000000" w:themeColor="text1"/>
          <w:sz w:val="28"/>
          <w:szCs w:val="32"/>
        </w:rPr>
        <w:t>5</w:t>
      </w:r>
      <w:r w:rsidR="00B02DD8" w:rsidRPr="00B02DD8">
        <w:rPr>
          <w:rFonts w:eastAsia="標楷體" w:hint="eastAsia"/>
          <w:color w:val="000000" w:themeColor="text1"/>
          <w:sz w:val="28"/>
          <w:szCs w:val="32"/>
        </w:rPr>
        <w:t>%</w:t>
      </w:r>
      <w:r w:rsidR="00B02DD8" w:rsidRPr="00B02DD8">
        <w:rPr>
          <w:rFonts w:eastAsia="標楷體" w:hint="eastAsia"/>
          <w:color w:val="000000" w:themeColor="text1"/>
          <w:sz w:val="28"/>
          <w:szCs w:val="32"/>
        </w:rPr>
        <w:t>，</w:t>
      </w:r>
      <w:r w:rsidRPr="003229CD">
        <w:rPr>
          <w:rFonts w:eastAsia="標楷體" w:hint="eastAsia"/>
          <w:color w:val="000000" w:themeColor="text1"/>
          <w:sz w:val="28"/>
          <w:szCs w:val="32"/>
        </w:rPr>
        <w:t>電腦、通信和其他電子設備製造業</w:t>
      </w:r>
      <w:r w:rsidR="00B02DD8" w:rsidRPr="00B02DD8">
        <w:rPr>
          <w:rFonts w:eastAsia="標楷體" w:hint="eastAsia"/>
          <w:color w:val="000000" w:themeColor="text1"/>
          <w:sz w:val="28"/>
          <w:szCs w:val="32"/>
        </w:rPr>
        <w:t>成長</w:t>
      </w:r>
      <w:r w:rsidR="00B74E57">
        <w:rPr>
          <w:rFonts w:eastAsia="標楷體" w:hint="eastAsia"/>
          <w:color w:val="000000" w:themeColor="text1"/>
          <w:sz w:val="28"/>
          <w:szCs w:val="32"/>
        </w:rPr>
        <w:t>1</w:t>
      </w:r>
      <w:r w:rsidR="00B02DD8">
        <w:rPr>
          <w:rFonts w:eastAsia="標楷體" w:hint="eastAsia"/>
          <w:color w:val="000000" w:themeColor="text1"/>
          <w:sz w:val="28"/>
          <w:szCs w:val="32"/>
        </w:rPr>
        <w:t>3</w:t>
      </w:r>
      <w:r w:rsidR="00B02DD8" w:rsidRPr="00B02DD8">
        <w:rPr>
          <w:rFonts w:eastAsia="標楷體" w:hint="eastAsia"/>
          <w:color w:val="000000" w:themeColor="text1"/>
          <w:sz w:val="28"/>
          <w:szCs w:val="32"/>
        </w:rPr>
        <w:t>.</w:t>
      </w:r>
      <w:r w:rsidR="00B02DD8">
        <w:rPr>
          <w:rFonts w:eastAsia="標楷體" w:hint="eastAsia"/>
          <w:color w:val="000000" w:themeColor="text1"/>
          <w:sz w:val="28"/>
          <w:szCs w:val="32"/>
        </w:rPr>
        <w:t>8</w:t>
      </w:r>
      <w:r w:rsidR="00B02DD8" w:rsidRPr="00B02DD8">
        <w:rPr>
          <w:rFonts w:eastAsia="標楷體" w:hint="eastAsia"/>
          <w:color w:val="000000" w:themeColor="text1"/>
          <w:sz w:val="28"/>
          <w:szCs w:val="32"/>
        </w:rPr>
        <w:t>%</w:t>
      </w:r>
      <w:r w:rsidR="00B02DD8" w:rsidRPr="00B02DD8">
        <w:rPr>
          <w:rFonts w:eastAsia="標楷體" w:hint="eastAsia"/>
          <w:color w:val="000000" w:themeColor="text1"/>
          <w:sz w:val="28"/>
          <w:szCs w:val="32"/>
        </w:rPr>
        <w:t>，</w:t>
      </w:r>
      <w:r w:rsidRPr="003229CD">
        <w:rPr>
          <w:rFonts w:eastAsia="標楷體" w:hint="eastAsia"/>
          <w:color w:val="000000" w:themeColor="text1"/>
          <w:sz w:val="28"/>
          <w:szCs w:val="32"/>
        </w:rPr>
        <w:t>鐵路、船舶、航空航太和其他運輸設</w:t>
      </w:r>
      <w:r w:rsidRPr="003229CD">
        <w:rPr>
          <w:rFonts w:eastAsia="標楷體" w:hint="eastAsia"/>
          <w:color w:val="000000" w:themeColor="text1"/>
          <w:sz w:val="28"/>
          <w:szCs w:val="32"/>
        </w:rPr>
        <w:lastRenderedPageBreak/>
        <w:t>備製造業</w:t>
      </w:r>
      <w:r w:rsidR="00B02DD8">
        <w:rPr>
          <w:rFonts w:eastAsia="標楷體" w:hint="eastAsia"/>
          <w:color w:val="000000" w:themeColor="text1"/>
          <w:sz w:val="28"/>
          <w:szCs w:val="32"/>
        </w:rPr>
        <w:t>成長</w:t>
      </w:r>
      <w:r w:rsidR="00B74E57">
        <w:rPr>
          <w:rFonts w:eastAsia="標楷體" w:hint="eastAsia"/>
          <w:color w:val="000000" w:themeColor="text1"/>
          <w:sz w:val="28"/>
          <w:szCs w:val="32"/>
        </w:rPr>
        <w:t>6</w:t>
      </w:r>
      <w:r w:rsidR="00B02DD8" w:rsidRPr="00B02DD8">
        <w:rPr>
          <w:rFonts w:eastAsia="標楷體"/>
          <w:color w:val="000000" w:themeColor="text1"/>
          <w:sz w:val="28"/>
          <w:szCs w:val="32"/>
        </w:rPr>
        <w:t>.</w:t>
      </w:r>
      <w:r w:rsidR="00B74E57">
        <w:rPr>
          <w:rFonts w:eastAsia="標楷體" w:hint="eastAsia"/>
          <w:color w:val="000000" w:themeColor="text1"/>
          <w:sz w:val="28"/>
          <w:szCs w:val="32"/>
        </w:rPr>
        <w:t>2</w:t>
      </w:r>
      <w:r w:rsidR="00B02DD8" w:rsidRPr="00B02DD8">
        <w:rPr>
          <w:rFonts w:eastAsia="標楷體"/>
          <w:color w:val="000000" w:themeColor="text1"/>
          <w:sz w:val="28"/>
          <w:szCs w:val="32"/>
        </w:rPr>
        <w:t>%</w:t>
      </w:r>
      <w:r>
        <w:rPr>
          <w:rFonts w:eastAsia="標楷體" w:hint="eastAsia"/>
          <w:color w:val="000000" w:themeColor="text1"/>
          <w:sz w:val="28"/>
          <w:szCs w:val="32"/>
        </w:rPr>
        <w:t>，分別較上年增加</w:t>
      </w:r>
      <w:r>
        <w:rPr>
          <w:rFonts w:eastAsia="標楷體" w:hint="eastAsia"/>
          <w:color w:val="000000" w:themeColor="text1"/>
          <w:sz w:val="28"/>
          <w:szCs w:val="32"/>
        </w:rPr>
        <w:t>4.6</w:t>
      </w:r>
      <w:r>
        <w:rPr>
          <w:rFonts w:eastAsia="標楷體" w:hint="eastAsia"/>
          <w:color w:val="000000" w:themeColor="text1"/>
          <w:sz w:val="28"/>
          <w:szCs w:val="32"/>
        </w:rPr>
        <w:t>、</w:t>
      </w:r>
      <w:r>
        <w:rPr>
          <w:rFonts w:eastAsia="標楷體" w:hint="eastAsia"/>
          <w:color w:val="000000" w:themeColor="text1"/>
          <w:sz w:val="28"/>
          <w:szCs w:val="32"/>
        </w:rPr>
        <w:t>3.8</w:t>
      </w:r>
      <w:r>
        <w:rPr>
          <w:rFonts w:eastAsia="標楷體" w:hint="eastAsia"/>
          <w:color w:val="000000" w:themeColor="text1"/>
          <w:sz w:val="28"/>
          <w:szCs w:val="32"/>
        </w:rPr>
        <w:t>、</w:t>
      </w:r>
      <w:r>
        <w:rPr>
          <w:rFonts w:eastAsia="標楷體" w:hint="eastAsia"/>
          <w:color w:val="000000" w:themeColor="text1"/>
          <w:sz w:val="28"/>
          <w:szCs w:val="32"/>
        </w:rPr>
        <w:t>3.0</w:t>
      </w:r>
      <w:r>
        <w:rPr>
          <w:rFonts w:eastAsia="標楷體" w:hint="eastAsia"/>
          <w:color w:val="000000" w:themeColor="text1"/>
          <w:sz w:val="28"/>
          <w:szCs w:val="32"/>
        </w:rPr>
        <w:t>個百分點，上述產業出現大幅成長原因主要是全球景氣加速回升有關。</w:t>
      </w:r>
    </w:p>
    <w:p w:rsidR="000A18A5" w:rsidRDefault="000A18A5" w:rsidP="000A18A5">
      <w:pPr>
        <w:widowControl/>
        <w:autoSpaceDE w:val="0"/>
        <w:snapToGrid w:val="0"/>
        <w:spacing w:beforeLines="25" w:before="60" w:line="480" w:lineRule="exact"/>
        <w:ind w:leftChars="236" w:left="849" w:hangingChars="101" w:hanging="283"/>
        <w:jc w:val="both"/>
        <w:rPr>
          <w:rFonts w:eastAsia="標楷體"/>
          <w:color w:val="000000" w:themeColor="text1"/>
          <w:sz w:val="28"/>
          <w:szCs w:val="32"/>
        </w:rPr>
      </w:pPr>
      <w:proofErr w:type="gramStart"/>
      <w:r>
        <w:rPr>
          <w:rFonts w:eastAsia="標楷體" w:hint="eastAsia"/>
          <w:color w:val="000000" w:themeColor="text1"/>
          <w:sz w:val="28"/>
          <w:szCs w:val="32"/>
        </w:rPr>
        <w:t>─</w:t>
      </w:r>
      <w:proofErr w:type="gramEnd"/>
      <w:r w:rsidR="00CC578C">
        <w:rPr>
          <w:rFonts w:eastAsia="標楷體" w:hint="eastAsia"/>
          <w:color w:val="000000" w:themeColor="text1"/>
          <w:sz w:val="28"/>
          <w:szCs w:val="32"/>
        </w:rPr>
        <w:t>增幅</w:t>
      </w:r>
      <w:r>
        <w:rPr>
          <w:rFonts w:eastAsia="標楷體" w:hint="eastAsia"/>
          <w:color w:val="000000" w:themeColor="text1"/>
          <w:sz w:val="28"/>
          <w:szCs w:val="32"/>
        </w:rPr>
        <w:t>減</w:t>
      </w:r>
      <w:r w:rsidR="00CC578C">
        <w:rPr>
          <w:rFonts w:eastAsia="標楷體" w:hint="eastAsia"/>
          <w:color w:val="000000" w:themeColor="text1"/>
          <w:sz w:val="28"/>
          <w:szCs w:val="32"/>
        </w:rPr>
        <w:t>緩業別</w:t>
      </w:r>
      <w:r>
        <w:rPr>
          <w:rFonts w:eastAsia="標楷體" w:hint="eastAsia"/>
          <w:color w:val="000000" w:themeColor="text1"/>
          <w:sz w:val="28"/>
          <w:szCs w:val="32"/>
        </w:rPr>
        <w:t>：有</w:t>
      </w:r>
      <w:r w:rsidRPr="003229CD">
        <w:rPr>
          <w:rFonts w:eastAsia="標楷體" w:hint="eastAsia"/>
          <w:color w:val="000000" w:themeColor="text1"/>
          <w:sz w:val="28"/>
          <w:szCs w:val="32"/>
        </w:rPr>
        <w:t>色金屬</w:t>
      </w:r>
      <w:proofErr w:type="gramStart"/>
      <w:r w:rsidRPr="003229CD">
        <w:rPr>
          <w:rFonts w:eastAsia="標楷體" w:hint="eastAsia"/>
          <w:color w:val="000000" w:themeColor="text1"/>
          <w:sz w:val="28"/>
          <w:szCs w:val="32"/>
        </w:rPr>
        <w:t>冶煉和壓延</w:t>
      </w:r>
      <w:proofErr w:type="gramEnd"/>
      <w:r w:rsidRPr="003229CD">
        <w:rPr>
          <w:rFonts w:eastAsia="標楷體" w:hint="eastAsia"/>
          <w:color w:val="000000" w:themeColor="text1"/>
          <w:sz w:val="28"/>
          <w:szCs w:val="32"/>
        </w:rPr>
        <w:t>加工業</w:t>
      </w:r>
      <w:r>
        <w:rPr>
          <w:rFonts w:eastAsia="標楷體" w:hint="eastAsia"/>
          <w:color w:val="000000" w:themeColor="text1"/>
          <w:sz w:val="28"/>
          <w:szCs w:val="32"/>
        </w:rPr>
        <w:t>、</w:t>
      </w:r>
      <w:r w:rsidRPr="003229CD">
        <w:rPr>
          <w:rFonts w:eastAsia="標楷體" w:hint="eastAsia"/>
          <w:color w:val="000000" w:themeColor="text1"/>
          <w:sz w:val="28"/>
          <w:szCs w:val="32"/>
        </w:rPr>
        <w:t>化學原料和化學製品製造業</w:t>
      </w:r>
      <w:r>
        <w:rPr>
          <w:rFonts w:eastAsia="標楷體" w:hint="eastAsia"/>
          <w:color w:val="000000" w:themeColor="text1"/>
          <w:sz w:val="28"/>
          <w:szCs w:val="32"/>
        </w:rPr>
        <w:t>及</w:t>
      </w:r>
      <w:r w:rsidRPr="003229CD">
        <w:rPr>
          <w:rFonts w:eastAsia="標楷體" w:hint="eastAsia"/>
          <w:color w:val="000000" w:themeColor="text1"/>
          <w:sz w:val="28"/>
          <w:szCs w:val="32"/>
        </w:rPr>
        <w:t>汽車製造業</w:t>
      </w:r>
      <w:r>
        <w:rPr>
          <w:rFonts w:eastAsia="標楷體" w:hint="eastAsia"/>
          <w:color w:val="000000" w:themeColor="text1"/>
          <w:sz w:val="28"/>
          <w:szCs w:val="32"/>
        </w:rPr>
        <w:t>雖分別成長</w:t>
      </w:r>
      <w:r>
        <w:rPr>
          <w:rFonts w:eastAsia="標楷體" w:hint="eastAsia"/>
          <w:color w:val="000000" w:themeColor="text1"/>
          <w:sz w:val="28"/>
          <w:szCs w:val="32"/>
        </w:rPr>
        <w:t>1.5%</w:t>
      </w:r>
      <w:r>
        <w:rPr>
          <w:rFonts w:eastAsia="標楷體" w:hint="eastAsia"/>
          <w:color w:val="000000" w:themeColor="text1"/>
          <w:sz w:val="28"/>
          <w:szCs w:val="32"/>
        </w:rPr>
        <w:t>、</w:t>
      </w:r>
      <w:r>
        <w:rPr>
          <w:rFonts w:eastAsia="標楷體" w:hint="eastAsia"/>
          <w:color w:val="000000" w:themeColor="text1"/>
          <w:sz w:val="28"/>
          <w:szCs w:val="32"/>
        </w:rPr>
        <w:t>3.8%</w:t>
      </w:r>
      <w:r>
        <w:rPr>
          <w:rFonts w:eastAsia="標楷體" w:hint="eastAsia"/>
          <w:color w:val="000000" w:themeColor="text1"/>
          <w:sz w:val="28"/>
          <w:szCs w:val="32"/>
        </w:rPr>
        <w:t>、</w:t>
      </w:r>
      <w:r>
        <w:rPr>
          <w:rFonts w:eastAsia="標楷體" w:hint="eastAsia"/>
          <w:color w:val="000000" w:themeColor="text1"/>
          <w:sz w:val="28"/>
          <w:szCs w:val="32"/>
        </w:rPr>
        <w:t>12.2%</w:t>
      </w:r>
      <w:r>
        <w:rPr>
          <w:rFonts w:eastAsia="標楷體" w:hint="eastAsia"/>
          <w:color w:val="000000" w:themeColor="text1"/>
          <w:sz w:val="28"/>
          <w:szCs w:val="32"/>
        </w:rPr>
        <w:t>，惟較上年分別縮減</w:t>
      </w:r>
      <w:r>
        <w:rPr>
          <w:rFonts w:eastAsia="標楷體" w:hint="eastAsia"/>
          <w:color w:val="000000" w:themeColor="text1"/>
          <w:sz w:val="28"/>
          <w:szCs w:val="32"/>
        </w:rPr>
        <w:t>4.7</w:t>
      </w:r>
      <w:r>
        <w:rPr>
          <w:rFonts w:eastAsia="標楷體" w:hint="eastAsia"/>
          <w:color w:val="000000" w:themeColor="text1"/>
          <w:sz w:val="28"/>
          <w:szCs w:val="32"/>
        </w:rPr>
        <w:t>、</w:t>
      </w:r>
      <w:r>
        <w:rPr>
          <w:rFonts w:eastAsia="標楷體" w:hint="eastAsia"/>
          <w:color w:val="000000" w:themeColor="text1"/>
          <w:sz w:val="28"/>
          <w:szCs w:val="32"/>
        </w:rPr>
        <w:t>3.9</w:t>
      </w:r>
      <w:r>
        <w:rPr>
          <w:rFonts w:eastAsia="標楷體" w:hint="eastAsia"/>
          <w:color w:val="000000" w:themeColor="text1"/>
          <w:sz w:val="28"/>
          <w:szCs w:val="32"/>
        </w:rPr>
        <w:t>、</w:t>
      </w:r>
      <w:r>
        <w:rPr>
          <w:rFonts w:eastAsia="標楷體" w:hint="eastAsia"/>
          <w:color w:val="000000" w:themeColor="text1"/>
          <w:sz w:val="28"/>
          <w:szCs w:val="32"/>
        </w:rPr>
        <w:t>3.3</w:t>
      </w:r>
      <w:r>
        <w:rPr>
          <w:rFonts w:eastAsia="標楷體" w:hint="eastAsia"/>
          <w:color w:val="000000" w:themeColor="text1"/>
          <w:sz w:val="28"/>
          <w:szCs w:val="32"/>
        </w:rPr>
        <w:t>個百分點，主因與</w:t>
      </w:r>
      <w:r w:rsidRPr="00D43F0B">
        <w:rPr>
          <w:rFonts w:eastAsia="標楷體" w:hint="eastAsia"/>
          <w:color w:val="000000" w:themeColor="text1"/>
          <w:sz w:val="28"/>
          <w:szCs w:val="32"/>
        </w:rPr>
        <w:t>削減過剩產能</w:t>
      </w:r>
      <w:r>
        <w:rPr>
          <w:rFonts w:eastAsia="標楷體" w:hint="eastAsia"/>
          <w:color w:val="000000" w:themeColor="text1"/>
          <w:sz w:val="28"/>
          <w:szCs w:val="32"/>
        </w:rPr>
        <w:t>及環保限產有關</w:t>
      </w:r>
      <w:r w:rsidRPr="006E7090">
        <w:rPr>
          <w:rFonts w:eastAsia="標楷體"/>
          <w:color w:val="000000" w:themeColor="text1"/>
          <w:sz w:val="28"/>
          <w:szCs w:val="32"/>
        </w:rPr>
        <w:t>。</w:t>
      </w:r>
    </w:p>
    <w:p w:rsidR="000A18A5" w:rsidRPr="006E7090" w:rsidRDefault="000A18A5" w:rsidP="000A18A5">
      <w:pPr>
        <w:widowControl/>
        <w:autoSpaceDE w:val="0"/>
        <w:snapToGrid w:val="0"/>
        <w:spacing w:beforeLines="25" w:before="60" w:line="480" w:lineRule="exact"/>
        <w:ind w:leftChars="236" w:left="849" w:hangingChars="101" w:hanging="283"/>
        <w:jc w:val="both"/>
        <w:rPr>
          <w:rFonts w:eastAsia="標楷體"/>
          <w:color w:val="000000" w:themeColor="text1"/>
          <w:sz w:val="28"/>
          <w:szCs w:val="32"/>
        </w:rPr>
      </w:pPr>
      <w:proofErr w:type="gramStart"/>
      <w:r>
        <w:rPr>
          <w:rFonts w:eastAsia="標楷體" w:hint="eastAsia"/>
          <w:color w:val="000000" w:themeColor="text1"/>
          <w:sz w:val="28"/>
          <w:szCs w:val="32"/>
        </w:rPr>
        <w:t>─</w:t>
      </w:r>
      <w:proofErr w:type="gramEnd"/>
      <w:r>
        <w:rPr>
          <w:rFonts w:eastAsia="標楷體" w:hint="eastAsia"/>
          <w:color w:val="000000" w:themeColor="text1"/>
          <w:sz w:val="28"/>
          <w:szCs w:val="32"/>
        </w:rPr>
        <w:t>12</w:t>
      </w:r>
      <w:r>
        <w:rPr>
          <w:rFonts w:eastAsia="標楷體" w:hint="eastAsia"/>
          <w:color w:val="000000" w:themeColor="text1"/>
          <w:sz w:val="28"/>
          <w:szCs w:val="32"/>
        </w:rPr>
        <w:t>月官方製造業</w:t>
      </w:r>
      <w:r>
        <w:rPr>
          <w:rFonts w:eastAsia="標楷體" w:hint="eastAsia"/>
          <w:color w:val="000000" w:themeColor="text1"/>
          <w:sz w:val="28"/>
          <w:szCs w:val="32"/>
        </w:rPr>
        <w:t>PMI</w:t>
      </w:r>
      <w:r>
        <w:rPr>
          <w:rFonts w:eastAsia="標楷體" w:hint="eastAsia"/>
          <w:color w:val="000000" w:themeColor="text1"/>
          <w:sz w:val="28"/>
          <w:szCs w:val="32"/>
        </w:rPr>
        <w:t>雖較上月下跌</w:t>
      </w:r>
      <w:r>
        <w:rPr>
          <w:rFonts w:eastAsia="標楷體" w:hint="eastAsia"/>
          <w:color w:val="000000" w:themeColor="text1"/>
          <w:sz w:val="28"/>
          <w:szCs w:val="32"/>
        </w:rPr>
        <w:t>0.2</w:t>
      </w:r>
      <w:r>
        <w:rPr>
          <w:rFonts w:eastAsia="標楷體" w:hint="eastAsia"/>
          <w:color w:val="000000" w:themeColor="text1"/>
          <w:sz w:val="28"/>
          <w:szCs w:val="32"/>
        </w:rPr>
        <w:t>個百分點，但</w:t>
      </w:r>
      <w:r w:rsidRPr="00DC1760">
        <w:rPr>
          <w:rFonts w:eastAsia="標楷體" w:hint="eastAsia"/>
          <w:color w:val="000000" w:themeColor="text1"/>
          <w:sz w:val="28"/>
          <w:szCs w:val="32"/>
        </w:rPr>
        <w:t xml:space="preserve">2017 </w:t>
      </w:r>
      <w:r w:rsidRPr="00DC1760">
        <w:rPr>
          <w:rFonts w:eastAsia="標楷體" w:hint="eastAsia"/>
          <w:color w:val="000000" w:themeColor="text1"/>
          <w:sz w:val="28"/>
          <w:szCs w:val="32"/>
        </w:rPr>
        <w:t>年全年</w:t>
      </w:r>
      <w:r w:rsidRPr="00DC1760">
        <w:rPr>
          <w:rFonts w:eastAsia="標楷體" w:hint="eastAsia"/>
          <w:color w:val="000000" w:themeColor="text1"/>
          <w:sz w:val="28"/>
          <w:szCs w:val="32"/>
        </w:rPr>
        <w:t xml:space="preserve"> PMI</w:t>
      </w:r>
      <w:r w:rsidRPr="00DC1760">
        <w:rPr>
          <w:rFonts w:eastAsia="標楷體" w:hint="eastAsia"/>
          <w:color w:val="000000" w:themeColor="text1"/>
          <w:sz w:val="28"/>
          <w:szCs w:val="32"/>
        </w:rPr>
        <w:t>一直保持在</w:t>
      </w:r>
      <w:r w:rsidRPr="00DC1760">
        <w:rPr>
          <w:rFonts w:eastAsia="標楷體" w:hint="eastAsia"/>
          <w:color w:val="000000" w:themeColor="text1"/>
          <w:sz w:val="28"/>
          <w:szCs w:val="32"/>
        </w:rPr>
        <w:t xml:space="preserve"> 51%</w:t>
      </w:r>
      <w:r w:rsidRPr="00DC1760">
        <w:rPr>
          <w:rFonts w:eastAsia="標楷體" w:hint="eastAsia"/>
          <w:color w:val="000000" w:themeColor="text1"/>
          <w:sz w:val="28"/>
          <w:szCs w:val="32"/>
        </w:rPr>
        <w:t>以上，全年平均值為</w:t>
      </w:r>
      <w:r w:rsidRPr="00DC1760">
        <w:rPr>
          <w:rFonts w:eastAsia="標楷體" w:hint="eastAsia"/>
          <w:color w:val="000000" w:themeColor="text1"/>
          <w:sz w:val="28"/>
          <w:szCs w:val="32"/>
        </w:rPr>
        <w:t>51.6%</w:t>
      </w:r>
      <w:r w:rsidRPr="00DC1760">
        <w:rPr>
          <w:rFonts w:eastAsia="標楷體" w:hint="eastAsia"/>
          <w:color w:val="000000" w:themeColor="text1"/>
          <w:sz w:val="28"/>
          <w:szCs w:val="32"/>
        </w:rPr>
        <w:t>，</w:t>
      </w:r>
      <w:r>
        <w:rPr>
          <w:rFonts w:eastAsia="標楷體" w:hint="eastAsia"/>
          <w:color w:val="000000" w:themeColor="text1"/>
          <w:sz w:val="28"/>
          <w:szCs w:val="32"/>
        </w:rPr>
        <w:t>至於</w:t>
      </w:r>
      <w:proofErr w:type="gramStart"/>
      <w:r>
        <w:rPr>
          <w:rFonts w:eastAsia="標楷體" w:hint="eastAsia"/>
          <w:color w:val="000000" w:themeColor="text1"/>
          <w:sz w:val="28"/>
          <w:szCs w:val="32"/>
        </w:rPr>
        <w:t>12</w:t>
      </w:r>
      <w:r>
        <w:rPr>
          <w:rFonts w:eastAsia="標楷體" w:hint="eastAsia"/>
          <w:color w:val="000000" w:themeColor="text1"/>
          <w:sz w:val="28"/>
          <w:szCs w:val="32"/>
        </w:rPr>
        <w:t>月</w:t>
      </w:r>
      <w:r w:rsidRPr="006E7090">
        <w:rPr>
          <w:rFonts w:eastAsia="標楷體"/>
          <w:color w:val="000000" w:themeColor="text1"/>
          <w:sz w:val="28"/>
          <w:szCs w:val="32"/>
        </w:rPr>
        <w:t>財新中國</w:t>
      </w:r>
      <w:proofErr w:type="gramEnd"/>
      <w:r>
        <w:rPr>
          <w:rFonts w:eastAsia="標楷體" w:hint="eastAsia"/>
          <w:color w:val="000000" w:themeColor="text1"/>
          <w:sz w:val="28"/>
          <w:szCs w:val="32"/>
        </w:rPr>
        <w:t>PMI</w:t>
      </w:r>
      <w:r w:rsidRPr="00900514">
        <w:rPr>
          <w:rFonts w:eastAsia="標楷體" w:hint="eastAsia"/>
          <w:color w:val="000000" w:themeColor="text1"/>
          <w:sz w:val="28"/>
          <w:szCs w:val="32"/>
        </w:rPr>
        <w:t>為</w:t>
      </w:r>
      <w:r w:rsidRPr="00DC1760">
        <w:rPr>
          <w:rFonts w:eastAsia="標楷體" w:hint="eastAsia"/>
          <w:color w:val="000000" w:themeColor="text1"/>
          <w:sz w:val="28"/>
          <w:szCs w:val="32"/>
        </w:rPr>
        <w:t>51.9</w:t>
      </w:r>
      <w:r w:rsidRPr="00DC1760">
        <w:rPr>
          <w:rFonts w:eastAsia="標楷體" w:hint="eastAsia"/>
          <w:color w:val="000000" w:themeColor="text1"/>
          <w:sz w:val="28"/>
          <w:szCs w:val="32"/>
        </w:rPr>
        <w:t>，創下</w:t>
      </w:r>
      <w:r w:rsidRPr="00DC1760">
        <w:rPr>
          <w:rFonts w:eastAsia="標楷體" w:hint="eastAsia"/>
          <w:color w:val="000000" w:themeColor="text1"/>
          <w:sz w:val="28"/>
          <w:szCs w:val="32"/>
        </w:rPr>
        <w:t>2013</w:t>
      </w:r>
      <w:r w:rsidRPr="00DC1760">
        <w:rPr>
          <w:rFonts w:eastAsia="標楷體" w:hint="eastAsia"/>
          <w:color w:val="000000" w:themeColor="text1"/>
          <w:sz w:val="28"/>
          <w:szCs w:val="32"/>
        </w:rPr>
        <w:t>年</w:t>
      </w:r>
      <w:r w:rsidRPr="00DC1760">
        <w:rPr>
          <w:rFonts w:eastAsia="標楷體" w:hint="eastAsia"/>
          <w:color w:val="000000" w:themeColor="text1"/>
          <w:sz w:val="28"/>
          <w:szCs w:val="32"/>
        </w:rPr>
        <w:t>1</w:t>
      </w:r>
      <w:r w:rsidRPr="00DC1760">
        <w:rPr>
          <w:rFonts w:eastAsia="標楷體" w:hint="eastAsia"/>
          <w:color w:val="000000" w:themeColor="text1"/>
          <w:sz w:val="28"/>
          <w:szCs w:val="32"/>
        </w:rPr>
        <w:t>月以來新高</w:t>
      </w:r>
      <w:r w:rsidRPr="006E7090">
        <w:rPr>
          <w:rFonts w:eastAsia="標楷體"/>
          <w:color w:val="000000" w:themeColor="text1"/>
          <w:sz w:val="28"/>
          <w:szCs w:val="32"/>
        </w:rPr>
        <w:t>（圖</w:t>
      </w:r>
      <w:r w:rsidRPr="006E7090">
        <w:rPr>
          <w:rFonts w:eastAsia="標楷體"/>
          <w:color w:val="000000" w:themeColor="text1"/>
          <w:sz w:val="28"/>
          <w:szCs w:val="32"/>
        </w:rPr>
        <w:t>1-2</w:t>
      </w:r>
      <w:r w:rsidRPr="006E7090">
        <w:rPr>
          <w:rFonts w:eastAsia="標楷體"/>
          <w:color w:val="000000" w:themeColor="text1"/>
          <w:sz w:val="28"/>
          <w:szCs w:val="32"/>
        </w:rPr>
        <w:t>）。</w:t>
      </w:r>
    </w:p>
    <w:p w:rsidR="000A18A5" w:rsidRPr="006E7090" w:rsidRDefault="000A18A5" w:rsidP="000A18A5">
      <w:pPr>
        <w:snapToGrid w:val="0"/>
        <w:ind w:leftChars="-118" w:left="-283"/>
        <w:rPr>
          <w:rFonts w:ascii="標楷體" w:eastAsia="標楷體" w:hAnsi="標楷體"/>
          <w:color w:val="000000" w:themeColor="text1"/>
          <w:sz w:val="20"/>
        </w:rPr>
      </w:pPr>
    </w:p>
    <w:p w:rsidR="000A18A5" w:rsidRPr="006E7090" w:rsidRDefault="000A18A5" w:rsidP="000A18A5">
      <w:pPr>
        <w:widowControl/>
        <w:tabs>
          <w:tab w:val="left" w:pos="567"/>
        </w:tabs>
        <w:autoSpaceDE w:val="0"/>
        <w:snapToGrid w:val="0"/>
        <w:spacing w:beforeLines="25" w:before="60" w:line="46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723776" behindDoc="1" locked="0" layoutInCell="1" allowOverlap="1" wp14:anchorId="78A3DE5E" wp14:editId="4196C2F2">
            <wp:simplePos x="0" y="0"/>
            <wp:positionH relativeFrom="column">
              <wp:posOffset>118110</wp:posOffset>
            </wp:positionH>
            <wp:positionV relativeFrom="paragraph">
              <wp:posOffset>21590</wp:posOffset>
            </wp:positionV>
            <wp:extent cx="5562600" cy="1905000"/>
            <wp:effectExtent l="0" t="0" r="0" b="0"/>
            <wp:wrapTight wrapText="bothSides">
              <wp:wrapPolygon edited="0">
                <wp:start x="9025" y="864"/>
                <wp:lineTo x="2367" y="3456"/>
                <wp:lineTo x="148" y="4536"/>
                <wp:lineTo x="74" y="17064"/>
                <wp:lineTo x="1923" y="17928"/>
                <wp:lineTo x="3847" y="19224"/>
                <wp:lineTo x="3107" y="19224"/>
                <wp:lineTo x="3107" y="20736"/>
                <wp:lineTo x="14203" y="20736"/>
                <wp:lineTo x="14351" y="19440"/>
                <wp:lineTo x="13463" y="19008"/>
                <wp:lineTo x="20786" y="17928"/>
                <wp:lineTo x="20638" y="16632"/>
                <wp:lineTo x="888" y="15120"/>
                <wp:lineTo x="814" y="11664"/>
                <wp:lineTo x="14351" y="8424"/>
                <wp:lineTo x="20712" y="7992"/>
                <wp:lineTo x="20342" y="5616"/>
                <wp:lineTo x="814" y="4752"/>
                <wp:lineTo x="5400" y="4752"/>
                <wp:lineTo x="13833" y="2592"/>
                <wp:lineTo x="13759" y="864"/>
                <wp:lineTo x="9025" y="864"/>
              </wp:wrapPolygon>
            </wp:wrapTight>
            <wp:docPr id="10" name="圖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8A5" w:rsidRPr="006E7090" w:rsidRDefault="000A18A5" w:rsidP="000A18A5">
      <w:pPr>
        <w:widowControl/>
        <w:tabs>
          <w:tab w:val="left" w:pos="567"/>
        </w:tabs>
        <w:autoSpaceDE w:val="0"/>
        <w:snapToGrid w:val="0"/>
        <w:spacing w:beforeLines="25" w:before="60" w:line="46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32"/>
        </w:rPr>
      </w:pPr>
    </w:p>
    <w:p w:rsidR="000A18A5" w:rsidRPr="006E7090" w:rsidRDefault="000A18A5" w:rsidP="000A18A5">
      <w:pPr>
        <w:widowControl/>
        <w:tabs>
          <w:tab w:val="left" w:pos="567"/>
        </w:tabs>
        <w:autoSpaceDE w:val="0"/>
        <w:snapToGrid w:val="0"/>
        <w:spacing w:beforeLines="25" w:before="60" w:line="46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32"/>
        </w:rPr>
      </w:pPr>
    </w:p>
    <w:p w:rsidR="000A18A5" w:rsidRPr="006E7090" w:rsidRDefault="000A18A5" w:rsidP="000A18A5">
      <w:pPr>
        <w:widowControl/>
        <w:tabs>
          <w:tab w:val="left" w:pos="567"/>
        </w:tabs>
        <w:autoSpaceDE w:val="0"/>
        <w:snapToGrid w:val="0"/>
        <w:spacing w:beforeLines="25" w:before="60" w:line="46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32"/>
        </w:rPr>
      </w:pPr>
    </w:p>
    <w:p w:rsidR="000A18A5" w:rsidRDefault="000A18A5" w:rsidP="000A18A5">
      <w:pPr>
        <w:widowControl/>
        <w:tabs>
          <w:tab w:val="left" w:pos="567"/>
        </w:tabs>
        <w:autoSpaceDE w:val="0"/>
        <w:snapToGrid w:val="0"/>
        <w:spacing w:line="300" w:lineRule="exact"/>
        <w:jc w:val="both"/>
        <w:rPr>
          <w:rFonts w:ascii="標楷體" w:eastAsia="標楷體" w:hAnsi="標楷體"/>
          <w:color w:val="000000" w:themeColor="text1"/>
          <w:sz w:val="20"/>
          <w:szCs w:val="20"/>
        </w:rPr>
      </w:pPr>
      <w:r w:rsidRPr="006E7090">
        <w:rPr>
          <w:rFonts w:ascii="標楷體" w:eastAsia="標楷體" w:hAnsi="標楷體" w:hint="eastAsia"/>
          <w:color w:val="000000" w:themeColor="text1"/>
          <w:sz w:val="20"/>
          <w:szCs w:val="20"/>
        </w:rPr>
        <w:t>資料來源：中國大陸國家統計局、</w:t>
      </w:r>
      <w:proofErr w:type="gramStart"/>
      <w:r w:rsidRPr="006E7090">
        <w:rPr>
          <w:rFonts w:ascii="標楷體" w:eastAsia="標楷體" w:hAnsi="標楷體" w:hint="eastAsia"/>
          <w:color w:val="000000" w:themeColor="text1"/>
          <w:sz w:val="20"/>
          <w:szCs w:val="20"/>
        </w:rPr>
        <w:t>財新中國</w:t>
      </w:r>
      <w:proofErr w:type="gramEnd"/>
      <w:r w:rsidRPr="006E7090">
        <w:rPr>
          <w:rFonts w:ascii="標楷體" w:eastAsia="標楷體" w:hAnsi="標楷體" w:hint="eastAsia"/>
          <w:color w:val="000000" w:themeColor="text1"/>
          <w:sz w:val="20"/>
          <w:szCs w:val="20"/>
        </w:rPr>
        <w:t>製造業</w:t>
      </w:r>
      <w:r w:rsidRPr="006E7090">
        <w:rPr>
          <w:rFonts w:eastAsia="標楷體"/>
          <w:color w:val="000000" w:themeColor="text1"/>
          <w:sz w:val="20"/>
          <w:szCs w:val="20"/>
        </w:rPr>
        <w:t>PMI</w:t>
      </w:r>
      <w:r w:rsidRPr="006E7090">
        <w:rPr>
          <w:rFonts w:eastAsia="標楷體" w:hint="eastAsia"/>
          <w:color w:val="000000" w:themeColor="text1"/>
          <w:sz w:val="20"/>
          <w:szCs w:val="20"/>
        </w:rPr>
        <w:t>報告</w:t>
      </w:r>
      <w:r w:rsidRPr="006E7090">
        <w:rPr>
          <w:rFonts w:ascii="標楷體" w:eastAsia="標楷體" w:hAnsi="標楷體" w:hint="eastAsia"/>
          <w:color w:val="000000" w:themeColor="text1"/>
          <w:sz w:val="20"/>
          <w:szCs w:val="20"/>
        </w:rPr>
        <w:t>。</w:t>
      </w:r>
    </w:p>
    <w:p w:rsidR="000A18A5" w:rsidRPr="006E7090" w:rsidRDefault="000A18A5" w:rsidP="000A18A5">
      <w:pPr>
        <w:widowControl/>
        <w:tabs>
          <w:tab w:val="left" w:pos="567"/>
        </w:tabs>
        <w:autoSpaceDE w:val="0"/>
        <w:snapToGrid w:val="0"/>
        <w:spacing w:beforeLines="25" w:before="60" w:line="48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6E7090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圖</w:t>
      </w:r>
      <w:r w:rsidRPr="006E7090">
        <w:rPr>
          <w:rFonts w:eastAsia="標楷體"/>
          <w:b/>
          <w:color w:val="000000" w:themeColor="text1"/>
          <w:sz w:val="28"/>
          <w:szCs w:val="32"/>
        </w:rPr>
        <w:t>1-2</w:t>
      </w:r>
      <w:r w:rsidRPr="006E7090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 xml:space="preserve">　中國大陸製造業</w:t>
      </w:r>
      <w:r w:rsidRPr="006E7090">
        <w:rPr>
          <w:rFonts w:eastAsia="標楷體"/>
          <w:b/>
          <w:color w:val="000000" w:themeColor="text1"/>
          <w:sz w:val="28"/>
          <w:szCs w:val="32"/>
        </w:rPr>
        <w:t>PMI</w:t>
      </w:r>
    </w:p>
    <w:p w:rsidR="000A18A5" w:rsidRPr="006E7090" w:rsidRDefault="000A18A5" w:rsidP="000A18A5">
      <w:pPr>
        <w:widowControl/>
        <w:numPr>
          <w:ilvl w:val="0"/>
          <w:numId w:val="6"/>
        </w:numPr>
        <w:tabs>
          <w:tab w:val="left" w:pos="567"/>
        </w:tabs>
        <w:autoSpaceDE w:val="0"/>
        <w:snapToGrid w:val="0"/>
        <w:spacing w:beforeLines="150" w:before="360" w:line="460" w:lineRule="exact"/>
        <w:ind w:left="331" w:hangingChars="118" w:hanging="331"/>
        <w:jc w:val="both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6E7090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物價走勢平穩</w:t>
      </w:r>
    </w:p>
    <w:p w:rsidR="000A18A5" w:rsidRPr="00592AFC" w:rsidRDefault="000A18A5" w:rsidP="000A18A5">
      <w:pPr>
        <w:widowControl/>
        <w:autoSpaceDE w:val="0"/>
        <w:snapToGrid w:val="0"/>
        <w:spacing w:beforeLines="25" w:before="60" w:line="480" w:lineRule="exact"/>
        <w:ind w:leftChars="236" w:left="566" w:firstLineChars="200" w:firstLine="560"/>
        <w:jc w:val="both"/>
        <w:rPr>
          <w:rFonts w:eastAsia="標楷體"/>
          <w:color w:val="000000" w:themeColor="text1"/>
          <w:sz w:val="28"/>
          <w:szCs w:val="32"/>
        </w:rPr>
      </w:pPr>
      <w:r w:rsidRPr="009F16AE">
        <w:rPr>
          <w:rFonts w:eastAsia="標楷體" w:hint="eastAsia"/>
          <w:color w:val="000000" w:themeColor="text1"/>
          <w:sz w:val="28"/>
          <w:szCs w:val="32"/>
        </w:rPr>
        <w:t>2017</w:t>
      </w:r>
      <w:r w:rsidRPr="009F16AE">
        <w:rPr>
          <w:rFonts w:eastAsia="標楷體" w:hint="eastAsia"/>
          <w:color w:val="000000" w:themeColor="text1"/>
          <w:sz w:val="28"/>
          <w:szCs w:val="32"/>
        </w:rPr>
        <w:t>年全國居民消費價格指數</w:t>
      </w:r>
      <w:r w:rsidRPr="009F16AE">
        <w:rPr>
          <w:rFonts w:eastAsia="標楷體" w:hint="eastAsia"/>
          <w:color w:val="000000" w:themeColor="text1"/>
          <w:sz w:val="28"/>
          <w:szCs w:val="32"/>
        </w:rPr>
        <w:t>(CPI)</w:t>
      </w:r>
      <w:r w:rsidRPr="009F16AE">
        <w:rPr>
          <w:rFonts w:eastAsia="標楷體" w:hint="eastAsia"/>
          <w:color w:val="000000" w:themeColor="text1"/>
          <w:sz w:val="28"/>
          <w:szCs w:val="32"/>
        </w:rPr>
        <w:t>上漲</w:t>
      </w:r>
      <w:r w:rsidRPr="009F16AE">
        <w:rPr>
          <w:rFonts w:eastAsia="標楷體" w:hint="eastAsia"/>
          <w:color w:val="000000" w:themeColor="text1"/>
          <w:sz w:val="28"/>
          <w:szCs w:val="32"/>
        </w:rPr>
        <w:t>1.6%</w:t>
      </w:r>
      <w:r w:rsidRPr="009F16AE">
        <w:rPr>
          <w:rFonts w:eastAsia="標楷體" w:hint="eastAsia"/>
          <w:color w:val="000000" w:themeColor="text1"/>
          <w:sz w:val="28"/>
          <w:szCs w:val="32"/>
        </w:rPr>
        <w:t>，較上年減少</w:t>
      </w:r>
      <w:r w:rsidRPr="009F16AE">
        <w:rPr>
          <w:rFonts w:eastAsia="標楷體" w:hint="eastAsia"/>
          <w:color w:val="000000" w:themeColor="text1"/>
          <w:sz w:val="28"/>
          <w:szCs w:val="32"/>
        </w:rPr>
        <w:t>0.4</w:t>
      </w:r>
      <w:r w:rsidRPr="009F16AE">
        <w:rPr>
          <w:rFonts w:eastAsia="標楷體" w:hint="eastAsia"/>
          <w:color w:val="000000" w:themeColor="text1"/>
          <w:sz w:val="28"/>
          <w:szCs w:val="32"/>
        </w:rPr>
        <w:t>個百分點，其中</w:t>
      </w:r>
      <w:r w:rsidRPr="00801C29">
        <w:rPr>
          <w:rFonts w:eastAsia="標楷體" w:hint="eastAsia"/>
          <w:color w:val="000000" w:themeColor="text1"/>
          <w:sz w:val="28"/>
          <w:szCs w:val="32"/>
        </w:rPr>
        <w:t>食品價格下降</w:t>
      </w:r>
      <w:r w:rsidRPr="00801C29">
        <w:rPr>
          <w:rFonts w:eastAsia="標楷體"/>
          <w:color w:val="000000" w:themeColor="text1"/>
          <w:sz w:val="28"/>
          <w:szCs w:val="32"/>
        </w:rPr>
        <w:t>1.4%</w:t>
      </w:r>
      <w:r w:rsidRPr="00801C29">
        <w:rPr>
          <w:rFonts w:eastAsia="標楷體" w:hint="eastAsia"/>
          <w:color w:val="000000" w:themeColor="text1"/>
          <w:sz w:val="28"/>
          <w:szCs w:val="32"/>
        </w:rPr>
        <w:t>，是自</w:t>
      </w:r>
      <w:r w:rsidRPr="00801C29">
        <w:rPr>
          <w:rFonts w:eastAsia="標楷體"/>
          <w:color w:val="000000" w:themeColor="text1"/>
          <w:sz w:val="28"/>
          <w:szCs w:val="32"/>
        </w:rPr>
        <w:t>2003</w:t>
      </w:r>
      <w:r w:rsidRPr="00801C29">
        <w:rPr>
          <w:rFonts w:eastAsia="標楷體" w:hint="eastAsia"/>
          <w:color w:val="000000" w:themeColor="text1"/>
          <w:sz w:val="28"/>
          <w:szCs w:val="32"/>
        </w:rPr>
        <w:t>年以來首次下降，主要受豬肉和</w:t>
      </w:r>
      <w:r>
        <w:rPr>
          <w:rFonts w:eastAsia="標楷體" w:hint="eastAsia"/>
          <w:color w:val="000000" w:themeColor="text1"/>
          <w:sz w:val="28"/>
          <w:szCs w:val="32"/>
        </w:rPr>
        <w:t>蔬菜</w:t>
      </w:r>
      <w:r w:rsidRPr="00801C29">
        <w:rPr>
          <w:rFonts w:eastAsia="標楷體" w:hint="eastAsia"/>
          <w:color w:val="000000" w:themeColor="text1"/>
          <w:sz w:val="28"/>
          <w:szCs w:val="32"/>
        </w:rPr>
        <w:t>價格下</w:t>
      </w:r>
      <w:r>
        <w:rPr>
          <w:rFonts w:eastAsia="標楷體" w:hint="eastAsia"/>
          <w:color w:val="000000" w:themeColor="text1"/>
          <w:sz w:val="28"/>
          <w:szCs w:val="32"/>
        </w:rPr>
        <w:t>跌</w:t>
      </w:r>
      <w:r w:rsidRPr="00801C29">
        <w:rPr>
          <w:rFonts w:eastAsia="標楷體" w:hint="eastAsia"/>
          <w:color w:val="000000" w:themeColor="text1"/>
          <w:sz w:val="28"/>
          <w:szCs w:val="32"/>
        </w:rPr>
        <w:t>影響</w:t>
      </w: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  <w:r w:rsidRPr="006E7090">
        <w:rPr>
          <w:rFonts w:eastAsia="標楷體"/>
          <w:color w:val="000000" w:themeColor="text1"/>
          <w:sz w:val="28"/>
          <w:szCs w:val="32"/>
        </w:rPr>
        <w:t>在生產者價格指數（</w:t>
      </w:r>
      <w:r w:rsidRPr="006E7090">
        <w:rPr>
          <w:rFonts w:eastAsia="標楷體"/>
          <w:color w:val="000000" w:themeColor="text1"/>
          <w:sz w:val="28"/>
          <w:szCs w:val="32"/>
        </w:rPr>
        <w:t>PPI</w:t>
      </w:r>
      <w:r w:rsidRPr="006E7090">
        <w:rPr>
          <w:rFonts w:eastAsia="標楷體"/>
          <w:color w:val="000000" w:themeColor="text1"/>
          <w:sz w:val="28"/>
          <w:szCs w:val="32"/>
        </w:rPr>
        <w:t>）方面，</w:t>
      </w:r>
      <w:r w:rsidRPr="006E7090">
        <w:rPr>
          <w:rFonts w:eastAsia="標楷體" w:hint="eastAsia"/>
          <w:color w:val="000000" w:themeColor="text1"/>
          <w:sz w:val="28"/>
          <w:szCs w:val="32"/>
        </w:rPr>
        <w:t>受國際油價、鐵礦砂價格上漲影響，</w:t>
      </w:r>
      <w:r>
        <w:rPr>
          <w:rFonts w:eastAsia="標楷體" w:hint="eastAsia"/>
          <w:color w:val="000000" w:themeColor="text1"/>
          <w:sz w:val="28"/>
          <w:szCs w:val="32"/>
        </w:rPr>
        <w:t>2017</w:t>
      </w:r>
      <w:r>
        <w:rPr>
          <w:rFonts w:eastAsia="標楷體" w:hint="eastAsia"/>
          <w:color w:val="000000" w:themeColor="text1"/>
          <w:sz w:val="28"/>
          <w:szCs w:val="32"/>
        </w:rPr>
        <w:t>年</w:t>
      </w:r>
      <w:r>
        <w:rPr>
          <w:rFonts w:eastAsia="標楷體" w:hint="eastAsia"/>
          <w:color w:val="000000" w:themeColor="text1"/>
          <w:sz w:val="28"/>
          <w:szCs w:val="32"/>
        </w:rPr>
        <w:t>PPI</w:t>
      </w:r>
      <w:r>
        <w:rPr>
          <w:rFonts w:eastAsia="標楷體" w:hint="eastAsia"/>
          <w:color w:val="000000" w:themeColor="text1"/>
          <w:sz w:val="28"/>
          <w:szCs w:val="32"/>
        </w:rPr>
        <w:t>上漲</w:t>
      </w:r>
      <w:r>
        <w:rPr>
          <w:rFonts w:eastAsia="標楷體" w:hint="eastAsia"/>
          <w:color w:val="000000" w:themeColor="text1"/>
          <w:sz w:val="28"/>
          <w:szCs w:val="32"/>
        </w:rPr>
        <w:t>6.3%</w:t>
      </w:r>
      <w:r>
        <w:rPr>
          <w:rFonts w:eastAsia="標楷體" w:hint="eastAsia"/>
          <w:color w:val="000000" w:themeColor="text1"/>
          <w:sz w:val="28"/>
          <w:szCs w:val="32"/>
        </w:rPr>
        <w:t>，</w:t>
      </w:r>
      <w:r w:rsidRPr="00DC3512">
        <w:rPr>
          <w:rFonts w:eastAsia="標楷體" w:hint="eastAsia"/>
          <w:color w:val="000000" w:themeColor="text1"/>
          <w:sz w:val="28"/>
          <w:szCs w:val="32"/>
        </w:rPr>
        <w:t>結束自</w:t>
      </w:r>
      <w:r w:rsidRPr="00DC3512">
        <w:rPr>
          <w:rFonts w:eastAsia="標楷體" w:hint="eastAsia"/>
          <w:color w:val="000000" w:themeColor="text1"/>
          <w:sz w:val="28"/>
          <w:szCs w:val="32"/>
        </w:rPr>
        <w:t>2012</w:t>
      </w:r>
      <w:r w:rsidRPr="00DC3512">
        <w:rPr>
          <w:rFonts w:eastAsia="標楷體" w:hint="eastAsia"/>
          <w:color w:val="000000" w:themeColor="text1"/>
          <w:sz w:val="28"/>
          <w:szCs w:val="32"/>
        </w:rPr>
        <w:t>年以來連續</w:t>
      </w:r>
      <w:r w:rsidRPr="00DC3512">
        <w:rPr>
          <w:rFonts w:eastAsia="標楷體" w:hint="eastAsia"/>
          <w:color w:val="000000" w:themeColor="text1"/>
          <w:sz w:val="28"/>
          <w:szCs w:val="32"/>
        </w:rPr>
        <w:t>5</w:t>
      </w:r>
      <w:r w:rsidRPr="00DC3512">
        <w:rPr>
          <w:rFonts w:eastAsia="標楷體" w:hint="eastAsia"/>
          <w:color w:val="000000" w:themeColor="text1"/>
          <w:sz w:val="28"/>
          <w:szCs w:val="32"/>
        </w:rPr>
        <w:t>年下降的態勢。</w:t>
      </w:r>
      <w:r w:rsidRPr="00801C29">
        <w:rPr>
          <w:rFonts w:eastAsia="標楷體" w:hint="eastAsia"/>
          <w:color w:val="000000" w:themeColor="text1"/>
          <w:sz w:val="28"/>
          <w:szCs w:val="32"/>
        </w:rPr>
        <w:t>其中，漲幅較大</w:t>
      </w:r>
      <w:r>
        <w:rPr>
          <w:rFonts w:eastAsia="標楷體" w:hint="eastAsia"/>
          <w:color w:val="000000" w:themeColor="text1"/>
          <w:sz w:val="28"/>
          <w:szCs w:val="32"/>
        </w:rPr>
        <w:t>為</w:t>
      </w:r>
      <w:r w:rsidRPr="00801C29">
        <w:rPr>
          <w:rFonts w:eastAsia="標楷體" w:hint="eastAsia"/>
          <w:color w:val="000000" w:themeColor="text1"/>
          <w:sz w:val="28"/>
          <w:szCs w:val="32"/>
        </w:rPr>
        <w:t>石油和天然氣開採業、煤炭開採和</w:t>
      </w:r>
      <w:proofErr w:type="gramStart"/>
      <w:r w:rsidRPr="00801C29">
        <w:rPr>
          <w:rFonts w:eastAsia="標楷體" w:hint="eastAsia"/>
          <w:color w:val="000000" w:themeColor="text1"/>
          <w:sz w:val="28"/>
          <w:szCs w:val="32"/>
        </w:rPr>
        <w:t>洗選業</w:t>
      </w:r>
      <w:proofErr w:type="gramEnd"/>
      <w:r w:rsidRPr="00801C29">
        <w:rPr>
          <w:rFonts w:eastAsia="標楷體" w:hint="eastAsia"/>
          <w:color w:val="000000" w:themeColor="text1"/>
          <w:sz w:val="28"/>
          <w:szCs w:val="32"/>
        </w:rPr>
        <w:t>、黑色金屬</w:t>
      </w:r>
      <w:proofErr w:type="gramStart"/>
      <w:r w:rsidRPr="00801C29">
        <w:rPr>
          <w:rFonts w:eastAsia="標楷體" w:hint="eastAsia"/>
          <w:color w:val="000000" w:themeColor="text1"/>
          <w:sz w:val="28"/>
          <w:szCs w:val="32"/>
        </w:rPr>
        <w:t>冶煉和壓延</w:t>
      </w:r>
      <w:proofErr w:type="gramEnd"/>
      <w:r w:rsidRPr="00801C29">
        <w:rPr>
          <w:rFonts w:eastAsia="標楷體" w:hint="eastAsia"/>
          <w:color w:val="000000" w:themeColor="text1"/>
          <w:sz w:val="28"/>
          <w:szCs w:val="32"/>
        </w:rPr>
        <w:t>加工業，分別上漲</w:t>
      </w:r>
      <w:r w:rsidRPr="00801C29">
        <w:rPr>
          <w:rFonts w:eastAsia="標楷體"/>
          <w:color w:val="000000" w:themeColor="text1"/>
          <w:sz w:val="28"/>
          <w:szCs w:val="32"/>
        </w:rPr>
        <w:t>29.0%</w:t>
      </w:r>
      <w:r w:rsidRPr="00801C29">
        <w:rPr>
          <w:rFonts w:eastAsia="標楷體" w:hint="eastAsia"/>
          <w:color w:val="000000" w:themeColor="text1"/>
          <w:sz w:val="28"/>
          <w:szCs w:val="32"/>
        </w:rPr>
        <w:t>、</w:t>
      </w:r>
      <w:r w:rsidRPr="00801C29">
        <w:rPr>
          <w:rFonts w:eastAsia="標楷體"/>
          <w:color w:val="000000" w:themeColor="text1"/>
          <w:sz w:val="28"/>
          <w:szCs w:val="32"/>
        </w:rPr>
        <w:t>28.2%</w:t>
      </w:r>
      <w:r w:rsidRPr="00801C29">
        <w:rPr>
          <w:rFonts w:eastAsia="標楷體" w:hint="eastAsia"/>
          <w:color w:val="000000" w:themeColor="text1"/>
          <w:sz w:val="28"/>
          <w:szCs w:val="32"/>
        </w:rPr>
        <w:t>和</w:t>
      </w:r>
      <w:r w:rsidRPr="00801C29">
        <w:rPr>
          <w:rFonts w:eastAsia="標楷體"/>
          <w:color w:val="000000" w:themeColor="text1"/>
          <w:sz w:val="28"/>
          <w:szCs w:val="32"/>
        </w:rPr>
        <w:t>27.9%</w:t>
      </w:r>
      <w:r w:rsidRPr="00801C29">
        <w:rPr>
          <w:rFonts w:eastAsia="標楷體" w:hint="eastAsia"/>
          <w:color w:val="000000" w:themeColor="text1"/>
          <w:sz w:val="28"/>
          <w:szCs w:val="32"/>
        </w:rPr>
        <w:t>。</w:t>
      </w:r>
    </w:p>
    <w:p w:rsidR="009637F6" w:rsidRPr="00721766" w:rsidRDefault="009637F6" w:rsidP="009637F6">
      <w:pPr>
        <w:pStyle w:val="20"/>
        <w:spacing w:beforeLines="50" w:before="120" w:line="480" w:lineRule="exact"/>
        <w:rPr>
          <w:rFonts w:ascii="Times New Roman" w:eastAsia="標楷體" w:hAnsi="Times New Roman"/>
          <w:color w:val="000000" w:themeColor="text1"/>
          <w:sz w:val="28"/>
          <w:szCs w:val="32"/>
        </w:rPr>
      </w:pPr>
      <w:r w:rsidRPr="00721766">
        <w:rPr>
          <w:rFonts w:ascii="Times New Roman" w:eastAsia="標楷體" w:hAnsi="Times New Roman"/>
          <w:color w:val="000000" w:themeColor="text1"/>
          <w:sz w:val="28"/>
          <w:szCs w:val="32"/>
        </w:rPr>
        <w:lastRenderedPageBreak/>
        <w:t>二、金融情勢</w:t>
      </w:r>
      <w:bookmarkEnd w:id="10"/>
    </w:p>
    <w:p w:rsidR="009637F6" w:rsidRPr="00721766" w:rsidRDefault="009637F6" w:rsidP="00221515">
      <w:pPr>
        <w:widowControl/>
        <w:snapToGrid w:val="0"/>
        <w:spacing w:beforeLines="50" w:before="120" w:line="480" w:lineRule="exact"/>
        <w:ind w:firstLineChars="200" w:firstLine="560"/>
        <w:jc w:val="both"/>
        <w:rPr>
          <w:rFonts w:eastAsia="標楷體"/>
          <w:color w:val="000000" w:themeColor="text1"/>
          <w:kern w:val="0"/>
          <w:sz w:val="28"/>
          <w:szCs w:val="32"/>
        </w:rPr>
      </w:pPr>
      <w:r w:rsidRPr="00721766">
        <w:rPr>
          <w:rFonts w:eastAsia="標楷體"/>
          <w:color w:val="000000" w:themeColor="text1"/>
          <w:kern w:val="0"/>
          <w:sz w:val="28"/>
          <w:szCs w:val="32"/>
        </w:rPr>
        <w:t>隨著中國大陸持續推行金融去槓桿政策</w:t>
      </w:r>
      <w:r w:rsidR="001877B3">
        <w:rPr>
          <w:rFonts w:eastAsia="標楷體" w:hint="eastAsia"/>
          <w:color w:val="000000" w:themeColor="text1"/>
          <w:kern w:val="0"/>
          <w:sz w:val="28"/>
          <w:szCs w:val="32"/>
        </w:rPr>
        <w:t>及執行嚴格的資本管制</w:t>
      </w:r>
      <w:r w:rsidRPr="00721766">
        <w:rPr>
          <w:rFonts w:eastAsia="標楷體"/>
          <w:color w:val="000000" w:themeColor="text1"/>
          <w:kern w:val="0"/>
          <w:sz w:val="28"/>
          <w:szCs w:val="32"/>
        </w:rPr>
        <w:t>，</w:t>
      </w:r>
      <w:r w:rsidR="00D80F1F" w:rsidRPr="00721766">
        <w:rPr>
          <w:rFonts w:eastAsia="標楷體" w:hint="eastAsia"/>
          <w:color w:val="000000" w:themeColor="text1"/>
          <w:kern w:val="0"/>
          <w:sz w:val="28"/>
          <w:szCs w:val="32"/>
        </w:rPr>
        <w:t>整體金融風險</w:t>
      </w:r>
      <w:r w:rsidR="00DC02F8">
        <w:rPr>
          <w:rFonts w:eastAsia="標楷體" w:hint="eastAsia"/>
          <w:color w:val="000000" w:themeColor="text1"/>
          <w:kern w:val="0"/>
          <w:sz w:val="28"/>
          <w:szCs w:val="32"/>
        </w:rPr>
        <w:t>略降</w:t>
      </w:r>
      <w:r w:rsidRPr="00721766">
        <w:rPr>
          <w:rFonts w:eastAsia="標楷體"/>
          <w:color w:val="000000" w:themeColor="text1"/>
          <w:kern w:val="0"/>
          <w:sz w:val="28"/>
          <w:szCs w:val="32"/>
        </w:rPr>
        <w:t>。</w:t>
      </w:r>
      <w:r w:rsidR="00D80F1F" w:rsidRPr="00721766">
        <w:rPr>
          <w:rFonts w:eastAsia="標楷體" w:hint="eastAsia"/>
          <w:color w:val="000000" w:themeColor="text1"/>
          <w:kern w:val="0"/>
          <w:sz w:val="28"/>
          <w:szCs w:val="32"/>
        </w:rPr>
        <w:t>2017</w:t>
      </w:r>
      <w:r w:rsidR="00D80F1F" w:rsidRPr="00721766">
        <w:rPr>
          <w:rFonts w:eastAsia="標楷體" w:hint="eastAsia"/>
          <w:color w:val="000000" w:themeColor="text1"/>
          <w:kern w:val="0"/>
          <w:sz w:val="28"/>
          <w:szCs w:val="32"/>
        </w:rPr>
        <w:t>年</w:t>
      </w:r>
      <w:r w:rsidR="00DC02F8">
        <w:rPr>
          <w:rFonts w:eastAsia="標楷體" w:hint="eastAsia"/>
          <w:color w:val="000000" w:themeColor="text1"/>
          <w:kern w:val="0"/>
          <w:sz w:val="28"/>
          <w:szCs w:val="32"/>
        </w:rPr>
        <w:t>中國大陸</w:t>
      </w:r>
      <w:r w:rsidR="00D80F1F" w:rsidRPr="00721766">
        <w:rPr>
          <w:rFonts w:eastAsia="標楷體" w:hint="eastAsia"/>
          <w:color w:val="000000" w:themeColor="text1"/>
          <w:kern w:val="0"/>
          <w:sz w:val="28"/>
          <w:szCs w:val="32"/>
        </w:rPr>
        <w:t>金融</w:t>
      </w:r>
      <w:r w:rsidR="00DC02F8">
        <w:rPr>
          <w:rFonts w:eastAsia="標楷體" w:hint="eastAsia"/>
          <w:color w:val="000000" w:themeColor="text1"/>
          <w:kern w:val="0"/>
          <w:sz w:val="28"/>
          <w:szCs w:val="32"/>
        </w:rPr>
        <w:t>情勢</w:t>
      </w:r>
      <w:r w:rsidR="00D80F1F" w:rsidRPr="00721766">
        <w:rPr>
          <w:rFonts w:eastAsia="標楷體" w:hint="eastAsia"/>
          <w:color w:val="000000" w:themeColor="text1"/>
          <w:kern w:val="0"/>
          <w:sz w:val="28"/>
          <w:szCs w:val="32"/>
        </w:rPr>
        <w:t>說明如下：</w:t>
      </w:r>
    </w:p>
    <w:p w:rsidR="00DC02F8" w:rsidRPr="00C70F20" w:rsidRDefault="00DC02F8" w:rsidP="003E7BB4">
      <w:pPr>
        <w:widowControl/>
        <w:numPr>
          <w:ilvl w:val="0"/>
          <w:numId w:val="10"/>
        </w:numPr>
        <w:tabs>
          <w:tab w:val="left" w:pos="567"/>
        </w:tabs>
        <w:autoSpaceDE w:val="0"/>
        <w:snapToGrid w:val="0"/>
        <w:spacing w:beforeLines="25" w:before="60" w:line="480" w:lineRule="exact"/>
        <w:ind w:left="669" w:hanging="669"/>
        <w:jc w:val="both"/>
        <w:rPr>
          <w:rFonts w:ascii="標楷體" w:eastAsia="標楷體" w:hAnsi="標楷體"/>
          <w:b/>
          <w:sz w:val="28"/>
          <w:szCs w:val="32"/>
        </w:rPr>
      </w:pPr>
      <w:r w:rsidRPr="00C70F20">
        <w:rPr>
          <w:rFonts w:ascii="標楷體" w:eastAsia="標楷體" w:hAnsi="標楷體" w:hint="eastAsia"/>
          <w:b/>
          <w:sz w:val="28"/>
          <w:szCs w:val="32"/>
        </w:rPr>
        <w:t>金融風險微降</w:t>
      </w:r>
    </w:p>
    <w:p w:rsidR="00DC02F8" w:rsidRPr="00CE7911" w:rsidRDefault="00DC02F8" w:rsidP="00DC02F8">
      <w:pPr>
        <w:tabs>
          <w:tab w:val="left" w:pos="567"/>
        </w:tabs>
        <w:spacing w:beforeLines="30" w:before="72" w:line="480" w:lineRule="exact"/>
        <w:ind w:left="567" w:firstLineChars="202" w:firstLine="566"/>
        <w:jc w:val="both"/>
        <w:rPr>
          <w:rFonts w:eastAsia="標楷體"/>
          <w:sz w:val="28"/>
          <w:szCs w:val="28"/>
        </w:rPr>
      </w:pPr>
      <w:r w:rsidRPr="00CE7911">
        <w:rPr>
          <w:rFonts w:eastAsia="標楷體"/>
          <w:sz w:val="28"/>
          <w:szCs w:val="28"/>
        </w:rPr>
        <w:t>2017</w:t>
      </w:r>
      <w:r w:rsidRPr="00CE7911">
        <w:rPr>
          <w:rFonts w:eastAsia="標楷體"/>
          <w:sz w:val="28"/>
          <w:szCs w:val="28"/>
        </w:rPr>
        <w:t>年底中國大陸狹義貨幣供給量</w:t>
      </w:r>
      <w:r w:rsidRPr="00CE7911">
        <w:rPr>
          <w:rFonts w:eastAsia="標楷體"/>
          <w:sz w:val="28"/>
          <w:szCs w:val="28"/>
        </w:rPr>
        <w:t>(M1)</w:t>
      </w:r>
      <w:r w:rsidRPr="00CE7911">
        <w:rPr>
          <w:rFonts w:eastAsia="標楷體"/>
          <w:sz w:val="28"/>
          <w:szCs w:val="28"/>
        </w:rPr>
        <w:t>及廣義貨幣供給量</w:t>
      </w:r>
      <w:r w:rsidRPr="00CE7911">
        <w:rPr>
          <w:rFonts w:eastAsia="標楷體"/>
          <w:sz w:val="28"/>
          <w:szCs w:val="28"/>
        </w:rPr>
        <w:t>(M2)</w:t>
      </w:r>
      <w:r w:rsidRPr="00CE7911">
        <w:rPr>
          <w:rFonts w:eastAsia="標楷體"/>
          <w:sz w:val="28"/>
          <w:szCs w:val="28"/>
        </w:rPr>
        <w:t>年增率分別為</w:t>
      </w:r>
      <w:r w:rsidRPr="00CE7911">
        <w:rPr>
          <w:rFonts w:eastAsia="標楷體"/>
          <w:sz w:val="28"/>
          <w:szCs w:val="28"/>
        </w:rPr>
        <w:t>11.8</w:t>
      </w:r>
      <w:r w:rsidR="00434A5B" w:rsidRPr="00CE7911">
        <w:rPr>
          <w:rFonts w:eastAsia="標楷體"/>
          <w:color w:val="000000" w:themeColor="text1"/>
          <w:kern w:val="0"/>
          <w:sz w:val="28"/>
          <w:szCs w:val="32"/>
        </w:rPr>
        <w:t>%</w:t>
      </w:r>
      <w:r w:rsidRPr="00CE7911">
        <w:rPr>
          <w:rFonts w:eastAsia="標楷體"/>
          <w:sz w:val="28"/>
          <w:szCs w:val="28"/>
        </w:rPr>
        <w:t>、</w:t>
      </w:r>
      <w:r w:rsidRPr="00CE7911">
        <w:rPr>
          <w:rFonts w:eastAsia="標楷體"/>
          <w:sz w:val="28"/>
          <w:szCs w:val="28"/>
        </w:rPr>
        <w:t>8.2</w:t>
      </w:r>
      <w:r w:rsidR="00434A5B" w:rsidRPr="00CE7911">
        <w:rPr>
          <w:rFonts w:eastAsia="標楷體"/>
          <w:color w:val="000000" w:themeColor="text1"/>
          <w:kern w:val="0"/>
          <w:sz w:val="28"/>
          <w:szCs w:val="32"/>
        </w:rPr>
        <w:t>%</w:t>
      </w:r>
      <w:r w:rsidRPr="00CE7911">
        <w:rPr>
          <w:rFonts w:eastAsia="標楷體"/>
          <w:sz w:val="28"/>
          <w:szCs w:val="28"/>
        </w:rPr>
        <w:t>，分別較上年減少</w:t>
      </w:r>
      <w:r w:rsidRPr="00CE7911">
        <w:rPr>
          <w:rFonts w:eastAsia="標楷體"/>
          <w:sz w:val="28"/>
          <w:szCs w:val="28"/>
        </w:rPr>
        <w:t>9.6</w:t>
      </w:r>
      <w:r w:rsidRPr="00CE7911">
        <w:rPr>
          <w:rFonts w:eastAsia="標楷體"/>
          <w:sz w:val="28"/>
          <w:szCs w:val="28"/>
        </w:rPr>
        <w:t>及</w:t>
      </w:r>
      <w:r w:rsidRPr="00CE7911">
        <w:rPr>
          <w:rFonts w:eastAsia="標楷體"/>
          <w:sz w:val="28"/>
          <w:szCs w:val="28"/>
        </w:rPr>
        <w:t>3.1</w:t>
      </w:r>
      <w:r w:rsidRPr="00CE7911">
        <w:rPr>
          <w:rFonts w:eastAsia="標楷體"/>
          <w:sz w:val="28"/>
          <w:szCs w:val="28"/>
        </w:rPr>
        <w:t>個百分點</w:t>
      </w:r>
      <w:r w:rsidRPr="00CE7911">
        <w:rPr>
          <w:rFonts w:eastAsia="標楷體"/>
          <w:sz w:val="28"/>
          <w:szCs w:val="28"/>
        </w:rPr>
        <w:t>(</w:t>
      </w:r>
      <w:r w:rsidRPr="00CE7911">
        <w:rPr>
          <w:rFonts w:eastAsia="標楷體"/>
          <w:sz w:val="28"/>
          <w:szCs w:val="28"/>
        </w:rPr>
        <w:t>圖</w:t>
      </w:r>
      <w:r w:rsidR="00BF71E4" w:rsidRPr="00CE7911">
        <w:rPr>
          <w:rFonts w:eastAsia="標楷體"/>
          <w:sz w:val="28"/>
          <w:szCs w:val="28"/>
        </w:rPr>
        <w:t>1-3</w:t>
      </w:r>
      <w:r w:rsidRPr="00CE7911">
        <w:rPr>
          <w:rFonts w:eastAsia="標楷體"/>
          <w:sz w:val="28"/>
          <w:szCs w:val="28"/>
        </w:rPr>
        <w:t>)</w:t>
      </w:r>
      <w:r w:rsidRPr="00CE7911">
        <w:rPr>
          <w:rFonts w:eastAsia="標楷體"/>
          <w:sz w:val="28"/>
          <w:szCs w:val="28"/>
        </w:rPr>
        <w:t>。</w:t>
      </w:r>
      <w:proofErr w:type="gramStart"/>
      <w:r w:rsidRPr="00CE7911">
        <w:rPr>
          <w:rFonts w:eastAsia="標楷體"/>
          <w:sz w:val="28"/>
          <w:szCs w:val="28"/>
        </w:rPr>
        <w:t>此外，</w:t>
      </w:r>
      <w:proofErr w:type="gramEnd"/>
      <w:r w:rsidRPr="00CE7911">
        <w:rPr>
          <w:rFonts w:eastAsia="標楷體"/>
          <w:sz w:val="28"/>
          <w:szCs w:val="28"/>
        </w:rPr>
        <w:t>2017</w:t>
      </w:r>
      <w:r w:rsidRPr="00CE7911">
        <w:rPr>
          <w:rFonts w:eastAsia="標楷體"/>
          <w:sz w:val="28"/>
          <w:szCs w:val="28"/>
        </w:rPr>
        <w:t>年底中國大陸</w:t>
      </w:r>
      <w:r w:rsidRPr="00CE7911">
        <w:rPr>
          <w:rFonts w:eastAsia="標楷體"/>
          <w:sz w:val="28"/>
          <w:szCs w:val="28"/>
        </w:rPr>
        <w:t>M2/GDP</w:t>
      </w:r>
      <w:r w:rsidRPr="00CE7911">
        <w:rPr>
          <w:rFonts w:eastAsia="標楷體"/>
          <w:sz w:val="28"/>
          <w:szCs w:val="28"/>
        </w:rPr>
        <w:t>為</w:t>
      </w:r>
      <w:r w:rsidRPr="00CE7911">
        <w:rPr>
          <w:rFonts w:eastAsia="標楷體"/>
          <w:sz w:val="28"/>
          <w:szCs w:val="28"/>
        </w:rPr>
        <w:t>202.7</w:t>
      </w:r>
      <w:r w:rsidR="00434A5B" w:rsidRPr="00CE7911">
        <w:rPr>
          <w:rFonts w:eastAsia="標楷體"/>
          <w:color w:val="000000" w:themeColor="text1"/>
          <w:kern w:val="0"/>
          <w:sz w:val="28"/>
          <w:szCs w:val="32"/>
        </w:rPr>
        <w:t>%</w:t>
      </w:r>
      <w:r w:rsidRPr="00CE7911">
        <w:rPr>
          <w:rFonts w:eastAsia="標楷體"/>
          <w:sz w:val="28"/>
          <w:szCs w:val="28"/>
        </w:rPr>
        <w:t>，亦較上年的</w:t>
      </w:r>
      <w:r w:rsidRPr="00CE7911">
        <w:rPr>
          <w:rFonts w:eastAsia="標楷體"/>
          <w:sz w:val="28"/>
          <w:szCs w:val="28"/>
        </w:rPr>
        <w:t>208.4</w:t>
      </w:r>
      <w:r w:rsidR="00434A5B" w:rsidRPr="00CE7911">
        <w:rPr>
          <w:rFonts w:eastAsia="標楷體"/>
          <w:color w:val="000000" w:themeColor="text1"/>
          <w:kern w:val="0"/>
          <w:sz w:val="28"/>
          <w:szCs w:val="32"/>
        </w:rPr>
        <w:t>%</w:t>
      </w:r>
      <w:r w:rsidRPr="00CE7911">
        <w:rPr>
          <w:rFonts w:eastAsia="標楷體"/>
          <w:sz w:val="28"/>
          <w:szCs w:val="28"/>
        </w:rPr>
        <w:t>減少</w:t>
      </w:r>
      <w:r w:rsidRPr="00CE7911">
        <w:rPr>
          <w:rFonts w:eastAsia="標楷體"/>
          <w:sz w:val="28"/>
          <w:szCs w:val="28"/>
        </w:rPr>
        <w:t>5.7</w:t>
      </w:r>
      <w:r w:rsidRPr="00CE7911">
        <w:rPr>
          <w:rFonts w:eastAsia="標楷體"/>
          <w:sz w:val="28"/>
          <w:szCs w:val="28"/>
        </w:rPr>
        <w:t>個百分點，為自</w:t>
      </w:r>
      <w:r w:rsidRPr="00CE7911">
        <w:rPr>
          <w:rFonts w:eastAsia="標楷體"/>
          <w:sz w:val="28"/>
          <w:szCs w:val="28"/>
        </w:rPr>
        <w:t>2011</w:t>
      </w:r>
      <w:r w:rsidRPr="00CE7911">
        <w:rPr>
          <w:rFonts w:eastAsia="標楷體"/>
          <w:sz w:val="28"/>
          <w:szCs w:val="28"/>
        </w:rPr>
        <w:t>年連續</w:t>
      </w:r>
      <w:r w:rsidRPr="00CE7911">
        <w:rPr>
          <w:rFonts w:eastAsia="標楷體"/>
          <w:sz w:val="28"/>
          <w:szCs w:val="28"/>
        </w:rPr>
        <w:t>6</w:t>
      </w:r>
      <w:r w:rsidRPr="00CE7911">
        <w:rPr>
          <w:rFonts w:eastAsia="標楷體"/>
          <w:sz w:val="28"/>
          <w:szCs w:val="28"/>
        </w:rPr>
        <w:t>年上升後首度下降，金融泡沫風險略為下降。</w:t>
      </w:r>
    </w:p>
    <w:p w:rsidR="00DC02F8" w:rsidRPr="00C70F20" w:rsidRDefault="00211BB9" w:rsidP="00DC02F8">
      <w:pPr>
        <w:tabs>
          <w:tab w:val="left" w:pos="567"/>
        </w:tabs>
        <w:spacing w:beforeLines="30" w:before="72" w:line="240" w:lineRule="atLeast"/>
        <w:ind w:left="567"/>
        <w:jc w:val="both"/>
        <w:rPr>
          <w:rFonts w:ascii="標楷體" w:eastAsia="標楷體" w:hAnsi="標楷體" w:cstheme="minorBidi"/>
          <w:color w:val="FF0000"/>
          <w:sz w:val="28"/>
          <w:szCs w:val="28"/>
        </w:rPr>
      </w:pPr>
      <w:r w:rsidRPr="00211BB9">
        <w:rPr>
          <w:rFonts w:ascii="標楷體" w:eastAsia="標楷體" w:hAnsi="標楷體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9BD489B" wp14:editId="7D974B0E">
                <wp:simplePos x="0" y="0"/>
                <wp:positionH relativeFrom="column">
                  <wp:posOffset>5123815</wp:posOffset>
                </wp:positionH>
                <wp:positionV relativeFrom="paragraph">
                  <wp:posOffset>226695</wp:posOffset>
                </wp:positionV>
                <wp:extent cx="311150" cy="140398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F1A" w:rsidRDefault="00902F1A" w:rsidP="00211BB9">
                            <w:r>
                              <w:rPr>
                                <w:rFonts w:hint="eastAsia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3.45pt;margin-top:17.85pt;width:24.5pt;height:110.5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" filled="f" stroked="f">
                <v:textbox style="mso-fit-shape-to-text:t">
                  <w:txbxContent>
                    <w:p w:rsidR="00902F1A" w:rsidRDefault="00902F1A" w:rsidP="00211BB9">
                      <w:r>
                        <w:rPr>
                          <w:rFonts w:hint="eastAsi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211BB9">
        <w:rPr>
          <w:rFonts w:ascii="標楷體" w:eastAsia="標楷體" w:hAnsi="標楷體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B8BCE2" wp14:editId="3333151A">
                <wp:simplePos x="0" y="0"/>
                <wp:positionH relativeFrom="column">
                  <wp:posOffset>517525</wp:posOffset>
                </wp:positionH>
                <wp:positionV relativeFrom="paragraph">
                  <wp:posOffset>219999</wp:posOffset>
                </wp:positionV>
                <wp:extent cx="311150" cy="140398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F1A" w:rsidRDefault="00902F1A">
                            <w:r>
                              <w:rPr>
                                <w:rFonts w:hint="eastAsia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.75pt;margin-top:17.3pt;width:24.5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" filled="f" stroked="f">
                <v:textbox style="mso-fit-shape-to-text:t">
                  <w:txbxContent>
                    <w:p w:rsidR="00902F1A" w:rsidRDefault="00902F1A">
                      <w:r>
                        <w:rPr>
                          <w:rFonts w:hint="eastAsi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DC02F8" w:rsidRPr="00C70F20">
        <w:rPr>
          <w:rFonts w:ascii="標楷體" w:eastAsia="標楷體" w:hAnsi="標楷體"/>
          <w:noProof/>
        </w:rPr>
        <w:drawing>
          <wp:inline distT="0" distB="0" distL="0" distR="0" wp14:anchorId="548023D6" wp14:editId="52EBA188">
            <wp:extent cx="5354782" cy="2743200"/>
            <wp:effectExtent l="0" t="0" r="0" b="0"/>
            <wp:docPr id="11" name="圖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C02F8" w:rsidRPr="00C70F20" w:rsidRDefault="00DC02F8" w:rsidP="00DC02F8">
      <w:pPr>
        <w:ind w:leftChars="118" w:left="283" w:firstLineChars="177" w:firstLine="354"/>
        <w:rPr>
          <w:rFonts w:ascii="標楷體" w:eastAsia="標楷體" w:hAnsi="標楷體" w:cstheme="minorBidi"/>
          <w:sz w:val="20"/>
          <w:szCs w:val="20"/>
        </w:rPr>
      </w:pPr>
      <w:r w:rsidRPr="00C70F20">
        <w:rPr>
          <w:rFonts w:ascii="標楷體" w:eastAsia="標楷體" w:hAnsi="標楷體" w:cstheme="minorBidi" w:hint="eastAsia"/>
          <w:sz w:val="20"/>
          <w:szCs w:val="20"/>
        </w:rPr>
        <w:t>資料來源：</w:t>
      </w:r>
      <w:r w:rsidRPr="00C70F20">
        <w:rPr>
          <w:rFonts w:ascii="標楷體" w:eastAsia="標楷體" w:hAnsi="標楷體" w:cstheme="minorBidi"/>
          <w:sz w:val="20"/>
          <w:szCs w:val="20"/>
        </w:rPr>
        <w:t>CEIC</w:t>
      </w:r>
      <w:r w:rsidRPr="00C70F20">
        <w:rPr>
          <w:rFonts w:ascii="標楷體" w:eastAsia="標楷體" w:hAnsi="標楷體" w:cstheme="minorBidi" w:hint="eastAsia"/>
          <w:sz w:val="20"/>
          <w:szCs w:val="20"/>
        </w:rPr>
        <w:t>，經濟處製圖。</w:t>
      </w:r>
    </w:p>
    <w:p w:rsidR="00DC02F8" w:rsidRPr="00C70F20" w:rsidRDefault="00DC02F8" w:rsidP="00DC02F8">
      <w:pPr>
        <w:ind w:left="567"/>
        <w:jc w:val="center"/>
        <w:rPr>
          <w:rFonts w:ascii="標楷體" w:eastAsia="標楷體" w:hAnsi="標楷體" w:cstheme="minorBidi"/>
          <w:b/>
          <w:sz w:val="28"/>
          <w:szCs w:val="28"/>
        </w:rPr>
      </w:pPr>
      <w:r w:rsidRPr="00C70F20">
        <w:rPr>
          <w:rFonts w:ascii="標楷體" w:eastAsia="標楷體" w:hAnsi="標楷體" w:cstheme="minorBidi" w:hint="eastAsia"/>
          <w:b/>
          <w:sz w:val="28"/>
          <w:szCs w:val="28"/>
        </w:rPr>
        <w:t>圖</w:t>
      </w:r>
      <w:r w:rsidR="00BF71E4">
        <w:rPr>
          <w:rFonts w:ascii="標楷體" w:eastAsia="標楷體" w:hAnsi="標楷體" w:cstheme="minorBidi" w:hint="eastAsia"/>
          <w:b/>
          <w:sz w:val="28"/>
          <w:szCs w:val="28"/>
        </w:rPr>
        <w:t>1-3</w:t>
      </w:r>
      <w:r w:rsidRPr="00C70F20">
        <w:rPr>
          <w:rFonts w:ascii="標楷體" w:eastAsia="標楷體" w:hAnsi="標楷體" w:cstheme="minorBidi" w:hint="eastAsia"/>
          <w:b/>
          <w:sz w:val="28"/>
          <w:szCs w:val="28"/>
        </w:rPr>
        <w:t xml:space="preserve">  M2/GDP比重、M1及</w:t>
      </w:r>
      <w:r w:rsidRPr="00C70F20">
        <w:rPr>
          <w:rFonts w:ascii="標楷體" w:eastAsia="標楷體" w:hAnsi="標楷體" w:cstheme="minorBidi"/>
          <w:b/>
          <w:sz w:val="28"/>
          <w:szCs w:val="28"/>
        </w:rPr>
        <w:t>M</w:t>
      </w:r>
      <w:r w:rsidRPr="00C70F20">
        <w:rPr>
          <w:rFonts w:ascii="標楷體" w:eastAsia="標楷體" w:hAnsi="標楷體" w:cstheme="minorBidi" w:hint="eastAsia"/>
          <w:b/>
          <w:sz w:val="28"/>
          <w:szCs w:val="28"/>
        </w:rPr>
        <w:t>2年增率</w:t>
      </w:r>
    </w:p>
    <w:p w:rsidR="00DC02F8" w:rsidRPr="00C70F20" w:rsidRDefault="00DC02F8" w:rsidP="003E7BB4">
      <w:pPr>
        <w:widowControl/>
        <w:numPr>
          <w:ilvl w:val="0"/>
          <w:numId w:val="10"/>
        </w:numPr>
        <w:tabs>
          <w:tab w:val="left" w:pos="567"/>
        </w:tabs>
        <w:autoSpaceDE w:val="0"/>
        <w:snapToGrid w:val="0"/>
        <w:spacing w:beforeLines="25" w:before="60" w:line="480" w:lineRule="exact"/>
        <w:ind w:left="669" w:hanging="669"/>
        <w:jc w:val="both"/>
        <w:rPr>
          <w:rFonts w:ascii="標楷體" w:eastAsia="標楷體" w:hAnsi="標楷體"/>
          <w:b/>
          <w:sz w:val="28"/>
          <w:szCs w:val="32"/>
        </w:rPr>
      </w:pPr>
      <w:r w:rsidRPr="00C70F20">
        <w:rPr>
          <w:rFonts w:ascii="標楷體" w:eastAsia="標楷體" w:hAnsi="標楷體" w:hint="eastAsia"/>
          <w:b/>
          <w:sz w:val="28"/>
          <w:szCs w:val="32"/>
        </w:rPr>
        <w:t>社會融資規模續創新高</w:t>
      </w:r>
    </w:p>
    <w:p w:rsidR="00DC02F8" w:rsidRPr="00CE7911" w:rsidRDefault="00DC02F8" w:rsidP="00DC02F8">
      <w:pPr>
        <w:tabs>
          <w:tab w:val="left" w:pos="567"/>
        </w:tabs>
        <w:spacing w:beforeLines="30" w:before="72" w:line="480" w:lineRule="exact"/>
        <w:ind w:left="567" w:firstLineChars="202" w:firstLine="566"/>
        <w:jc w:val="both"/>
        <w:rPr>
          <w:rFonts w:eastAsia="標楷體"/>
          <w:sz w:val="28"/>
          <w:szCs w:val="28"/>
        </w:rPr>
      </w:pPr>
      <w:r w:rsidRPr="00CE7911">
        <w:rPr>
          <w:rFonts w:eastAsia="標楷體"/>
          <w:sz w:val="28"/>
          <w:szCs w:val="28"/>
        </w:rPr>
        <w:t>2017</w:t>
      </w:r>
      <w:r w:rsidRPr="00CE7911">
        <w:rPr>
          <w:rFonts w:eastAsia="標楷體"/>
          <w:sz w:val="28"/>
          <w:szCs w:val="28"/>
        </w:rPr>
        <w:t>年底全年社會融資規模存量為</w:t>
      </w:r>
      <w:r w:rsidRPr="00CE7911">
        <w:rPr>
          <w:rFonts w:eastAsia="標楷體"/>
          <w:sz w:val="28"/>
          <w:szCs w:val="28"/>
        </w:rPr>
        <w:t>174.6</w:t>
      </w:r>
      <w:r w:rsidRPr="00CE7911">
        <w:rPr>
          <w:rFonts w:eastAsia="標楷體"/>
          <w:sz w:val="28"/>
          <w:szCs w:val="28"/>
        </w:rPr>
        <w:t>兆元</w:t>
      </w:r>
      <w:r w:rsidR="00A9590D" w:rsidRPr="00CE7911">
        <w:rPr>
          <w:rFonts w:eastAsia="標楷體"/>
          <w:sz w:val="28"/>
          <w:szCs w:val="28"/>
        </w:rPr>
        <w:t>人民幣</w:t>
      </w:r>
      <w:r w:rsidR="00A9590D" w:rsidRPr="00CE7911">
        <w:rPr>
          <w:rFonts w:eastAsia="標楷體"/>
          <w:sz w:val="28"/>
          <w:szCs w:val="28"/>
        </w:rPr>
        <w:t>(</w:t>
      </w:r>
      <w:r w:rsidR="00A9590D" w:rsidRPr="00CE7911">
        <w:rPr>
          <w:rFonts w:eastAsia="標楷體"/>
          <w:sz w:val="28"/>
          <w:szCs w:val="28"/>
        </w:rPr>
        <w:t>以下同</w:t>
      </w:r>
      <w:r w:rsidR="00A9590D" w:rsidRPr="00CE7911">
        <w:rPr>
          <w:rFonts w:eastAsia="標楷體"/>
          <w:sz w:val="28"/>
          <w:szCs w:val="28"/>
        </w:rPr>
        <w:t>)</w:t>
      </w:r>
      <w:r w:rsidRPr="00CE7911">
        <w:rPr>
          <w:rFonts w:eastAsia="標楷體"/>
          <w:sz w:val="28"/>
          <w:szCs w:val="28"/>
        </w:rPr>
        <w:t>，較上年增加</w:t>
      </w:r>
      <w:r w:rsidRPr="00CE7911">
        <w:rPr>
          <w:rFonts w:eastAsia="標楷體"/>
          <w:sz w:val="28"/>
          <w:szCs w:val="28"/>
        </w:rPr>
        <w:t>1</w:t>
      </w:r>
      <w:r w:rsidR="007C72BB">
        <w:rPr>
          <w:rFonts w:eastAsia="標楷體" w:hint="eastAsia"/>
          <w:sz w:val="28"/>
          <w:szCs w:val="28"/>
        </w:rPr>
        <w:t>9</w:t>
      </w:r>
      <w:r w:rsidRPr="00CE7911">
        <w:rPr>
          <w:rFonts w:eastAsia="標楷體"/>
          <w:sz w:val="28"/>
          <w:szCs w:val="28"/>
        </w:rPr>
        <w:t>.</w:t>
      </w:r>
      <w:r w:rsidR="007C72BB">
        <w:rPr>
          <w:rFonts w:eastAsia="標楷體" w:hint="eastAsia"/>
          <w:sz w:val="28"/>
          <w:szCs w:val="28"/>
        </w:rPr>
        <w:t>4</w:t>
      </w:r>
      <w:r w:rsidRPr="00CE7911">
        <w:rPr>
          <w:rFonts w:eastAsia="標楷體"/>
          <w:sz w:val="28"/>
          <w:szCs w:val="28"/>
        </w:rPr>
        <w:t>兆元，為歷年最高；惟年增率僅</w:t>
      </w:r>
      <w:r w:rsidRPr="00CE7911">
        <w:rPr>
          <w:rFonts w:eastAsia="標楷體"/>
          <w:sz w:val="28"/>
          <w:szCs w:val="28"/>
        </w:rPr>
        <w:t>12</w:t>
      </w:r>
      <w:r w:rsidR="00024DE4" w:rsidRPr="00CE7911">
        <w:rPr>
          <w:rFonts w:eastAsia="標楷體"/>
          <w:color w:val="000000" w:themeColor="text1"/>
          <w:kern w:val="0"/>
          <w:sz w:val="28"/>
          <w:szCs w:val="32"/>
        </w:rPr>
        <w:t>%</w:t>
      </w:r>
      <w:r w:rsidRPr="00CE7911">
        <w:rPr>
          <w:rFonts w:eastAsia="標楷體"/>
          <w:sz w:val="28"/>
          <w:szCs w:val="28"/>
        </w:rPr>
        <w:t>，增幅為近</w:t>
      </w:r>
      <w:r w:rsidRPr="00CE7911">
        <w:rPr>
          <w:rFonts w:eastAsia="標楷體"/>
          <w:sz w:val="28"/>
          <w:szCs w:val="28"/>
        </w:rPr>
        <w:t>5</w:t>
      </w:r>
      <w:r w:rsidRPr="00CE7911">
        <w:rPr>
          <w:rFonts w:eastAsia="標楷體"/>
          <w:sz w:val="28"/>
          <w:szCs w:val="28"/>
        </w:rPr>
        <w:t>年最低。分析</w:t>
      </w:r>
      <w:r w:rsidRPr="00CE7911">
        <w:rPr>
          <w:rFonts w:eastAsia="標楷體"/>
          <w:sz w:val="28"/>
          <w:szCs w:val="28"/>
        </w:rPr>
        <w:t>2017</w:t>
      </w:r>
      <w:r w:rsidRPr="00CE7911">
        <w:rPr>
          <w:rFonts w:eastAsia="標楷體"/>
          <w:sz w:val="28"/>
          <w:szCs w:val="28"/>
        </w:rPr>
        <w:t>年的社會融資規模增量</w:t>
      </w:r>
      <w:r w:rsidRPr="00CE7911">
        <w:rPr>
          <w:rFonts w:eastAsia="標楷體"/>
          <w:sz w:val="28"/>
          <w:szCs w:val="28"/>
        </w:rPr>
        <w:t>(</w:t>
      </w:r>
      <w:r w:rsidRPr="00CE7911">
        <w:rPr>
          <w:rFonts w:eastAsia="標楷體"/>
          <w:sz w:val="28"/>
          <w:szCs w:val="28"/>
        </w:rPr>
        <w:t>圖</w:t>
      </w:r>
      <w:r w:rsidR="00BF71E4" w:rsidRPr="00CE7911">
        <w:rPr>
          <w:rFonts w:eastAsia="標楷體"/>
          <w:sz w:val="28"/>
          <w:szCs w:val="28"/>
        </w:rPr>
        <w:t>1-4</w:t>
      </w:r>
      <w:r w:rsidRPr="00CE7911">
        <w:rPr>
          <w:rFonts w:eastAsia="標楷體"/>
          <w:sz w:val="28"/>
          <w:szCs w:val="28"/>
        </w:rPr>
        <w:t>)</w:t>
      </w:r>
      <w:r w:rsidRPr="00CE7911">
        <w:rPr>
          <w:rFonts w:eastAsia="標楷體"/>
          <w:sz w:val="28"/>
          <w:szCs w:val="28"/>
        </w:rPr>
        <w:t>，說明如下：</w:t>
      </w:r>
    </w:p>
    <w:p w:rsidR="00DC02F8" w:rsidRPr="00CE7911" w:rsidRDefault="00DC02F8" w:rsidP="00DC02F8">
      <w:pPr>
        <w:spacing w:beforeLines="30" w:before="72" w:line="480" w:lineRule="exact"/>
        <w:ind w:leftChars="236" w:left="849" w:hangingChars="101" w:hanging="283"/>
        <w:jc w:val="both"/>
        <w:rPr>
          <w:rFonts w:eastAsia="標楷體"/>
          <w:sz w:val="28"/>
          <w:szCs w:val="28"/>
        </w:rPr>
      </w:pPr>
      <w:proofErr w:type="gramStart"/>
      <w:r w:rsidRPr="00CE7911">
        <w:rPr>
          <w:rFonts w:eastAsia="標楷體"/>
          <w:sz w:val="28"/>
          <w:szCs w:val="28"/>
        </w:rPr>
        <w:t>─</w:t>
      </w:r>
      <w:proofErr w:type="gramEnd"/>
      <w:r w:rsidRPr="00CE7911">
        <w:rPr>
          <w:rFonts w:eastAsia="標楷體"/>
          <w:b/>
          <w:sz w:val="28"/>
          <w:szCs w:val="28"/>
        </w:rPr>
        <w:t>銀行貸款增量續創新高</w:t>
      </w:r>
      <w:r w:rsidRPr="00CE7911">
        <w:rPr>
          <w:rFonts w:eastAsia="標楷體"/>
          <w:sz w:val="28"/>
          <w:szCs w:val="28"/>
        </w:rPr>
        <w:t>：</w:t>
      </w:r>
      <w:r w:rsidRPr="00CE7911">
        <w:rPr>
          <w:rFonts w:eastAsia="標楷體"/>
          <w:sz w:val="28"/>
          <w:szCs w:val="28"/>
        </w:rPr>
        <w:t>2017</w:t>
      </w:r>
      <w:r w:rsidRPr="00CE7911">
        <w:rPr>
          <w:rFonts w:eastAsia="標楷體"/>
          <w:sz w:val="28"/>
          <w:szCs w:val="28"/>
        </w:rPr>
        <w:t>年銀行貸款（包括人民幣貸款及外幣貸款）增量達</w:t>
      </w:r>
      <w:r w:rsidRPr="00CE7911">
        <w:rPr>
          <w:rFonts w:eastAsia="標楷體"/>
          <w:sz w:val="28"/>
          <w:szCs w:val="28"/>
        </w:rPr>
        <w:t>13.8</w:t>
      </w:r>
      <w:r w:rsidRPr="00CE7911">
        <w:rPr>
          <w:rFonts w:eastAsia="標楷體"/>
          <w:sz w:val="28"/>
          <w:szCs w:val="28"/>
        </w:rPr>
        <w:t>兆元，占社會融資規模比重為</w:t>
      </w:r>
      <w:r w:rsidRPr="00CE7911">
        <w:rPr>
          <w:rFonts w:eastAsia="標楷體"/>
          <w:sz w:val="28"/>
          <w:szCs w:val="28"/>
        </w:rPr>
        <w:t>71.2</w:t>
      </w:r>
      <w:r w:rsidR="00434A5B" w:rsidRPr="00CE7911">
        <w:rPr>
          <w:rFonts w:eastAsia="標楷體"/>
          <w:kern w:val="0"/>
          <w:sz w:val="28"/>
          <w:szCs w:val="32"/>
        </w:rPr>
        <w:t>%</w:t>
      </w:r>
      <w:r w:rsidRPr="00CE7911">
        <w:rPr>
          <w:rFonts w:eastAsia="標楷體"/>
          <w:sz w:val="28"/>
          <w:szCs w:val="28"/>
        </w:rPr>
        <w:t>，金額及比重皆創下歷年最高。</w:t>
      </w:r>
    </w:p>
    <w:p w:rsidR="00DC02F8" w:rsidRPr="00CE7911" w:rsidRDefault="00DC02F8" w:rsidP="00DC02F8">
      <w:pPr>
        <w:spacing w:beforeLines="30" w:before="72" w:line="480" w:lineRule="exact"/>
        <w:ind w:leftChars="236" w:left="849" w:hangingChars="101" w:hanging="283"/>
        <w:jc w:val="both"/>
        <w:rPr>
          <w:rFonts w:eastAsia="標楷體"/>
          <w:sz w:val="28"/>
          <w:szCs w:val="28"/>
        </w:rPr>
      </w:pPr>
      <w:proofErr w:type="gramStart"/>
      <w:r w:rsidRPr="00CE7911">
        <w:rPr>
          <w:rFonts w:eastAsia="標楷體"/>
          <w:sz w:val="28"/>
          <w:szCs w:val="28"/>
        </w:rPr>
        <w:t>─</w:t>
      </w:r>
      <w:proofErr w:type="gramEnd"/>
      <w:r w:rsidRPr="00CE7911">
        <w:rPr>
          <w:rFonts w:eastAsia="標楷體"/>
          <w:b/>
          <w:sz w:val="28"/>
          <w:szCs w:val="28"/>
        </w:rPr>
        <w:t>表外融資金額大幅回升：</w:t>
      </w:r>
      <w:r w:rsidRPr="00CE7911">
        <w:rPr>
          <w:rFonts w:eastAsia="標楷體"/>
          <w:sz w:val="28"/>
          <w:szCs w:val="28"/>
        </w:rPr>
        <w:t>2017</w:t>
      </w:r>
      <w:r w:rsidRPr="00CE7911">
        <w:rPr>
          <w:rFonts w:eastAsia="標楷體"/>
          <w:sz w:val="28"/>
          <w:szCs w:val="28"/>
        </w:rPr>
        <w:t>年表外融資</w:t>
      </w:r>
      <w:r w:rsidRPr="00CE7911">
        <w:rPr>
          <w:rFonts w:eastAsia="標楷體"/>
          <w:sz w:val="28"/>
          <w:szCs w:val="28"/>
        </w:rPr>
        <w:t>(</w:t>
      </w:r>
      <w:r w:rsidRPr="00CE7911">
        <w:rPr>
          <w:rFonts w:eastAsia="標楷體"/>
          <w:sz w:val="28"/>
          <w:szCs w:val="28"/>
        </w:rPr>
        <w:t>包括委託貸款、信託貸款</w:t>
      </w:r>
      <w:r w:rsidRPr="00CE7911">
        <w:rPr>
          <w:rFonts w:eastAsia="標楷體"/>
          <w:sz w:val="28"/>
          <w:szCs w:val="28"/>
        </w:rPr>
        <w:lastRenderedPageBreak/>
        <w:t>及未貼現銀行承兌匯票</w:t>
      </w:r>
      <w:r w:rsidRPr="00CE7911">
        <w:rPr>
          <w:rFonts w:eastAsia="標楷體"/>
          <w:sz w:val="28"/>
          <w:szCs w:val="28"/>
        </w:rPr>
        <w:t>)</w:t>
      </w:r>
      <w:r w:rsidRPr="00CE7911">
        <w:rPr>
          <w:rFonts w:eastAsia="標楷體"/>
          <w:sz w:val="28"/>
          <w:szCs w:val="28"/>
        </w:rPr>
        <w:t>合計增加</w:t>
      </w:r>
      <w:r w:rsidRPr="00CE7911">
        <w:rPr>
          <w:rFonts w:eastAsia="標楷體"/>
          <w:sz w:val="28"/>
          <w:szCs w:val="28"/>
        </w:rPr>
        <w:t>3.6</w:t>
      </w:r>
      <w:r w:rsidRPr="00CE7911">
        <w:rPr>
          <w:rFonts w:eastAsia="標楷體"/>
          <w:sz w:val="28"/>
          <w:szCs w:val="28"/>
        </w:rPr>
        <w:t>兆元，金額連續</w:t>
      </w:r>
      <w:r w:rsidRPr="00CE7911">
        <w:rPr>
          <w:rFonts w:eastAsia="標楷體"/>
          <w:sz w:val="28"/>
          <w:szCs w:val="28"/>
        </w:rPr>
        <w:t>3</w:t>
      </w:r>
      <w:r w:rsidRPr="00CE7911">
        <w:rPr>
          <w:rFonts w:eastAsia="標楷體"/>
          <w:sz w:val="28"/>
          <w:szCs w:val="28"/>
        </w:rPr>
        <w:t>年攀升；</w:t>
      </w:r>
      <w:proofErr w:type="gramStart"/>
      <w:r w:rsidRPr="00CE7911">
        <w:rPr>
          <w:rFonts w:eastAsia="標楷體"/>
          <w:sz w:val="28"/>
          <w:szCs w:val="28"/>
        </w:rPr>
        <w:t>且表外</w:t>
      </w:r>
      <w:proofErr w:type="gramEnd"/>
      <w:r w:rsidRPr="00CE7911">
        <w:rPr>
          <w:rFonts w:eastAsia="標楷體"/>
          <w:sz w:val="28"/>
          <w:szCs w:val="28"/>
        </w:rPr>
        <w:t>融資占整體社會融資規模的比重，由</w:t>
      </w:r>
      <w:r w:rsidRPr="00CE7911">
        <w:rPr>
          <w:rFonts w:eastAsia="標楷體"/>
          <w:sz w:val="28"/>
          <w:szCs w:val="28"/>
        </w:rPr>
        <w:t>3.</w:t>
      </w:r>
      <w:r w:rsidR="002B447C">
        <w:rPr>
          <w:rFonts w:eastAsia="標楷體" w:hint="eastAsia"/>
          <w:sz w:val="28"/>
          <w:szCs w:val="28"/>
        </w:rPr>
        <w:t>8</w:t>
      </w:r>
      <w:r w:rsidR="00434A5B" w:rsidRPr="00CE7911">
        <w:rPr>
          <w:rFonts w:eastAsia="標楷體"/>
          <w:color w:val="000000" w:themeColor="text1"/>
          <w:kern w:val="0"/>
          <w:sz w:val="28"/>
          <w:szCs w:val="32"/>
        </w:rPr>
        <w:t>%</w:t>
      </w:r>
      <w:r w:rsidRPr="00CE7911">
        <w:rPr>
          <w:rFonts w:eastAsia="標楷體"/>
          <w:sz w:val="28"/>
          <w:szCs w:val="28"/>
        </w:rPr>
        <w:t>（</w:t>
      </w:r>
      <w:r w:rsidRPr="00CE7911">
        <w:rPr>
          <w:rFonts w:eastAsia="標楷體"/>
          <w:sz w:val="28"/>
          <w:szCs w:val="28"/>
        </w:rPr>
        <w:t>2015</w:t>
      </w:r>
      <w:r w:rsidRPr="00CE7911">
        <w:rPr>
          <w:rFonts w:eastAsia="標楷體"/>
          <w:sz w:val="28"/>
          <w:szCs w:val="28"/>
        </w:rPr>
        <w:t>年）、</w:t>
      </w:r>
      <w:r w:rsidRPr="00CE7911">
        <w:rPr>
          <w:rFonts w:eastAsia="標楷體"/>
          <w:sz w:val="28"/>
          <w:szCs w:val="28"/>
        </w:rPr>
        <w:t>6.1</w:t>
      </w:r>
      <w:r w:rsidR="00434A5B" w:rsidRPr="00CE7911">
        <w:rPr>
          <w:rFonts w:eastAsia="標楷體"/>
          <w:color w:val="000000" w:themeColor="text1"/>
          <w:kern w:val="0"/>
          <w:sz w:val="28"/>
          <w:szCs w:val="32"/>
        </w:rPr>
        <w:t>%</w:t>
      </w:r>
      <w:r w:rsidRPr="00CE7911">
        <w:rPr>
          <w:rFonts w:eastAsia="標楷體"/>
          <w:sz w:val="28"/>
          <w:szCs w:val="28"/>
        </w:rPr>
        <w:t>（</w:t>
      </w:r>
      <w:r w:rsidRPr="00CE7911">
        <w:rPr>
          <w:rFonts w:eastAsia="標楷體"/>
          <w:sz w:val="28"/>
          <w:szCs w:val="28"/>
        </w:rPr>
        <w:t>2016</w:t>
      </w:r>
      <w:r w:rsidRPr="00CE7911">
        <w:rPr>
          <w:rFonts w:eastAsia="標楷體"/>
          <w:sz w:val="28"/>
          <w:szCs w:val="28"/>
        </w:rPr>
        <w:t>年）大幅上升至</w:t>
      </w:r>
      <w:r w:rsidRPr="00CE7911">
        <w:rPr>
          <w:rFonts w:eastAsia="標楷體"/>
          <w:sz w:val="28"/>
          <w:szCs w:val="28"/>
        </w:rPr>
        <w:t>18.4</w:t>
      </w:r>
      <w:r w:rsidR="00024DE4" w:rsidRPr="00CE7911">
        <w:rPr>
          <w:rFonts w:eastAsia="標楷體"/>
          <w:color w:val="000000" w:themeColor="text1"/>
          <w:kern w:val="0"/>
          <w:sz w:val="28"/>
          <w:szCs w:val="32"/>
        </w:rPr>
        <w:t>%</w:t>
      </w:r>
      <w:r w:rsidRPr="00CE7911">
        <w:rPr>
          <w:rFonts w:eastAsia="標楷體"/>
          <w:sz w:val="28"/>
          <w:szCs w:val="28"/>
        </w:rPr>
        <w:t>（</w:t>
      </w:r>
      <w:r w:rsidRPr="00CE7911">
        <w:rPr>
          <w:rFonts w:eastAsia="標楷體"/>
          <w:sz w:val="28"/>
          <w:szCs w:val="28"/>
        </w:rPr>
        <w:t>2017</w:t>
      </w:r>
      <w:r w:rsidRPr="00CE7911">
        <w:rPr>
          <w:rFonts w:eastAsia="標楷體"/>
          <w:sz w:val="28"/>
          <w:szCs w:val="28"/>
        </w:rPr>
        <w:t>年），顯示中國大陸表外融資有回升跡象，值得關注。</w:t>
      </w:r>
    </w:p>
    <w:p w:rsidR="00DC02F8" w:rsidRPr="00CE7911" w:rsidRDefault="00DC02F8" w:rsidP="00DC02F8">
      <w:pPr>
        <w:spacing w:beforeLines="30" w:before="72" w:afterLines="50" w:after="120" w:line="480" w:lineRule="exact"/>
        <w:ind w:leftChars="236" w:left="849" w:hangingChars="101" w:hanging="283"/>
        <w:jc w:val="both"/>
        <w:rPr>
          <w:rFonts w:eastAsia="標楷體"/>
          <w:sz w:val="28"/>
          <w:szCs w:val="28"/>
        </w:rPr>
      </w:pPr>
      <w:proofErr w:type="gramStart"/>
      <w:r w:rsidRPr="00CE7911">
        <w:rPr>
          <w:rFonts w:eastAsia="標楷體"/>
          <w:b/>
          <w:sz w:val="28"/>
          <w:szCs w:val="28"/>
        </w:rPr>
        <w:t>─</w:t>
      </w:r>
      <w:proofErr w:type="gramEnd"/>
      <w:r w:rsidRPr="00CE7911">
        <w:rPr>
          <w:rFonts w:eastAsia="標楷體"/>
          <w:b/>
          <w:sz w:val="28"/>
          <w:szCs w:val="28"/>
        </w:rPr>
        <w:t>資本市場融資歷年最低</w:t>
      </w:r>
      <w:r w:rsidRPr="00CE7911">
        <w:rPr>
          <w:rFonts w:eastAsia="標楷體"/>
          <w:sz w:val="28"/>
          <w:szCs w:val="28"/>
        </w:rPr>
        <w:t>：</w:t>
      </w:r>
      <w:r w:rsidRPr="00CE7911">
        <w:rPr>
          <w:rFonts w:eastAsia="標楷體"/>
          <w:sz w:val="28"/>
          <w:szCs w:val="28"/>
        </w:rPr>
        <w:t>2017</w:t>
      </w:r>
      <w:r w:rsidRPr="00CE7911">
        <w:rPr>
          <w:rFonts w:eastAsia="標楷體"/>
          <w:sz w:val="28"/>
          <w:szCs w:val="28"/>
        </w:rPr>
        <w:t>年資本市場融資（包括公司債及股票）合計增加</w:t>
      </w:r>
      <w:r w:rsidRPr="00CE7911">
        <w:rPr>
          <w:rFonts w:eastAsia="標楷體"/>
          <w:sz w:val="28"/>
          <w:szCs w:val="28"/>
        </w:rPr>
        <w:t>1.3</w:t>
      </w:r>
      <w:r w:rsidRPr="00CE7911">
        <w:rPr>
          <w:rFonts w:eastAsia="標楷體"/>
          <w:sz w:val="28"/>
          <w:szCs w:val="28"/>
        </w:rPr>
        <w:t>兆元，為</w:t>
      </w:r>
      <w:r w:rsidR="00A9590D" w:rsidRPr="00CE7911">
        <w:rPr>
          <w:rFonts w:eastAsia="標楷體"/>
          <w:sz w:val="28"/>
          <w:szCs w:val="28"/>
        </w:rPr>
        <w:t>近</w:t>
      </w:r>
      <w:r w:rsidRPr="00CE7911">
        <w:rPr>
          <w:rFonts w:eastAsia="標楷體"/>
          <w:sz w:val="28"/>
          <w:szCs w:val="28"/>
        </w:rPr>
        <w:t>6</w:t>
      </w:r>
      <w:r w:rsidRPr="00CE7911">
        <w:rPr>
          <w:rFonts w:eastAsia="標楷體"/>
          <w:sz w:val="28"/>
          <w:szCs w:val="28"/>
        </w:rPr>
        <w:t>年來最低；且資本市場融資占整體社會融資規模的比重，由</w:t>
      </w:r>
      <w:r w:rsidRPr="00CE7911">
        <w:rPr>
          <w:rFonts w:eastAsia="標楷體"/>
          <w:sz w:val="28"/>
          <w:szCs w:val="28"/>
        </w:rPr>
        <w:t>23.</w:t>
      </w:r>
      <w:r w:rsidR="002B447C">
        <w:rPr>
          <w:rFonts w:eastAsia="標楷體" w:hint="eastAsia"/>
          <w:sz w:val="28"/>
          <w:szCs w:val="28"/>
        </w:rPr>
        <w:t>8</w:t>
      </w:r>
      <w:r w:rsidR="00434A5B" w:rsidRPr="00CE7911">
        <w:rPr>
          <w:rFonts w:eastAsia="標楷體"/>
          <w:color w:val="000000" w:themeColor="text1"/>
          <w:kern w:val="0"/>
          <w:sz w:val="28"/>
          <w:szCs w:val="32"/>
        </w:rPr>
        <w:t>%</w:t>
      </w:r>
      <w:r w:rsidRPr="00CE7911">
        <w:rPr>
          <w:rFonts w:eastAsia="標楷體"/>
          <w:sz w:val="28"/>
          <w:szCs w:val="28"/>
        </w:rPr>
        <w:t>（</w:t>
      </w:r>
      <w:r w:rsidRPr="00CE7911">
        <w:rPr>
          <w:rFonts w:eastAsia="標楷體"/>
          <w:sz w:val="28"/>
          <w:szCs w:val="28"/>
        </w:rPr>
        <w:t>2016</w:t>
      </w:r>
      <w:r w:rsidRPr="00CE7911">
        <w:rPr>
          <w:rFonts w:eastAsia="標楷體"/>
          <w:sz w:val="28"/>
          <w:szCs w:val="28"/>
        </w:rPr>
        <w:t>年）大幅降至</w:t>
      </w:r>
      <w:r w:rsidRPr="00CE7911">
        <w:rPr>
          <w:rFonts w:eastAsia="標楷體"/>
          <w:sz w:val="28"/>
          <w:szCs w:val="28"/>
        </w:rPr>
        <w:t>6.</w:t>
      </w:r>
      <w:r w:rsidR="002B447C">
        <w:rPr>
          <w:rFonts w:eastAsia="標楷體" w:hint="eastAsia"/>
          <w:sz w:val="28"/>
          <w:szCs w:val="28"/>
        </w:rPr>
        <w:t>8</w:t>
      </w:r>
      <w:r w:rsidR="00434A5B" w:rsidRPr="00CE7911">
        <w:rPr>
          <w:rFonts w:eastAsia="標楷體"/>
          <w:color w:val="000000" w:themeColor="text1"/>
          <w:kern w:val="0"/>
          <w:sz w:val="28"/>
          <w:szCs w:val="32"/>
        </w:rPr>
        <w:t>%</w:t>
      </w:r>
      <w:r w:rsidRPr="00CE7911">
        <w:rPr>
          <w:rFonts w:eastAsia="標楷體"/>
          <w:sz w:val="28"/>
          <w:szCs w:val="28"/>
        </w:rPr>
        <w:t>（</w:t>
      </w:r>
      <w:r w:rsidRPr="00CE7911">
        <w:rPr>
          <w:rFonts w:eastAsia="標楷體"/>
          <w:sz w:val="28"/>
          <w:szCs w:val="28"/>
        </w:rPr>
        <w:t>2017</w:t>
      </w:r>
      <w:r w:rsidRPr="00CE7911">
        <w:rPr>
          <w:rFonts w:eastAsia="標楷體"/>
          <w:sz w:val="28"/>
          <w:szCs w:val="28"/>
        </w:rPr>
        <w:t>年），顯示資本市場募集資金功能仍有待提升。</w:t>
      </w:r>
    </w:p>
    <w:p w:rsidR="00DC02F8" w:rsidRPr="00C70F20" w:rsidRDefault="00653574" w:rsidP="00653574">
      <w:pPr>
        <w:tabs>
          <w:tab w:val="left" w:pos="567"/>
        </w:tabs>
        <w:spacing w:line="240" w:lineRule="atLeast"/>
        <w:ind w:left="567" w:firstLineChars="59" w:firstLine="165"/>
        <w:jc w:val="center"/>
        <w:rPr>
          <w:rFonts w:ascii="標楷體" w:eastAsia="標楷體" w:hAnsi="標楷體" w:cstheme="majorBidi"/>
          <w:b/>
          <w:iCs/>
          <w:sz w:val="28"/>
          <w:szCs w:val="28"/>
        </w:rPr>
      </w:pPr>
      <w:r w:rsidRPr="00CE7911">
        <w:rPr>
          <w:rFonts w:ascii="標楷體" w:eastAsia="標楷體" w:hAnsi="標楷體" w:cs="MS Gothic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0F4BEF5" wp14:editId="584E9558">
                <wp:simplePos x="0" y="0"/>
                <wp:positionH relativeFrom="column">
                  <wp:posOffset>485544</wp:posOffset>
                </wp:positionH>
                <wp:positionV relativeFrom="paragraph">
                  <wp:posOffset>171796</wp:posOffset>
                </wp:positionV>
                <wp:extent cx="872836" cy="1403985"/>
                <wp:effectExtent l="0" t="0" r="0" b="127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83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F1A" w:rsidRPr="00CE7911" w:rsidRDefault="00902F1A" w:rsidP="0065357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人民幣兆</w:t>
                            </w:r>
                            <w:r w:rsidRPr="00CE791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8.25pt;margin-top:13.55pt;width:68.75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" filled="f" stroked="f">
                <v:textbox style="mso-fit-shape-to-text:t">
                  <w:txbxContent>
                    <w:p w:rsidR="00902F1A" w:rsidRPr="00CE7911" w:rsidRDefault="00902F1A" w:rsidP="0065357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人民幣兆</w:t>
                      </w:r>
                      <w:r w:rsidRPr="00CE791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元</w:t>
                      </w:r>
                    </w:p>
                  </w:txbxContent>
                </v:textbox>
              </v:shape>
            </w:pict>
          </mc:Fallback>
        </mc:AlternateContent>
      </w:r>
      <w:r w:rsidR="00D8741D">
        <w:rPr>
          <w:noProof/>
        </w:rPr>
        <w:drawing>
          <wp:inline distT="0" distB="0" distL="0" distR="0" wp14:anchorId="57B1C3C4" wp14:editId="59B018A8">
            <wp:extent cx="5059680" cy="2743200"/>
            <wp:effectExtent l="0" t="0" r="0" b="0"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C02F8" w:rsidRPr="00C70F20" w:rsidRDefault="00DC02F8" w:rsidP="00DC02F8">
      <w:pPr>
        <w:tabs>
          <w:tab w:val="left" w:pos="567"/>
        </w:tabs>
        <w:spacing w:beforeLines="30" w:before="72" w:line="480" w:lineRule="exact"/>
        <w:ind w:leftChars="279" w:left="670" w:firstLineChars="202" w:firstLine="404"/>
        <w:jc w:val="both"/>
        <w:rPr>
          <w:rFonts w:ascii="標楷體" w:eastAsia="標楷體" w:hAnsi="標楷體" w:cstheme="minorBidi"/>
          <w:sz w:val="20"/>
          <w:szCs w:val="20"/>
        </w:rPr>
      </w:pPr>
      <w:r w:rsidRPr="00C70F20">
        <w:rPr>
          <w:rFonts w:ascii="標楷體" w:eastAsia="標楷體" w:hAnsi="標楷體" w:cstheme="minorBidi" w:hint="eastAsia"/>
          <w:sz w:val="20"/>
          <w:szCs w:val="20"/>
        </w:rPr>
        <w:t>資料來源：</w:t>
      </w:r>
      <w:r w:rsidRPr="00C70F20">
        <w:rPr>
          <w:rFonts w:ascii="標楷體" w:eastAsia="標楷體" w:hAnsi="標楷體" w:cstheme="minorBidi"/>
          <w:sz w:val="20"/>
          <w:szCs w:val="20"/>
        </w:rPr>
        <w:t>CEIC</w:t>
      </w:r>
      <w:r w:rsidRPr="00C70F20">
        <w:rPr>
          <w:rFonts w:ascii="標楷體" w:eastAsia="標楷體" w:hAnsi="標楷體" w:cstheme="minorBidi" w:hint="eastAsia"/>
          <w:sz w:val="20"/>
          <w:szCs w:val="20"/>
        </w:rPr>
        <w:t>，經濟處製圖。</w:t>
      </w:r>
    </w:p>
    <w:p w:rsidR="00DC02F8" w:rsidRPr="00C70F20" w:rsidRDefault="00DC02F8" w:rsidP="00DC02F8">
      <w:pPr>
        <w:ind w:left="567"/>
        <w:jc w:val="center"/>
        <w:rPr>
          <w:rFonts w:ascii="標楷體" w:eastAsia="標楷體" w:hAnsi="標楷體" w:cstheme="minorBidi"/>
          <w:b/>
          <w:sz w:val="28"/>
          <w:szCs w:val="28"/>
        </w:rPr>
      </w:pPr>
      <w:r w:rsidRPr="00C70F20">
        <w:rPr>
          <w:rFonts w:ascii="標楷體" w:eastAsia="標楷體" w:hAnsi="標楷體" w:cstheme="minorBidi" w:hint="eastAsia"/>
          <w:b/>
          <w:sz w:val="28"/>
          <w:szCs w:val="28"/>
        </w:rPr>
        <w:t>圖</w:t>
      </w:r>
      <w:r w:rsidR="00BF71E4">
        <w:rPr>
          <w:rFonts w:ascii="標楷體" w:eastAsia="標楷體" w:hAnsi="標楷體" w:cstheme="minorBidi" w:hint="eastAsia"/>
          <w:b/>
          <w:sz w:val="28"/>
          <w:szCs w:val="28"/>
        </w:rPr>
        <w:t>1-4</w:t>
      </w:r>
      <w:r w:rsidRPr="00C70F20">
        <w:rPr>
          <w:rFonts w:ascii="標楷體" w:eastAsia="標楷體" w:hAnsi="標楷體" w:cstheme="minorBidi"/>
          <w:b/>
          <w:sz w:val="28"/>
          <w:szCs w:val="28"/>
        </w:rPr>
        <w:t xml:space="preserve">  </w:t>
      </w:r>
      <w:r w:rsidRPr="00C70F20">
        <w:rPr>
          <w:rFonts w:ascii="標楷體" w:eastAsia="標楷體" w:hAnsi="標楷體" w:cstheme="minorBidi" w:hint="eastAsia"/>
          <w:b/>
          <w:sz w:val="28"/>
          <w:szCs w:val="28"/>
        </w:rPr>
        <w:t>社會融資規模增量</w:t>
      </w:r>
    </w:p>
    <w:p w:rsidR="00DC02F8" w:rsidRPr="00C70F20" w:rsidRDefault="00DC02F8" w:rsidP="003E7BB4">
      <w:pPr>
        <w:widowControl/>
        <w:numPr>
          <w:ilvl w:val="0"/>
          <w:numId w:val="10"/>
        </w:numPr>
        <w:tabs>
          <w:tab w:val="left" w:pos="567"/>
        </w:tabs>
        <w:autoSpaceDE w:val="0"/>
        <w:snapToGrid w:val="0"/>
        <w:spacing w:beforeLines="25" w:before="60" w:line="480" w:lineRule="exact"/>
        <w:ind w:left="669" w:hanging="669"/>
        <w:jc w:val="both"/>
        <w:rPr>
          <w:rFonts w:ascii="標楷體" w:eastAsia="標楷體" w:hAnsi="標楷體"/>
          <w:b/>
          <w:sz w:val="28"/>
          <w:szCs w:val="32"/>
        </w:rPr>
      </w:pPr>
      <w:r w:rsidRPr="00C70F20">
        <w:rPr>
          <w:rFonts w:ascii="標楷體" w:eastAsia="標楷體" w:hAnsi="標楷體" w:hint="eastAsia"/>
          <w:b/>
          <w:sz w:val="28"/>
          <w:szCs w:val="32"/>
        </w:rPr>
        <w:t>股市緩漲、IPO件數創新高</w:t>
      </w:r>
    </w:p>
    <w:p w:rsidR="00DC02F8" w:rsidRPr="00CE7911" w:rsidRDefault="00DC02F8" w:rsidP="00DC02F8">
      <w:pPr>
        <w:tabs>
          <w:tab w:val="left" w:pos="567"/>
        </w:tabs>
        <w:spacing w:beforeLines="30" w:before="72" w:line="480" w:lineRule="exact"/>
        <w:ind w:left="567" w:firstLineChars="202" w:firstLine="566"/>
        <w:jc w:val="both"/>
        <w:rPr>
          <w:rFonts w:eastAsia="標楷體"/>
          <w:sz w:val="28"/>
          <w:szCs w:val="28"/>
        </w:rPr>
      </w:pPr>
      <w:r w:rsidRPr="00CE7911">
        <w:rPr>
          <w:rFonts w:eastAsia="標楷體"/>
          <w:sz w:val="28"/>
          <w:szCs w:val="28"/>
        </w:rPr>
        <w:t>2017</w:t>
      </w:r>
      <w:r w:rsidRPr="00CE7911">
        <w:rPr>
          <w:rFonts w:eastAsia="標楷體"/>
          <w:sz w:val="28"/>
          <w:szCs w:val="28"/>
        </w:rPr>
        <w:t>年</w:t>
      </w:r>
      <w:r w:rsidRPr="00CE7911">
        <w:rPr>
          <w:rFonts w:eastAsia="標楷體"/>
          <w:sz w:val="28"/>
          <w:szCs w:val="28"/>
        </w:rPr>
        <w:t>6</w:t>
      </w:r>
      <w:r w:rsidRPr="00CE7911">
        <w:rPr>
          <w:rFonts w:eastAsia="標楷體"/>
          <w:sz w:val="28"/>
          <w:szCs w:val="28"/>
        </w:rPr>
        <w:t>月，摩根士丹利資本國際公司（</w:t>
      </w:r>
      <w:r w:rsidRPr="00CE7911">
        <w:rPr>
          <w:rFonts w:eastAsia="標楷體"/>
          <w:sz w:val="28"/>
          <w:szCs w:val="28"/>
        </w:rPr>
        <w:t>Morgan Stanley Capital International , MSCI</w:t>
      </w:r>
      <w:r w:rsidRPr="00CE7911">
        <w:rPr>
          <w:rFonts w:eastAsia="標楷體"/>
          <w:sz w:val="28"/>
          <w:szCs w:val="28"/>
        </w:rPr>
        <w:t>）宣布中國大陸</w:t>
      </w:r>
      <w:r w:rsidRPr="00CE7911">
        <w:rPr>
          <w:rFonts w:eastAsia="標楷體"/>
          <w:sz w:val="28"/>
          <w:szCs w:val="28"/>
        </w:rPr>
        <w:t>A</w:t>
      </w:r>
      <w:r w:rsidRPr="00CE7911">
        <w:rPr>
          <w:rFonts w:eastAsia="標楷體"/>
          <w:sz w:val="28"/>
          <w:szCs w:val="28"/>
        </w:rPr>
        <w:t>股將自</w:t>
      </w:r>
      <w:r w:rsidRPr="00CE7911">
        <w:rPr>
          <w:rFonts w:eastAsia="標楷體"/>
          <w:sz w:val="28"/>
          <w:szCs w:val="28"/>
        </w:rPr>
        <w:t>2018</w:t>
      </w:r>
      <w:r w:rsidRPr="00CE7911">
        <w:rPr>
          <w:rFonts w:eastAsia="標楷體"/>
          <w:sz w:val="28"/>
          <w:szCs w:val="28"/>
        </w:rPr>
        <w:t>年</w:t>
      </w:r>
      <w:r w:rsidRPr="00CE7911">
        <w:rPr>
          <w:rFonts w:eastAsia="標楷體"/>
          <w:sz w:val="28"/>
          <w:szCs w:val="28"/>
        </w:rPr>
        <w:t>6</w:t>
      </w:r>
      <w:r w:rsidRPr="00CE7911">
        <w:rPr>
          <w:rFonts w:eastAsia="標楷體"/>
          <w:sz w:val="28"/>
          <w:szCs w:val="28"/>
        </w:rPr>
        <w:t>月起納入</w:t>
      </w:r>
      <w:r w:rsidRPr="00CE7911">
        <w:rPr>
          <w:rFonts w:eastAsia="標楷體"/>
          <w:sz w:val="28"/>
          <w:szCs w:val="28"/>
        </w:rPr>
        <w:t>MSCI</w:t>
      </w:r>
      <w:r w:rsidRPr="00CE7911">
        <w:rPr>
          <w:rFonts w:eastAsia="標楷體"/>
          <w:sz w:val="28"/>
          <w:szCs w:val="28"/>
        </w:rPr>
        <w:t>新興市場指數，股票指數開始緩漲。</w:t>
      </w:r>
      <w:r w:rsidRPr="00CE7911">
        <w:rPr>
          <w:rFonts w:eastAsia="標楷體"/>
          <w:sz w:val="28"/>
          <w:szCs w:val="28"/>
        </w:rPr>
        <w:t>2017</w:t>
      </w:r>
      <w:r w:rsidRPr="00CE7911">
        <w:rPr>
          <w:rFonts w:eastAsia="標楷體"/>
          <w:sz w:val="28"/>
          <w:szCs w:val="28"/>
        </w:rPr>
        <w:t>年</w:t>
      </w:r>
      <w:r w:rsidRPr="00CE7911">
        <w:rPr>
          <w:rFonts w:eastAsia="標楷體"/>
          <w:sz w:val="28"/>
          <w:szCs w:val="28"/>
        </w:rPr>
        <w:t>12</w:t>
      </w:r>
      <w:r w:rsidRPr="00CE7911">
        <w:rPr>
          <w:rFonts w:eastAsia="標楷體"/>
          <w:sz w:val="28"/>
          <w:szCs w:val="28"/>
        </w:rPr>
        <w:t>月底上證綜合指數收於</w:t>
      </w:r>
      <w:r w:rsidRPr="00CE7911">
        <w:rPr>
          <w:rFonts w:eastAsia="標楷體"/>
          <w:sz w:val="28"/>
          <w:szCs w:val="28"/>
        </w:rPr>
        <w:t>3,307</w:t>
      </w:r>
      <w:r w:rsidRPr="00CE7911">
        <w:rPr>
          <w:rFonts w:eastAsia="標楷體"/>
          <w:sz w:val="28"/>
          <w:szCs w:val="28"/>
        </w:rPr>
        <w:t>點，較上年</w:t>
      </w:r>
      <w:r w:rsidRPr="00CE7911">
        <w:rPr>
          <w:rFonts w:eastAsia="標楷體"/>
          <w:sz w:val="28"/>
          <w:szCs w:val="28"/>
        </w:rPr>
        <w:t>12</w:t>
      </w:r>
      <w:r w:rsidRPr="00CE7911">
        <w:rPr>
          <w:rFonts w:eastAsia="標楷體"/>
          <w:sz w:val="28"/>
          <w:szCs w:val="28"/>
        </w:rPr>
        <w:t>月底上漲</w:t>
      </w:r>
      <w:r w:rsidRPr="00CE7911">
        <w:rPr>
          <w:rFonts w:eastAsia="標楷體"/>
          <w:sz w:val="28"/>
          <w:szCs w:val="28"/>
        </w:rPr>
        <w:t>6.6% (</w:t>
      </w:r>
      <w:r w:rsidRPr="00CE7911">
        <w:rPr>
          <w:rFonts w:eastAsia="標楷體"/>
          <w:sz w:val="28"/>
          <w:szCs w:val="28"/>
        </w:rPr>
        <w:t>圖</w:t>
      </w:r>
      <w:r w:rsidR="00BF71E4" w:rsidRPr="00CE7911">
        <w:rPr>
          <w:rFonts w:eastAsia="標楷體"/>
          <w:sz w:val="28"/>
          <w:szCs w:val="28"/>
        </w:rPr>
        <w:t>1-5</w:t>
      </w:r>
      <w:r w:rsidRPr="00CE7911">
        <w:rPr>
          <w:rFonts w:eastAsia="標楷體"/>
          <w:sz w:val="28"/>
          <w:szCs w:val="28"/>
        </w:rPr>
        <w:t>)</w:t>
      </w:r>
      <w:r w:rsidRPr="00CE7911">
        <w:rPr>
          <w:rFonts w:eastAsia="標楷體"/>
          <w:sz w:val="28"/>
          <w:szCs w:val="28"/>
        </w:rPr>
        <w:t>。</w:t>
      </w:r>
    </w:p>
    <w:p w:rsidR="00DC02F8" w:rsidRPr="00CE7911" w:rsidRDefault="00DC02F8" w:rsidP="00DC02F8">
      <w:pPr>
        <w:tabs>
          <w:tab w:val="left" w:pos="567"/>
        </w:tabs>
        <w:spacing w:beforeLines="30" w:before="72" w:line="480" w:lineRule="exact"/>
        <w:ind w:left="567" w:firstLineChars="202" w:firstLine="566"/>
        <w:jc w:val="both"/>
        <w:rPr>
          <w:rFonts w:eastAsia="標楷體"/>
          <w:sz w:val="28"/>
          <w:szCs w:val="28"/>
        </w:rPr>
      </w:pPr>
      <w:r w:rsidRPr="00CE7911">
        <w:rPr>
          <w:rFonts w:eastAsia="標楷體"/>
          <w:sz w:val="28"/>
          <w:szCs w:val="28"/>
        </w:rPr>
        <w:t>另為解決</w:t>
      </w:r>
      <w:r w:rsidRPr="00CE7911">
        <w:rPr>
          <w:rFonts w:eastAsia="標楷體"/>
          <w:sz w:val="28"/>
          <w:szCs w:val="28"/>
        </w:rPr>
        <w:t>IPO</w:t>
      </w:r>
      <w:proofErr w:type="gramStart"/>
      <w:r w:rsidRPr="00CE7911">
        <w:rPr>
          <w:rFonts w:eastAsia="標楷體"/>
          <w:sz w:val="28"/>
          <w:szCs w:val="28"/>
        </w:rPr>
        <w:t>（</w:t>
      </w:r>
      <w:proofErr w:type="gramEnd"/>
      <w:r w:rsidRPr="00CE7911">
        <w:rPr>
          <w:rFonts w:eastAsia="標楷體"/>
          <w:sz w:val="28"/>
          <w:szCs w:val="28"/>
        </w:rPr>
        <w:t>Initial Public Offerings</w:t>
      </w:r>
      <w:r w:rsidRPr="00CE7911">
        <w:rPr>
          <w:rFonts w:eastAsia="標楷體"/>
          <w:sz w:val="28"/>
          <w:szCs w:val="28"/>
        </w:rPr>
        <w:t>，首次公開發行股票</w:t>
      </w:r>
      <w:r w:rsidRPr="00CE7911">
        <w:rPr>
          <w:rFonts w:eastAsia="標楷體"/>
          <w:sz w:val="28"/>
          <w:szCs w:val="28"/>
        </w:rPr>
        <w:t>)</w:t>
      </w:r>
      <w:r w:rsidRPr="00CE7911">
        <w:rPr>
          <w:rFonts w:eastAsia="標楷體"/>
          <w:sz w:val="28"/>
          <w:szCs w:val="28"/>
        </w:rPr>
        <w:t>堰塞湖問題，證監會縮短企業</w:t>
      </w:r>
      <w:r w:rsidRPr="00CE7911">
        <w:rPr>
          <w:rFonts w:eastAsia="標楷體"/>
          <w:sz w:val="28"/>
          <w:szCs w:val="28"/>
        </w:rPr>
        <w:t>IPO</w:t>
      </w:r>
      <w:r w:rsidRPr="00CE7911">
        <w:rPr>
          <w:rFonts w:eastAsia="標楷體"/>
          <w:sz w:val="28"/>
          <w:szCs w:val="28"/>
        </w:rPr>
        <w:t>審核週期</w:t>
      </w:r>
      <w:r w:rsidR="00CC578C" w:rsidRPr="00CE7911">
        <w:rPr>
          <w:rFonts w:eastAsia="標楷體"/>
          <w:sz w:val="28"/>
          <w:szCs w:val="28"/>
        </w:rPr>
        <w:t>，</w:t>
      </w:r>
      <w:r w:rsidR="00CC578C" w:rsidRPr="00CE7911">
        <w:rPr>
          <w:rFonts w:eastAsia="標楷體"/>
          <w:sz w:val="28"/>
          <w:szCs w:val="28"/>
        </w:rPr>
        <w:t>IPO</w:t>
      </w:r>
      <w:r w:rsidR="00CC578C" w:rsidRPr="00CE7911">
        <w:rPr>
          <w:rFonts w:eastAsia="標楷體"/>
          <w:sz w:val="28"/>
          <w:szCs w:val="28"/>
        </w:rPr>
        <w:t>排隊企業數量已大幅減少。</w:t>
      </w:r>
      <w:r w:rsidRPr="00CE7911">
        <w:rPr>
          <w:rFonts w:eastAsia="標楷體"/>
          <w:sz w:val="28"/>
          <w:szCs w:val="28"/>
        </w:rPr>
        <w:t>2017</w:t>
      </w:r>
      <w:r w:rsidRPr="00CE7911">
        <w:rPr>
          <w:rFonts w:eastAsia="標楷體"/>
          <w:sz w:val="28"/>
          <w:szCs w:val="28"/>
        </w:rPr>
        <w:t>年上海、深圳兩家證券交易所共發行上市新股</w:t>
      </w:r>
      <w:r w:rsidRPr="00CE7911">
        <w:rPr>
          <w:rFonts w:eastAsia="標楷體"/>
          <w:sz w:val="28"/>
          <w:szCs w:val="28"/>
        </w:rPr>
        <w:t>436</w:t>
      </w:r>
      <w:r w:rsidRPr="00CE7911">
        <w:rPr>
          <w:rFonts w:eastAsia="標楷體"/>
          <w:sz w:val="28"/>
          <w:szCs w:val="28"/>
        </w:rPr>
        <w:t>家，籌資人民幣</w:t>
      </w:r>
      <w:r w:rsidRPr="00CE7911">
        <w:rPr>
          <w:rFonts w:eastAsia="標楷體"/>
          <w:sz w:val="28"/>
          <w:szCs w:val="28"/>
        </w:rPr>
        <w:t>2,304</w:t>
      </w:r>
      <w:r w:rsidRPr="00CE7911">
        <w:rPr>
          <w:rFonts w:eastAsia="標楷體"/>
          <w:sz w:val="28"/>
          <w:szCs w:val="28"/>
        </w:rPr>
        <w:t>億元，件數和</w:t>
      </w:r>
      <w:proofErr w:type="gramStart"/>
      <w:r w:rsidRPr="00CE7911">
        <w:rPr>
          <w:rFonts w:eastAsia="標楷體"/>
          <w:sz w:val="28"/>
          <w:szCs w:val="28"/>
        </w:rPr>
        <w:t>籌資金</w:t>
      </w:r>
      <w:proofErr w:type="gramEnd"/>
      <w:r w:rsidRPr="00CE7911">
        <w:rPr>
          <w:rFonts w:eastAsia="標楷體"/>
          <w:sz w:val="28"/>
          <w:szCs w:val="28"/>
        </w:rPr>
        <w:t>額分別較上年增加</w:t>
      </w:r>
      <w:r w:rsidRPr="00CE7911">
        <w:rPr>
          <w:rFonts w:eastAsia="標楷體"/>
          <w:sz w:val="28"/>
          <w:szCs w:val="28"/>
        </w:rPr>
        <w:t>92</w:t>
      </w:r>
      <w:r w:rsidR="00434A5B" w:rsidRPr="00CE7911">
        <w:rPr>
          <w:rFonts w:eastAsia="標楷體"/>
          <w:color w:val="000000" w:themeColor="text1"/>
          <w:kern w:val="0"/>
          <w:sz w:val="28"/>
          <w:szCs w:val="32"/>
        </w:rPr>
        <w:t>%</w:t>
      </w:r>
      <w:r w:rsidRPr="00CE7911">
        <w:rPr>
          <w:rFonts w:eastAsia="標楷體"/>
          <w:sz w:val="28"/>
          <w:szCs w:val="28"/>
        </w:rPr>
        <w:t>與</w:t>
      </w:r>
      <w:r w:rsidRPr="00CE7911">
        <w:rPr>
          <w:rFonts w:eastAsia="標楷體"/>
          <w:sz w:val="28"/>
          <w:szCs w:val="28"/>
        </w:rPr>
        <w:t>53</w:t>
      </w:r>
      <w:r w:rsidR="00434A5B" w:rsidRPr="00CE7911">
        <w:rPr>
          <w:rFonts w:eastAsia="標楷體"/>
          <w:color w:val="000000" w:themeColor="text1"/>
          <w:kern w:val="0"/>
          <w:sz w:val="28"/>
          <w:szCs w:val="32"/>
        </w:rPr>
        <w:t>%</w:t>
      </w:r>
      <w:r w:rsidRPr="00CE7911">
        <w:rPr>
          <w:rFonts w:eastAsia="標楷體"/>
          <w:sz w:val="28"/>
          <w:szCs w:val="28"/>
        </w:rPr>
        <w:t>，</w:t>
      </w:r>
      <w:r w:rsidR="00CC578C" w:rsidRPr="00CE7911">
        <w:rPr>
          <w:rFonts w:eastAsia="標楷體"/>
          <w:sz w:val="28"/>
          <w:szCs w:val="28"/>
        </w:rPr>
        <w:t>尤</w:t>
      </w:r>
      <w:r w:rsidRPr="00CE7911">
        <w:rPr>
          <w:rFonts w:eastAsia="標楷體"/>
          <w:sz w:val="28"/>
          <w:szCs w:val="28"/>
        </w:rPr>
        <w:lastRenderedPageBreak/>
        <w:t>以中小企業為主</w:t>
      </w:r>
      <w:r w:rsidR="00CC578C" w:rsidRPr="00CE7911">
        <w:rPr>
          <w:rFonts w:eastAsia="標楷體"/>
          <w:sz w:val="28"/>
          <w:szCs w:val="28"/>
        </w:rPr>
        <w:t>。</w:t>
      </w:r>
    </w:p>
    <w:p w:rsidR="00DC02F8" w:rsidRPr="00C70F20" w:rsidRDefault="00DC02F8" w:rsidP="00DC02F8">
      <w:pPr>
        <w:tabs>
          <w:tab w:val="left" w:pos="567"/>
        </w:tabs>
        <w:spacing w:beforeLines="30" w:before="72" w:line="240" w:lineRule="atLeast"/>
        <w:ind w:left="567" w:firstLineChars="59" w:firstLine="142"/>
        <w:jc w:val="both"/>
        <w:rPr>
          <w:rFonts w:ascii="標楷體" w:eastAsia="標楷體" w:hAnsi="標楷體" w:cstheme="minorBidi"/>
          <w:sz w:val="28"/>
          <w:szCs w:val="28"/>
        </w:rPr>
      </w:pPr>
      <w:r w:rsidRPr="00C70F20">
        <w:rPr>
          <w:rFonts w:ascii="標楷體" w:eastAsia="標楷體" w:hAnsi="標楷體"/>
          <w:noProof/>
        </w:rPr>
        <w:drawing>
          <wp:inline distT="0" distB="0" distL="0" distR="0" wp14:anchorId="0DE33FCE" wp14:editId="6213862B">
            <wp:extent cx="5188527" cy="2597727"/>
            <wp:effectExtent l="0" t="0" r="0" b="0"/>
            <wp:docPr id="13" name="圖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C02F8" w:rsidRPr="00C70F20" w:rsidRDefault="00DC02F8" w:rsidP="00DC02F8">
      <w:pPr>
        <w:tabs>
          <w:tab w:val="left" w:pos="567"/>
        </w:tabs>
        <w:spacing w:beforeLines="30" w:before="72" w:line="480" w:lineRule="exact"/>
        <w:ind w:leftChars="279" w:left="670" w:firstLineChars="202" w:firstLine="404"/>
        <w:jc w:val="both"/>
        <w:rPr>
          <w:rFonts w:ascii="標楷體" w:eastAsia="標楷體" w:hAnsi="標楷體" w:cstheme="minorBidi"/>
          <w:sz w:val="20"/>
          <w:szCs w:val="20"/>
        </w:rPr>
      </w:pPr>
      <w:r w:rsidRPr="00C70F20">
        <w:rPr>
          <w:rFonts w:ascii="標楷體" w:eastAsia="標楷體" w:hAnsi="標楷體" w:cstheme="minorBidi" w:hint="eastAsia"/>
          <w:sz w:val="20"/>
          <w:szCs w:val="20"/>
        </w:rPr>
        <w:t>資料來源：</w:t>
      </w:r>
      <w:r w:rsidRPr="00C70F20">
        <w:rPr>
          <w:rFonts w:ascii="標楷體" w:eastAsia="標楷體" w:hAnsi="標楷體" w:cstheme="minorBidi"/>
          <w:sz w:val="20"/>
          <w:szCs w:val="20"/>
        </w:rPr>
        <w:t>CEIC</w:t>
      </w:r>
      <w:r w:rsidRPr="00C70F20">
        <w:rPr>
          <w:rFonts w:ascii="標楷體" w:eastAsia="標楷體" w:hAnsi="標楷體" w:cstheme="minorBidi" w:hint="eastAsia"/>
          <w:sz w:val="20"/>
          <w:szCs w:val="20"/>
        </w:rPr>
        <w:t>，經濟處製圖。</w:t>
      </w:r>
    </w:p>
    <w:p w:rsidR="00DC02F8" w:rsidRPr="00C70F20" w:rsidRDefault="00DC02F8" w:rsidP="00DC02F8">
      <w:pPr>
        <w:ind w:left="567"/>
        <w:jc w:val="center"/>
        <w:rPr>
          <w:rFonts w:ascii="標楷體" w:eastAsia="標楷體" w:hAnsi="標楷體" w:cstheme="minorBidi"/>
          <w:b/>
          <w:sz w:val="28"/>
          <w:szCs w:val="28"/>
        </w:rPr>
      </w:pPr>
      <w:r w:rsidRPr="00C70F20">
        <w:rPr>
          <w:rFonts w:ascii="標楷體" w:eastAsia="標楷體" w:hAnsi="標楷體" w:cstheme="minorBidi" w:hint="eastAsia"/>
          <w:b/>
          <w:sz w:val="28"/>
          <w:szCs w:val="28"/>
        </w:rPr>
        <w:t>圖</w:t>
      </w:r>
      <w:r w:rsidR="00BF71E4">
        <w:rPr>
          <w:rFonts w:ascii="標楷體" w:eastAsia="標楷體" w:hAnsi="標楷體" w:cstheme="minorBidi" w:hint="eastAsia"/>
          <w:b/>
          <w:sz w:val="28"/>
          <w:szCs w:val="28"/>
        </w:rPr>
        <w:t>1-5</w:t>
      </w:r>
      <w:r w:rsidRPr="00C70F20">
        <w:rPr>
          <w:rFonts w:ascii="標楷體" w:eastAsia="標楷體" w:hAnsi="標楷體" w:cstheme="minorBidi"/>
          <w:b/>
          <w:sz w:val="28"/>
          <w:szCs w:val="28"/>
        </w:rPr>
        <w:t xml:space="preserve">  </w:t>
      </w:r>
      <w:r w:rsidRPr="00C70F20">
        <w:rPr>
          <w:rFonts w:ascii="標楷體" w:eastAsia="標楷體" w:hAnsi="標楷體" w:cstheme="minorBidi" w:hint="eastAsia"/>
          <w:b/>
          <w:sz w:val="28"/>
          <w:szCs w:val="28"/>
        </w:rPr>
        <w:t>股票綜合指數走勢</w:t>
      </w:r>
    </w:p>
    <w:p w:rsidR="00DC02F8" w:rsidRPr="00C70F20" w:rsidRDefault="00DC02F8" w:rsidP="003E7BB4">
      <w:pPr>
        <w:widowControl/>
        <w:numPr>
          <w:ilvl w:val="0"/>
          <w:numId w:val="10"/>
        </w:numPr>
        <w:tabs>
          <w:tab w:val="left" w:pos="567"/>
        </w:tabs>
        <w:autoSpaceDE w:val="0"/>
        <w:snapToGrid w:val="0"/>
        <w:spacing w:beforeLines="25" w:before="60" w:line="480" w:lineRule="exact"/>
        <w:ind w:left="669" w:hanging="669"/>
        <w:jc w:val="both"/>
        <w:rPr>
          <w:rFonts w:ascii="標楷體" w:eastAsia="標楷體" w:hAnsi="標楷體"/>
          <w:b/>
          <w:sz w:val="28"/>
          <w:szCs w:val="32"/>
        </w:rPr>
      </w:pPr>
      <w:r w:rsidRPr="00C70F20">
        <w:rPr>
          <w:rFonts w:ascii="標楷體" w:eastAsia="標楷體" w:hAnsi="標楷體" w:hint="eastAsia"/>
          <w:b/>
          <w:sz w:val="28"/>
          <w:szCs w:val="32"/>
        </w:rPr>
        <w:t>人民幣升值</w:t>
      </w:r>
    </w:p>
    <w:p w:rsidR="00DC02F8" w:rsidRPr="00CE7911" w:rsidRDefault="00DC02F8" w:rsidP="00CE7911">
      <w:pPr>
        <w:tabs>
          <w:tab w:val="left" w:pos="567"/>
        </w:tabs>
        <w:spacing w:beforeLines="30" w:before="72" w:line="480" w:lineRule="exact"/>
        <w:ind w:leftChars="279" w:left="670" w:firstLineChars="202" w:firstLine="566"/>
        <w:jc w:val="both"/>
        <w:rPr>
          <w:rFonts w:eastAsia="標楷體"/>
          <w:sz w:val="28"/>
          <w:szCs w:val="28"/>
        </w:rPr>
      </w:pPr>
      <w:r w:rsidRPr="00CE7911">
        <w:rPr>
          <w:rFonts w:eastAsia="標楷體"/>
          <w:sz w:val="28"/>
          <w:szCs w:val="32"/>
        </w:rPr>
        <w:t>2017</w:t>
      </w:r>
      <w:r w:rsidRPr="00CE7911">
        <w:rPr>
          <w:rFonts w:eastAsia="標楷體"/>
          <w:sz w:val="28"/>
          <w:szCs w:val="32"/>
        </w:rPr>
        <w:t>年</w:t>
      </w:r>
      <w:r w:rsidRPr="00CE7911">
        <w:rPr>
          <w:rFonts w:eastAsia="標楷體"/>
          <w:sz w:val="28"/>
          <w:szCs w:val="32"/>
        </w:rPr>
        <w:t>12</w:t>
      </w:r>
      <w:r w:rsidRPr="00CE7911">
        <w:rPr>
          <w:rFonts w:eastAsia="標楷體"/>
          <w:sz w:val="28"/>
          <w:szCs w:val="32"/>
        </w:rPr>
        <w:t>月底人民幣兌美元匯率中間價為</w:t>
      </w:r>
      <w:r w:rsidRPr="00CE7911">
        <w:rPr>
          <w:rFonts w:eastAsia="標楷體"/>
          <w:sz w:val="28"/>
          <w:szCs w:val="32"/>
        </w:rPr>
        <w:t>6.94</w:t>
      </w:r>
      <w:r w:rsidRPr="00CE7911">
        <w:rPr>
          <w:rFonts w:eastAsia="標楷體"/>
          <w:sz w:val="28"/>
          <w:szCs w:val="32"/>
        </w:rPr>
        <w:t>，較上年</w:t>
      </w:r>
      <w:r w:rsidRPr="00CE7911">
        <w:rPr>
          <w:rFonts w:eastAsia="標楷體"/>
          <w:sz w:val="28"/>
          <w:szCs w:val="32"/>
        </w:rPr>
        <w:t>12</w:t>
      </w:r>
      <w:r w:rsidRPr="00CE7911">
        <w:rPr>
          <w:rFonts w:eastAsia="標楷體"/>
          <w:sz w:val="28"/>
          <w:szCs w:val="32"/>
        </w:rPr>
        <w:t>月底升值</w:t>
      </w:r>
      <w:r w:rsidRPr="00CE7911">
        <w:rPr>
          <w:rFonts w:eastAsia="標楷體"/>
          <w:sz w:val="28"/>
          <w:szCs w:val="32"/>
        </w:rPr>
        <w:t>6.4</w:t>
      </w:r>
      <w:r w:rsidR="00434A5B" w:rsidRPr="00CE7911">
        <w:rPr>
          <w:rFonts w:eastAsia="標楷體"/>
          <w:color w:val="000000" w:themeColor="text1"/>
          <w:kern w:val="0"/>
          <w:sz w:val="28"/>
          <w:szCs w:val="32"/>
        </w:rPr>
        <w:t>%</w:t>
      </w:r>
      <w:r w:rsidRPr="00CE7911">
        <w:rPr>
          <w:rFonts w:eastAsia="標楷體"/>
          <w:sz w:val="28"/>
          <w:szCs w:val="32"/>
        </w:rPr>
        <w:t>，較第</w:t>
      </w:r>
      <w:r w:rsidRPr="00CE7911">
        <w:rPr>
          <w:rFonts w:eastAsia="標楷體"/>
          <w:sz w:val="28"/>
          <w:szCs w:val="32"/>
        </w:rPr>
        <w:t>3</w:t>
      </w:r>
      <w:r w:rsidRPr="00CE7911">
        <w:rPr>
          <w:rFonts w:eastAsia="標楷體"/>
          <w:sz w:val="28"/>
          <w:szCs w:val="32"/>
        </w:rPr>
        <w:t>季末升值</w:t>
      </w:r>
      <w:r w:rsidRPr="00CE7911">
        <w:rPr>
          <w:rFonts w:eastAsia="標楷體"/>
          <w:sz w:val="28"/>
          <w:szCs w:val="32"/>
        </w:rPr>
        <w:t>3.7</w:t>
      </w:r>
      <w:r w:rsidR="00434A5B" w:rsidRPr="00CE7911">
        <w:rPr>
          <w:rFonts w:eastAsia="標楷體"/>
          <w:color w:val="000000" w:themeColor="text1"/>
          <w:kern w:val="0"/>
          <w:sz w:val="28"/>
          <w:szCs w:val="32"/>
        </w:rPr>
        <w:t>%</w:t>
      </w:r>
      <w:r w:rsidRPr="00CE7911">
        <w:rPr>
          <w:rFonts w:eastAsia="標楷體"/>
          <w:sz w:val="28"/>
          <w:szCs w:val="32"/>
        </w:rPr>
        <w:t>(</w:t>
      </w:r>
      <w:r w:rsidRPr="00CE7911">
        <w:rPr>
          <w:rFonts w:eastAsia="標楷體"/>
          <w:sz w:val="28"/>
          <w:szCs w:val="32"/>
        </w:rPr>
        <w:t>圖</w:t>
      </w:r>
      <w:r w:rsidR="00BF71E4" w:rsidRPr="00CE7911">
        <w:rPr>
          <w:rFonts w:eastAsia="標楷體"/>
          <w:sz w:val="28"/>
          <w:szCs w:val="32"/>
        </w:rPr>
        <w:t>1-6</w:t>
      </w:r>
      <w:r w:rsidRPr="00CE7911">
        <w:rPr>
          <w:rFonts w:eastAsia="標楷體"/>
          <w:sz w:val="28"/>
          <w:szCs w:val="32"/>
        </w:rPr>
        <w:t>)</w:t>
      </w:r>
      <w:r w:rsidRPr="00CE7911">
        <w:rPr>
          <w:rFonts w:eastAsia="標楷體"/>
          <w:sz w:val="28"/>
          <w:szCs w:val="32"/>
        </w:rPr>
        <w:t>，主因是美元持續走低、歐元強勢，加上中國大陸貿易數據表現不錯，重新推動人民幣匯率反彈。</w:t>
      </w:r>
    </w:p>
    <w:p w:rsidR="00DC02F8" w:rsidRPr="00C70F20" w:rsidRDefault="00CE7911" w:rsidP="00CE7911">
      <w:pPr>
        <w:tabs>
          <w:tab w:val="left" w:pos="567"/>
        </w:tabs>
        <w:spacing w:beforeLines="30" w:before="72" w:line="240" w:lineRule="atLeast"/>
        <w:ind w:leftChars="279" w:left="670" w:firstLineChars="16" w:firstLine="45"/>
        <w:jc w:val="both"/>
        <w:rPr>
          <w:rFonts w:ascii="標楷體" w:eastAsia="標楷體" w:hAnsi="標楷體" w:cstheme="minorBidi"/>
          <w:sz w:val="28"/>
          <w:szCs w:val="28"/>
        </w:rPr>
      </w:pPr>
      <w:r w:rsidRPr="00CE7911">
        <w:rPr>
          <w:rFonts w:ascii="標楷體" w:eastAsia="標楷體" w:hAnsi="標楷體" w:cs="MS Gothic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12EDF4" wp14:editId="553F7132">
                <wp:simplePos x="0" y="0"/>
                <wp:positionH relativeFrom="column">
                  <wp:posOffset>344516</wp:posOffset>
                </wp:positionH>
                <wp:positionV relativeFrom="paragraph">
                  <wp:posOffset>189288</wp:posOffset>
                </wp:positionV>
                <wp:extent cx="1031875" cy="1403985"/>
                <wp:effectExtent l="0" t="0" r="0" b="12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F1A" w:rsidRPr="00CE7911" w:rsidRDefault="00902F1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E791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人民幣/美元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7.15pt;margin-top:14.9pt;width:81.25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" filled="f" stroked="f">
                <v:textbox style="mso-fit-shape-to-text:t">
                  <w:txbxContent>
                    <w:p w:rsidR="00902F1A" w:rsidRPr="00CE7911" w:rsidRDefault="00902F1A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E791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人民幣/美元</w:t>
                      </w:r>
                    </w:p>
                  </w:txbxContent>
                </v:textbox>
              </v:shape>
            </w:pict>
          </mc:Fallback>
        </mc:AlternateContent>
      </w:r>
      <w:r w:rsidR="00DC02F8" w:rsidRPr="00C70F20">
        <w:rPr>
          <w:rFonts w:ascii="標楷體" w:eastAsia="標楷體" w:hAnsi="標楷體"/>
          <w:noProof/>
        </w:rPr>
        <w:drawing>
          <wp:inline distT="0" distB="0" distL="0" distR="0" wp14:anchorId="6ED75FCF" wp14:editId="578378AA">
            <wp:extent cx="5230091" cy="2673927"/>
            <wp:effectExtent l="0" t="0" r="8890" b="0"/>
            <wp:docPr id="14" name="圖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C02F8" w:rsidRPr="00C70F20" w:rsidRDefault="00DC02F8" w:rsidP="00DC02F8">
      <w:pPr>
        <w:tabs>
          <w:tab w:val="left" w:pos="567"/>
        </w:tabs>
        <w:spacing w:beforeLines="30" w:before="72" w:line="480" w:lineRule="exact"/>
        <w:ind w:leftChars="279" w:left="670" w:firstLineChars="202" w:firstLine="404"/>
        <w:jc w:val="both"/>
        <w:rPr>
          <w:rFonts w:ascii="標楷體" w:eastAsia="標楷體" w:hAnsi="標楷體" w:cstheme="minorBidi"/>
          <w:sz w:val="20"/>
          <w:szCs w:val="20"/>
        </w:rPr>
      </w:pPr>
      <w:r w:rsidRPr="00C70F20">
        <w:rPr>
          <w:rFonts w:ascii="標楷體" w:eastAsia="標楷體" w:hAnsi="標楷體" w:cstheme="minorBidi" w:hint="eastAsia"/>
          <w:sz w:val="20"/>
          <w:szCs w:val="20"/>
        </w:rPr>
        <w:t>資料來源：CEIC，經濟處製圖。</w:t>
      </w:r>
    </w:p>
    <w:p w:rsidR="00DC02F8" w:rsidRPr="00C70F20" w:rsidRDefault="00DC02F8" w:rsidP="00DC02F8">
      <w:pPr>
        <w:tabs>
          <w:tab w:val="left" w:pos="567"/>
        </w:tabs>
        <w:spacing w:beforeLines="25" w:before="60" w:line="480" w:lineRule="exact"/>
        <w:ind w:leftChars="-58" w:left="1" w:hangingChars="50" w:hanging="140"/>
        <w:jc w:val="center"/>
        <w:rPr>
          <w:rFonts w:ascii="標楷體" w:eastAsia="標楷體" w:hAnsi="標楷體" w:cstheme="minorBidi"/>
          <w:b/>
          <w:sz w:val="28"/>
          <w:szCs w:val="28"/>
        </w:rPr>
      </w:pPr>
      <w:r w:rsidRPr="00C70F20">
        <w:rPr>
          <w:rFonts w:ascii="標楷體" w:eastAsia="標楷體" w:hAnsi="標楷體" w:cstheme="minorBidi" w:hint="eastAsia"/>
          <w:b/>
          <w:sz w:val="28"/>
          <w:szCs w:val="28"/>
        </w:rPr>
        <w:t>圖</w:t>
      </w:r>
      <w:r w:rsidR="00BF71E4">
        <w:rPr>
          <w:rFonts w:ascii="標楷體" w:eastAsia="標楷體" w:hAnsi="標楷體" w:cstheme="minorBidi" w:hint="eastAsia"/>
          <w:b/>
          <w:sz w:val="28"/>
          <w:szCs w:val="28"/>
        </w:rPr>
        <w:t>1-6</w:t>
      </w:r>
      <w:r w:rsidRPr="00C70F20">
        <w:rPr>
          <w:rFonts w:ascii="標楷體" w:eastAsia="標楷體" w:hAnsi="標楷體" w:cstheme="minorBidi"/>
          <w:b/>
          <w:sz w:val="28"/>
          <w:szCs w:val="28"/>
        </w:rPr>
        <w:t xml:space="preserve">  </w:t>
      </w:r>
      <w:r w:rsidRPr="00C70F20">
        <w:rPr>
          <w:rFonts w:ascii="標楷體" w:eastAsia="標楷體" w:hAnsi="標楷體" w:cstheme="minorBidi" w:hint="eastAsia"/>
          <w:b/>
          <w:sz w:val="28"/>
          <w:szCs w:val="28"/>
        </w:rPr>
        <w:t>人民幣兌美元匯率走勢</w:t>
      </w:r>
    </w:p>
    <w:p w:rsidR="00DC02F8" w:rsidRPr="00C70F20" w:rsidRDefault="00DC02F8" w:rsidP="003E7BB4">
      <w:pPr>
        <w:widowControl/>
        <w:numPr>
          <w:ilvl w:val="0"/>
          <w:numId w:val="10"/>
        </w:numPr>
        <w:tabs>
          <w:tab w:val="left" w:pos="567"/>
        </w:tabs>
        <w:autoSpaceDE w:val="0"/>
        <w:snapToGrid w:val="0"/>
        <w:spacing w:beforeLines="25" w:before="60" w:line="480" w:lineRule="exact"/>
        <w:ind w:left="669" w:hanging="669"/>
        <w:jc w:val="both"/>
        <w:rPr>
          <w:rFonts w:ascii="標楷體" w:eastAsia="標楷體" w:hAnsi="標楷體"/>
          <w:b/>
          <w:sz w:val="28"/>
          <w:szCs w:val="32"/>
        </w:rPr>
      </w:pPr>
      <w:r w:rsidRPr="00C70F20">
        <w:rPr>
          <w:rFonts w:ascii="標楷體" w:eastAsia="標楷體" w:hAnsi="標楷體" w:hint="eastAsia"/>
          <w:b/>
          <w:sz w:val="28"/>
          <w:szCs w:val="32"/>
        </w:rPr>
        <w:lastRenderedPageBreak/>
        <w:t>外匯儲備回升</w:t>
      </w:r>
    </w:p>
    <w:p w:rsidR="00DC02F8" w:rsidRPr="00CE7911" w:rsidRDefault="00DC02F8" w:rsidP="00DC02F8">
      <w:pPr>
        <w:tabs>
          <w:tab w:val="left" w:pos="567"/>
        </w:tabs>
        <w:spacing w:beforeLines="30" w:before="72" w:line="480" w:lineRule="exact"/>
        <w:ind w:leftChars="279" w:left="670" w:firstLineChars="202" w:firstLine="566"/>
        <w:jc w:val="both"/>
        <w:rPr>
          <w:rFonts w:eastAsia="標楷體"/>
          <w:sz w:val="28"/>
          <w:szCs w:val="32"/>
        </w:rPr>
      </w:pPr>
      <w:r w:rsidRPr="00CE7911">
        <w:rPr>
          <w:rFonts w:eastAsia="標楷體"/>
          <w:sz w:val="28"/>
          <w:szCs w:val="32"/>
        </w:rPr>
        <w:t>2017</w:t>
      </w:r>
      <w:r w:rsidRPr="00CE7911">
        <w:rPr>
          <w:rFonts w:eastAsia="標楷體"/>
          <w:sz w:val="28"/>
          <w:szCs w:val="32"/>
        </w:rPr>
        <w:t>年在中國大陸加強資本管制下，資金流出明顯放緩，</w:t>
      </w:r>
      <w:proofErr w:type="gramStart"/>
      <w:r w:rsidRPr="00CE7911">
        <w:rPr>
          <w:rFonts w:eastAsia="標楷體"/>
          <w:sz w:val="28"/>
          <w:szCs w:val="32"/>
        </w:rPr>
        <w:t>爰</w:t>
      </w:r>
      <w:proofErr w:type="gramEnd"/>
      <w:r w:rsidRPr="00CE7911">
        <w:rPr>
          <w:rFonts w:eastAsia="標楷體"/>
          <w:sz w:val="28"/>
          <w:szCs w:val="32"/>
        </w:rPr>
        <w:t>人民銀行減少賣出美元、買入人民幣的外匯干預，外匯儲備再度回升，</w:t>
      </w:r>
      <w:r w:rsidRPr="00CE7911">
        <w:rPr>
          <w:rFonts w:eastAsia="標楷體"/>
          <w:sz w:val="28"/>
          <w:szCs w:val="32"/>
        </w:rPr>
        <w:t>2017</w:t>
      </w:r>
      <w:r w:rsidRPr="00CE7911">
        <w:rPr>
          <w:rFonts w:eastAsia="標楷體"/>
          <w:sz w:val="28"/>
          <w:szCs w:val="32"/>
        </w:rPr>
        <w:t>年</w:t>
      </w:r>
      <w:r w:rsidRPr="00CE7911">
        <w:rPr>
          <w:rFonts w:eastAsia="標楷體"/>
          <w:sz w:val="28"/>
          <w:szCs w:val="32"/>
        </w:rPr>
        <w:t>12</w:t>
      </w:r>
      <w:r w:rsidRPr="00CE7911">
        <w:rPr>
          <w:rFonts w:eastAsia="標楷體"/>
          <w:sz w:val="28"/>
          <w:szCs w:val="32"/>
        </w:rPr>
        <w:t>月底外匯儲備為</w:t>
      </w:r>
      <w:r w:rsidRPr="00CE7911">
        <w:rPr>
          <w:rFonts w:eastAsia="標楷體"/>
          <w:sz w:val="28"/>
          <w:szCs w:val="32"/>
        </w:rPr>
        <w:t>3.14</w:t>
      </w:r>
      <w:r w:rsidRPr="00CE7911">
        <w:rPr>
          <w:rFonts w:eastAsia="標楷體"/>
          <w:sz w:val="28"/>
          <w:szCs w:val="32"/>
        </w:rPr>
        <w:t>兆美元（較上年</w:t>
      </w:r>
      <w:r w:rsidRPr="00CE7911">
        <w:rPr>
          <w:rFonts w:eastAsia="標楷體"/>
          <w:sz w:val="28"/>
          <w:szCs w:val="32"/>
        </w:rPr>
        <w:t>12</w:t>
      </w:r>
      <w:r w:rsidRPr="00CE7911">
        <w:rPr>
          <w:rFonts w:eastAsia="標楷體"/>
          <w:sz w:val="28"/>
          <w:szCs w:val="32"/>
        </w:rPr>
        <w:t>月底增加</w:t>
      </w:r>
      <w:r w:rsidRPr="00CE7911">
        <w:rPr>
          <w:rFonts w:eastAsia="標楷體"/>
          <w:sz w:val="28"/>
          <w:szCs w:val="32"/>
        </w:rPr>
        <w:t xml:space="preserve">1,294 </w:t>
      </w:r>
      <w:r w:rsidRPr="00CE7911">
        <w:rPr>
          <w:rFonts w:eastAsia="標楷體"/>
          <w:sz w:val="28"/>
          <w:szCs w:val="32"/>
        </w:rPr>
        <w:t>億美元），是自</w:t>
      </w:r>
      <w:r w:rsidRPr="00CE7911">
        <w:rPr>
          <w:rFonts w:eastAsia="標楷體"/>
          <w:sz w:val="28"/>
          <w:szCs w:val="32"/>
        </w:rPr>
        <w:t>2016</w:t>
      </w:r>
      <w:r w:rsidRPr="00CE7911">
        <w:rPr>
          <w:rFonts w:eastAsia="標楷體"/>
          <w:sz w:val="28"/>
          <w:szCs w:val="32"/>
        </w:rPr>
        <w:t>年</w:t>
      </w:r>
      <w:r w:rsidRPr="00CE7911">
        <w:rPr>
          <w:rFonts w:eastAsia="標楷體"/>
          <w:sz w:val="28"/>
          <w:szCs w:val="32"/>
        </w:rPr>
        <w:t>10</w:t>
      </w:r>
      <w:r w:rsidRPr="00CE7911">
        <w:rPr>
          <w:rFonts w:eastAsia="標楷體"/>
          <w:sz w:val="28"/>
          <w:szCs w:val="32"/>
        </w:rPr>
        <w:t>月以來最高水準（圖</w:t>
      </w:r>
      <w:r w:rsidR="00BF71E4" w:rsidRPr="00CE7911">
        <w:rPr>
          <w:rFonts w:eastAsia="標楷體"/>
          <w:sz w:val="28"/>
          <w:szCs w:val="32"/>
        </w:rPr>
        <w:t>1-7</w:t>
      </w:r>
      <w:r w:rsidRPr="00CE7911">
        <w:rPr>
          <w:rFonts w:eastAsia="標楷體"/>
          <w:sz w:val="28"/>
          <w:szCs w:val="32"/>
        </w:rPr>
        <w:t>）。</w:t>
      </w:r>
    </w:p>
    <w:p w:rsidR="00DC02F8" w:rsidRPr="00C70F20" w:rsidRDefault="00CE7911" w:rsidP="00CE7911">
      <w:pPr>
        <w:tabs>
          <w:tab w:val="left" w:pos="567"/>
        </w:tabs>
        <w:spacing w:beforeLines="30" w:before="72" w:line="240" w:lineRule="atLeast"/>
        <w:ind w:leftChars="279" w:left="670" w:firstLineChars="16" w:firstLine="45"/>
        <w:jc w:val="both"/>
        <w:rPr>
          <w:rFonts w:ascii="標楷體" w:eastAsia="標楷體" w:hAnsi="標楷體" w:cs="MS Gothic"/>
          <w:sz w:val="28"/>
          <w:szCs w:val="32"/>
        </w:rPr>
      </w:pPr>
      <w:r w:rsidRPr="00CE7911">
        <w:rPr>
          <w:rFonts w:ascii="標楷體" w:eastAsia="標楷體" w:hAnsi="標楷體" w:cs="MS Gothic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E12DE4" wp14:editId="2BAA7FD6">
                <wp:simplePos x="0" y="0"/>
                <wp:positionH relativeFrom="column">
                  <wp:posOffset>589106</wp:posOffset>
                </wp:positionH>
                <wp:positionV relativeFrom="paragraph">
                  <wp:posOffset>206375</wp:posOffset>
                </wp:positionV>
                <wp:extent cx="720437" cy="1403985"/>
                <wp:effectExtent l="0" t="0" r="0" b="12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43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F1A" w:rsidRPr="00CE7911" w:rsidRDefault="00902F1A" w:rsidP="00CE791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億</w:t>
                            </w:r>
                            <w:r w:rsidRPr="00CE791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美元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6.4pt;margin-top:16.25pt;width:56.75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" filled="f" stroked="f">
                <v:textbox style="mso-fit-shape-to-text:t">
                  <w:txbxContent>
                    <w:p w:rsidR="00902F1A" w:rsidRPr="00CE7911" w:rsidRDefault="00902F1A" w:rsidP="00CE791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億</w:t>
                      </w:r>
                      <w:r w:rsidRPr="00CE791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美元</w:t>
                      </w:r>
                    </w:p>
                  </w:txbxContent>
                </v:textbox>
              </v:shape>
            </w:pict>
          </mc:Fallback>
        </mc:AlternateContent>
      </w:r>
      <w:r w:rsidR="00DC02F8" w:rsidRPr="00C70F20">
        <w:rPr>
          <w:rFonts w:ascii="標楷體" w:eastAsia="標楷體" w:hAnsi="標楷體"/>
          <w:noProof/>
        </w:rPr>
        <w:drawing>
          <wp:inline distT="0" distB="0" distL="0" distR="0" wp14:anchorId="22A3512A" wp14:editId="6E6D8701">
            <wp:extent cx="5195454" cy="2770910"/>
            <wp:effectExtent l="0" t="0" r="5715" b="0"/>
            <wp:docPr id="15" name="圖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C02F8" w:rsidRPr="00C70F20" w:rsidRDefault="00DC02F8" w:rsidP="00DC02F8">
      <w:pPr>
        <w:tabs>
          <w:tab w:val="left" w:pos="567"/>
        </w:tabs>
        <w:spacing w:beforeLines="30" w:before="72" w:line="480" w:lineRule="exact"/>
        <w:ind w:leftChars="279" w:left="670" w:firstLineChars="202" w:firstLine="404"/>
        <w:jc w:val="both"/>
        <w:rPr>
          <w:rFonts w:ascii="標楷體" w:eastAsia="標楷體" w:hAnsi="標楷體" w:cstheme="minorBidi"/>
          <w:sz w:val="20"/>
          <w:szCs w:val="20"/>
        </w:rPr>
      </w:pPr>
      <w:r w:rsidRPr="00C70F20">
        <w:rPr>
          <w:rFonts w:ascii="標楷體" w:eastAsia="標楷體" w:hAnsi="標楷體" w:cstheme="minorBidi" w:hint="eastAsia"/>
          <w:sz w:val="20"/>
          <w:szCs w:val="20"/>
        </w:rPr>
        <w:t>資料來源：CEIC，經濟處製圖。</w:t>
      </w:r>
    </w:p>
    <w:p w:rsidR="00DC02F8" w:rsidRDefault="00DC02F8" w:rsidP="00DC02F8">
      <w:pPr>
        <w:tabs>
          <w:tab w:val="left" w:pos="567"/>
        </w:tabs>
        <w:spacing w:beforeLines="25" w:before="60" w:line="480" w:lineRule="exact"/>
        <w:ind w:leftChars="-58" w:left="1" w:hangingChars="50" w:hanging="140"/>
        <w:jc w:val="center"/>
        <w:rPr>
          <w:rFonts w:ascii="標楷體" w:eastAsia="標楷體" w:hAnsi="標楷體" w:cstheme="minorBidi"/>
          <w:b/>
          <w:sz w:val="28"/>
          <w:szCs w:val="28"/>
        </w:rPr>
      </w:pPr>
      <w:r w:rsidRPr="00C70F20">
        <w:rPr>
          <w:rFonts w:ascii="標楷體" w:eastAsia="標楷體" w:hAnsi="標楷體" w:cstheme="minorBidi" w:hint="eastAsia"/>
          <w:b/>
          <w:sz w:val="28"/>
          <w:szCs w:val="28"/>
        </w:rPr>
        <w:t>圖</w:t>
      </w:r>
      <w:r w:rsidR="00BF71E4">
        <w:rPr>
          <w:rFonts w:ascii="標楷體" w:eastAsia="標楷體" w:hAnsi="標楷體" w:cstheme="minorBidi" w:hint="eastAsia"/>
          <w:b/>
          <w:sz w:val="28"/>
          <w:szCs w:val="28"/>
        </w:rPr>
        <w:t>1-7</w:t>
      </w:r>
      <w:r w:rsidRPr="00C70F20">
        <w:rPr>
          <w:rFonts w:ascii="標楷體" w:eastAsia="標楷體" w:hAnsi="標楷體" w:cstheme="minorBidi"/>
          <w:b/>
          <w:sz w:val="28"/>
          <w:szCs w:val="28"/>
        </w:rPr>
        <w:t xml:space="preserve">  </w:t>
      </w:r>
      <w:r w:rsidRPr="00C70F20">
        <w:rPr>
          <w:rFonts w:ascii="標楷體" w:eastAsia="標楷體" w:hAnsi="標楷體" w:cstheme="minorBidi" w:hint="eastAsia"/>
          <w:b/>
          <w:sz w:val="28"/>
          <w:szCs w:val="28"/>
        </w:rPr>
        <w:t>外匯儲備走勢</w:t>
      </w:r>
    </w:p>
    <w:p w:rsidR="00CC578C" w:rsidRPr="00CC578C" w:rsidRDefault="00CC578C" w:rsidP="00CC578C">
      <w:pPr>
        <w:tabs>
          <w:tab w:val="left" w:pos="567"/>
        </w:tabs>
        <w:spacing w:beforeLines="25" w:before="60" w:line="480" w:lineRule="exact"/>
        <w:ind w:leftChars="-1" w:left="-1" w:hanging="1"/>
        <w:rPr>
          <w:rFonts w:ascii="標楷體" w:eastAsia="標楷體" w:hAnsi="標楷體" w:cstheme="minorBidi"/>
          <w:b/>
          <w:sz w:val="28"/>
          <w:szCs w:val="28"/>
        </w:rPr>
      </w:pPr>
      <w:r w:rsidRPr="00CC578C">
        <w:rPr>
          <w:rFonts w:ascii="標楷體" w:eastAsia="標楷體" w:hAnsi="標楷體" w:cstheme="minorBidi" w:hint="eastAsia"/>
          <w:b/>
          <w:sz w:val="28"/>
          <w:szCs w:val="28"/>
        </w:rPr>
        <w:t>(</w:t>
      </w:r>
      <w:r>
        <w:rPr>
          <w:rFonts w:ascii="標楷體" w:eastAsia="標楷體" w:hAnsi="標楷體" w:cstheme="minorBidi" w:hint="eastAsia"/>
          <w:b/>
          <w:sz w:val="28"/>
          <w:szCs w:val="28"/>
        </w:rPr>
        <w:t>六</w:t>
      </w:r>
      <w:r w:rsidRPr="00CC578C">
        <w:rPr>
          <w:rFonts w:ascii="標楷體" w:eastAsia="標楷體" w:hAnsi="標楷體" w:cstheme="minorBidi" w:hint="eastAsia"/>
          <w:b/>
          <w:sz w:val="28"/>
          <w:szCs w:val="28"/>
        </w:rPr>
        <w:t>)</w:t>
      </w:r>
      <w:r w:rsidRPr="00CC578C">
        <w:rPr>
          <w:rFonts w:ascii="標楷體" w:eastAsia="標楷體" w:hAnsi="標楷體" w:cstheme="minorBidi" w:hint="eastAsia"/>
          <w:b/>
          <w:sz w:val="28"/>
          <w:szCs w:val="28"/>
        </w:rPr>
        <w:tab/>
        <w:t>銀行體系潛存風險</w:t>
      </w:r>
    </w:p>
    <w:p w:rsidR="00CC578C" w:rsidRPr="00CC578C" w:rsidRDefault="00CC578C" w:rsidP="00CC578C">
      <w:pPr>
        <w:tabs>
          <w:tab w:val="left" w:pos="567"/>
        </w:tabs>
        <w:spacing w:beforeLines="25" w:before="60" w:line="480" w:lineRule="exact"/>
        <w:ind w:left="567" w:firstLineChars="202" w:firstLine="566"/>
        <w:rPr>
          <w:rFonts w:ascii="標楷體" w:eastAsia="標楷體" w:hAnsi="標楷體" w:cstheme="minorBidi"/>
          <w:sz w:val="28"/>
          <w:szCs w:val="28"/>
        </w:rPr>
      </w:pPr>
      <w:r w:rsidRPr="00CC578C">
        <w:rPr>
          <w:rFonts w:ascii="標楷體" w:eastAsia="標楷體" w:hAnsi="標楷體" w:cstheme="minorBidi" w:hint="eastAsia"/>
          <w:sz w:val="28"/>
          <w:szCs w:val="28"/>
        </w:rPr>
        <w:t>2017年底中國大陸</w:t>
      </w:r>
      <w:r w:rsidRPr="00C60E13">
        <w:rPr>
          <w:rFonts w:ascii="標楷體" w:eastAsia="標楷體" w:hAnsi="標楷體" w:cstheme="minorBidi" w:hint="eastAsia"/>
          <w:sz w:val="28"/>
          <w:szCs w:val="28"/>
        </w:rPr>
        <w:t>商業銀行不良貸款餘額1.7</w:t>
      </w:r>
      <w:r w:rsidR="00607DFE" w:rsidRPr="00C60E13">
        <w:rPr>
          <w:rFonts w:ascii="標楷體" w:eastAsia="標楷體" w:hAnsi="標楷體" w:cstheme="minorBidi" w:hint="eastAsia"/>
          <w:sz w:val="28"/>
          <w:szCs w:val="28"/>
        </w:rPr>
        <w:t>1</w:t>
      </w:r>
      <w:r w:rsidRPr="00C60E13">
        <w:rPr>
          <w:rFonts w:ascii="標楷體" w:eastAsia="標楷體" w:hAnsi="標楷體" w:cstheme="minorBidi" w:hint="eastAsia"/>
          <w:sz w:val="28"/>
          <w:szCs w:val="28"/>
        </w:rPr>
        <w:t>兆元，</w:t>
      </w:r>
      <w:r w:rsidR="00C60E13" w:rsidRPr="00C60E13">
        <w:rPr>
          <w:rFonts w:ascii="標楷體" w:eastAsia="標楷體" w:hAnsi="標楷體" w:cstheme="minorBidi" w:hint="eastAsia"/>
          <w:sz w:val="28"/>
          <w:szCs w:val="28"/>
        </w:rPr>
        <w:t>較</w:t>
      </w:r>
      <w:r w:rsidR="00C60E13">
        <w:rPr>
          <w:rFonts w:ascii="標楷體" w:eastAsia="標楷體" w:hAnsi="標楷體" w:cstheme="minorBidi" w:hint="eastAsia"/>
          <w:sz w:val="28"/>
          <w:szCs w:val="28"/>
        </w:rPr>
        <w:t>上季</w:t>
      </w:r>
      <w:r w:rsidRPr="00C60E13">
        <w:rPr>
          <w:rFonts w:ascii="標楷體" w:eastAsia="標楷體" w:hAnsi="標楷體" w:cstheme="minorBidi" w:hint="eastAsia"/>
          <w:sz w:val="28"/>
          <w:szCs w:val="28"/>
        </w:rPr>
        <w:t>底增加</w:t>
      </w:r>
      <w:r w:rsidR="00C60E13">
        <w:rPr>
          <w:rFonts w:ascii="標楷體" w:eastAsia="標楷體" w:hAnsi="標楷體" w:cstheme="minorBidi" w:hint="eastAsia"/>
          <w:sz w:val="28"/>
          <w:szCs w:val="28"/>
        </w:rPr>
        <w:t>353</w:t>
      </w:r>
      <w:r w:rsidRPr="00C60E13">
        <w:rPr>
          <w:rFonts w:ascii="標楷體" w:eastAsia="標楷體" w:hAnsi="標楷體" w:cstheme="minorBidi" w:hint="eastAsia"/>
          <w:sz w:val="28"/>
          <w:szCs w:val="28"/>
        </w:rPr>
        <w:t>億元，不良貸</w:t>
      </w:r>
      <w:r w:rsidRPr="00CC578C">
        <w:rPr>
          <w:rFonts w:ascii="標楷體" w:eastAsia="標楷體" w:hAnsi="標楷體" w:cstheme="minorBidi" w:hint="eastAsia"/>
          <w:sz w:val="28"/>
          <w:szCs w:val="28"/>
        </w:rPr>
        <w:t xml:space="preserve">款率為1.74%，與上季底持平。2017年12月 IMF （國際貨幣基金）發布「中國金融體系穩定評估 </w:t>
      </w:r>
      <w:proofErr w:type="gramStart"/>
      <w:r w:rsidRPr="00CC578C">
        <w:rPr>
          <w:rFonts w:ascii="標楷體" w:eastAsia="標楷體" w:hAnsi="標楷體" w:cstheme="minorBidi" w:hint="eastAsia"/>
          <w:sz w:val="28"/>
          <w:szCs w:val="28"/>
        </w:rPr>
        <w:t>（</w:t>
      </w:r>
      <w:proofErr w:type="gramEnd"/>
      <w:r w:rsidRPr="00CC578C">
        <w:rPr>
          <w:rFonts w:ascii="標楷體" w:eastAsia="標楷體" w:hAnsi="標楷體" w:cstheme="minorBidi" w:hint="eastAsia"/>
          <w:sz w:val="28"/>
          <w:szCs w:val="28"/>
        </w:rPr>
        <w:t xml:space="preserve">FSSA)」報告，認為中國大陸銀行業不良貸款恐被低估，呼籲應特別注意 3 </w:t>
      </w:r>
      <w:proofErr w:type="gramStart"/>
      <w:r w:rsidRPr="00CC578C">
        <w:rPr>
          <w:rFonts w:ascii="標楷體" w:eastAsia="標楷體" w:hAnsi="標楷體" w:cstheme="minorBidi" w:hint="eastAsia"/>
          <w:sz w:val="28"/>
          <w:szCs w:val="28"/>
        </w:rPr>
        <w:t>個</w:t>
      </w:r>
      <w:proofErr w:type="gramEnd"/>
      <w:r w:rsidRPr="00CC578C">
        <w:rPr>
          <w:rFonts w:ascii="標楷體" w:eastAsia="標楷體" w:hAnsi="標楷體" w:cstheme="minorBidi" w:hint="eastAsia"/>
          <w:sz w:val="28"/>
          <w:szCs w:val="28"/>
        </w:rPr>
        <w:t>緊張態勢和潛在風險，包括：風險信貸的快速成長、高風險貸款由銀行體系轉向影子銀行，以及政府在救助陷入困境國有企業時，出現道德風險的情況。</w:t>
      </w:r>
    </w:p>
    <w:p w:rsidR="009637F6" w:rsidRPr="003469EC" w:rsidRDefault="009637F6" w:rsidP="008C4624">
      <w:pPr>
        <w:pStyle w:val="af9"/>
        <w:spacing w:beforeLines="25" w:before="60" w:afterLines="25" w:after="60" w:line="480" w:lineRule="exact"/>
        <w:ind w:leftChars="354" w:left="850" w:firstLineChars="106" w:firstLine="297"/>
        <w:rPr>
          <w:rFonts w:eastAsia="標楷體"/>
          <w:color w:val="000000" w:themeColor="text1"/>
          <w:sz w:val="28"/>
          <w:szCs w:val="28"/>
          <w:lang w:eastAsia="zh-CN"/>
        </w:rPr>
      </w:pPr>
      <w:r w:rsidRPr="003469EC">
        <w:rPr>
          <w:rFonts w:eastAsia="標楷體"/>
          <w:color w:val="000000" w:themeColor="text1"/>
          <w:sz w:val="28"/>
          <w:szCs w:val="28"/>
          <w:lang w:eastAsia="zh-CN"/>
        </w:rPr>
        <w:br w:type="page"/>
      </w:r>
    </w:p>
    <w:p w:rsidR="00A34AD8" w:rsidRPr="003469EC" w:rsidRDefault="00133D57" w:rsidP="00A34AD8">
      <w:pPr>
        <w:pStyle w:val="20"/>
        <w:spacing w:beforeLines="50" w:before="120" w:line="480" w:lineRule="exact"/>
        <w:rPr>
          <w:rFonts w:ascii="Times New Roman" w:eastAsia="標楷體" w:hAnsi="Times New Roman"/>
          <w:color w:val="000000" w:themeColor="text1"/>
          <w:sz w:val="28"/>
          <w:szCs w:val="32"/>
        </w:rPr>
      </w:pPr>
      <w:bookmarkStart w:id="12" w:name="_Toc497918685"/>
      <w:r w:rsidRPr="003469EC">
        <w:rPr>
          <w:rFonts w:ascii="Times New Roman" w:eastAsia="標楷體" w:hAnsi="Times New Roman"/>
          <w:color w:val="000000" w:themeColor="text1"/>
          <w:sz w:val="28"/>
          <w:szCs w:val="32"/>
        </w:rPr>
        <w:lastRenderedPageBreak/>
        <w:t>三、</w:t>
      </w:r>
      <w:r w:rsidR="003E7BB4" w:rsidRPr="003E7BB4">
        <w:rPr>
          <w:rFonts w:ascii="Times New Roman" w:eastAsia="標楷體" w:hAnsi="Times New Roman" w:hint="eastAsia"/>
          <w:color w:val="000000" w:themeColor="text1"/>
          <w:sz w:val="28"/>
          <w:szCs w:val="32"/>
        </w:rPr>
        <w:t>中國大陸</w:t>
      </w:r>
      <w:r w:rsidR="003E7BB4" w:rsidRPr="003E7BB4">
        <w:rPr>
          <w:rFonts w:ascii="Times New Roman" w:eastAsia="標楷體" w:hAnsi="Times New Roman" w:hint="eastAsia"/>
          <w:color w:val="000000" w:themeColor="text1"/>
          <w:sz w:val="28"/>
          <w:szCs w:val="32"/>
        </w:rPr>
        <w:t>2018</w:t>
      </w:r>
      <w:r w:rsidR="003E7BB4" w:rsidRPr="003E7BB4">
        <w:rPr>
          <w:rFonts w:ascii="Times New Roman" w:eastAsia="標楷體" w:hAnsi="Times New Roman" w:hint="eastAsia"/>
          <w:color w:val="000000" w:themeColor="text1"/>
          <w:sz w:val="28"/>
          <w:szCs w:val="32"/>
        </w:rPr>
        <w:t>年經濟情勢展望</w:t>
      </w:r>
      <w:bookmarkEnd w:id="12"/>
    </w:p>
    <w:p w:rsidR="00874F4A" w:rsidRPr="005929AF" w:rsidRDefault="00874F4A" w:rsidP="00221515">
      <w:pPr>
        <w:widowControl/>
        <w:snapToGrid w:val="0"/>
        <w:spacing w:beforeLines="50" w:before="120" w:line="480" w:lineRule="exact"/>
        <w:ind w:firstLineChars="200" w:firstLine="560"/>
        <w:jc w:val="both"/>
        <w:rPr>
          <w:rFonts w:eastAsia="標楷體"/>
          <w:color w:val="000000" w:themeColor="text1"/>
          <w:kern w:val="0"/>
          <w:sz w:val="28"/>
          <w:szCs w:val="32"/>
        </w:rPr>
      </w:pPr>
      <w:r w:rsidRPr="003469EC">
        <w:rPr>
          <w:rFonts w:eastAsia="標楷體"/>
          <w:color w:val="000000" w:themeColor="text1"/>
          <w:kern w:val="0"/>
          <w:sz w:val="28"/>
          <w:szCs w:val="32"/>
        </w:rPr>
        <w:t xml:space="preserve">  </w:t>
      </w:r>
      <w:r w:rsidR="003E7BB4" w:rsidRPr="003E7BB4">
        <w:rPr>
          <w:rFonts w:eastAsia="標楷體" w:hint="eastAsia"/>
          <w:color w:val="000000" w:themeColor="text1"/>
          <w:kern w:val="0"/>
          <w:sz w:val="28"/>
          <w:szCs w:val="32"/>
        </w:rPr>
        <w:t>受到</w:t>
      </w:r>
      <w:r w:rsidR="003E7BB4" w:rsidRPr="003E7BB4">
        <w:rPr>
          <w:rFonts w:eastAsia="標楷體" w:hint="eastAsia"/>
          <w:color w:val="000000" w:themeColor="text1"/>
          <w:kern w:val="0"/>
          <w:sz w:val="28"/>
          <w:szCs w:val="32"/>
        </w:rPr>
        <w:t>2017</w:t>
      </w:r>
      <w:r w:rsidR="003E7BB4" w:rsidRPr="003E7BB4">
        <w:rPr>
          <w:rFonts w:eastAsia="標楷體" w:hint="eastAsia"/>
          <w:color w:val="000000" w:themeColor="text1"/>
          <w:kern w:val="0"/>
          <w:sz w:val="28"/>
          <w:szCs w:val="32"/>
        </w:rPr>
        <w:t>年全球經濟成長加速，中國大陸也維持強勁的經濟成長力道，全年成長達</w:t>
      </w:r>
      <w:r w:rsidR="003E7BB4" w:rsidRPr="003E7BB4">
        <w:rPr>
          <w:rFonts w:eastAsia="標楷體" w:hint="eastAsia"/>
          <w:color w:val="000000" w:themeColor="text1"/>
          <w:kern w:val="0"/>
          <w:sz w:val="28"/>
          <w:szCs w:val="32"/>
        </w:rPr>
        <w:t>6.9%</w:t>
      </w:r>
      <w:r w:rsidR="003E7BB4" w:rsidRPr="003E7BB4">
        <w:rPr>
          <w:rFonts w:eastAsia="標楷體" w:hint="eastAsia"/>
          <w:color w:val="000000" w:themeColor="text1"/>
          <w:kern w:val="0"/>
          <w:sz w:val="28"/>
          <w:szCs w:val="32"/>
        </w:rPr>
        <w:t>，高於</w:t>
      </w:r>
      <w:r w:rsidR="003E7BB4" w:rsidRPr="003E7BB4">
        <w:rPr>
          <w:rFonts w:eastAsia="標楷體" w:hint="eastAsia"/>
          <w:color w:val="000000" w:themeColor="text1"/>
          <w:kern w:val="0"/>
          <w:sz w:val="28"/>
          <w:szCs w:val="32"/>
        </w:rPr>
        <w:t>2016</w:t>
      </w:r>
      <w:r w:rsidR="003E7BB4" w:rsidRPr="003E7BB4">
        <w:rPr>
          <w:rFonts w:eastAsia="標楷體" w:hint="eastAsia"/>
          <w:color w:val="000000" w:themeColor="text1"/>
          <w:kern w:val="0"/>
          <w:sz w:val="28"/>
          <w:szCs w:val="32"/>
        </w:rPr>
        <w:t>年的</w:t>
      </w:r>
      <w:r w:rsidR="003E7BB4" w:rsidRPr="003E7BB4">
        <w:rPr>
          <w:rFonts w:eastAsia="標楷體" w:hint="eastAsia"/>
          <w:color w:val="000000" w:themeColor="text1"/>
          <w:kern w:val="0"/>
          <w:sz w:val="28"/>
          <w:szCs w:val="32"/>
        </w:rPr>
        <w:t>6.7%</w:t>
      </w:r>
      <w:r w:rsidR="003E7BB4" w:rsidRPr="003E7BB4">
        <w:rPr>
          <w:rFonts w:eastAsia="標楷體" w:hint="eastAsia"/>
          <w:color w:val="000000" w:themeColor="text1"/>
          <w:kern w:val="0"/>
          <w:sz w:val="28"/>
          <w:szCs w:val="32"/>
        </w:rPr>
        <w:t>。展望</w:t>
      </w:r>
      <w:r w:rsidR="003E7BB4" w:rsidRPr="003E7BB4">
        <w:rPr>
          <w:rFonts w:eastAsia="標楷體" w:hint="eastAsia"/>
          <w:color w:val="000000" w:themeColor="text1"/>
          <w:kern w:val="0"/>
          <w:sz w:val="28"/>
          <w:szCs w:val="32"/>
        </w:rPr>
        <w:t>2018</w:t>
      </w:r>
      <w:r w:rsidR="003E7BB4" w:rsidRPr="003E7BB4">
        <w:rPr>
          <w:rFonts w:eastAsia="標楷體" w:hint="eastAsia"/>
          <w:color w:val="000000" w:themeColor="text1"/>
          <w:kern w:val="0"/>
          <w:sz w:val="28"/>
          <w:szCs w:val="32"/>
        </w:rPr>
        <w:t>年，</w:t>
      </w:r>
      <w:r w:rsidR="00F4267F" w:rsidRPr="00F4267F">
        <w:rPr>
          <w:rFonts w:eastAsia="標楷體" w:hint="eastAsia"/>
          <w:color w:val="000000" w:themeColor="text1"/>
          <w:kern w:val="0"/>
          <w:sz w:val="28"/>
          <w:szCs w:val="32"/>
        </w:rPr>
        <w:t>IMF</w:t>
      </w:r>
      <w:r w:rsidR="00F4267F" w:rsidRPr="00F4267F">
        <w:rPr>
          <w:rFonts w:eastAsia="標楷體" w:hint="eastAsia"/>
          <w:color w:val="000000" w:themeColor="text1"/>
          <w:kern w:val="0"/>
          <w:sz w:val="28"/>
          <w:szCs w:val="32"/>
        </w:rPr>
        <w:t>、世界銀行及</w:t>
      </w:r>
      <w:r w:rsidR="00F4267F" w:rsidRPr="00F4267F">
        <w:rPr>
          <w:rFonts w:eastAsia="標楷體" w:hint="eastAsia"/>
          <w:color w:val="000000" w:themeColor="text1"/>
          <w:kern w:val="0"/>
          <w:sz w:val="28"/>
          <w:szCs w:val="32"/>
        </w:rPr>
        <w:t>OECD</w:t>
      </w:r>
      <w:r w:rsidR="00F4267F" w:rsidRPr="00F4267F">
        <w:rPr>
          <w:rFonts w:eastAsia="標楷體" w:hint="eastAsia"/>
          <w:color w:val="000000" w:themeColor="text1"/>
          <w:kern w:val="0"/>
          <w:sz w:val="28"/>
          <w:szCs w:val="32"/>
        </w:rPr>
        <w:t>等機構預估中國大陸經濟成長將落在</w:t>
      </w:r>
      <w:r w:rsidR="00F4267F" w:rsidRPr="00F4267F">
        <w:rPr>
          <w:rFonts w:eastAsia="標楷體" w:hint="eastAsia"/>
          <w:color w:val="000000" w:themeColor="text1"/>
          <w:kern w:val="0"/>
          <w:sz w:val="28"/>
          <w:szCs w:val="32"/>
        </w:rPr>
        <w:t>6.4%</w:t>
      </w:r>
      <w:r w:rsidR="00F4267F" w:rsidRPr="00F4267F">
        <w:rPr>
          <w:rFonts w:eastAsia="標楷體" w:hint="eastAsia"/>
          <w:color w:val="000000" w:themeColor="text1"/>
          <w:kern w:val="0"/>
          <w:sz w:val="28"/>
          <w:szCs w:val="32"/>
        </w:rPr>
        <w:t>至</w:t>
      </w:r>
      <w:r w:rsidR="00F4267F" w:rsidRPr="00F4267F">
        <w:rPr>
          <w:rFonts w:eastAsia="標楷體" w:hint="eastAsia"/>
          <w:color w:val="000000" w:themeColor="text1"/>
          <w:kern w:val="0"/>
          <w:sz w:val="28"/>
          <w:szCs w:val="32"/>
        </w:rPr>
        <w:t>6.6%</w:t>
      </w:r>
      <w:proofErr w:type="gramStart"/>
      <w:r w:rsidR="00F4267F" w:rsidRPr="00F4267F">
        <w:rPr>
          <w:rFonts w:eastAsia="標楷體" w:hint="eastAsia"/>
          <w:color w:val="000000" w:themeColor="text1"/>
          <w:kern w:val="0"/>
          <w:sz w:val="28"/>
          <w:szCs w:val="32"/>
        </w:rPr>
        <w:t>之間</w:t>
      </w:r>
      <w:r w:rsidR="003E7BB4" w:rsidRPr="003E7BB4">
        <w:rPr>
          <w:rFonts w:eastAsia="標楷體" w:hint="eastAsia"/>
          <w:color w:val="000000" w:themeColor="text1"/>
          <w:kern w:val="0"/>
          <w:sz w:val="28"/>
          <w:szCs w:val="32"/>
        </w:rPr>
        <w:t>，</w:t>
      </w:r>
      <w:proofErr w:type="gramEnd"/>
      <w:r w:rsidR="003E7BB4" w:rsidRPr="003E7BB4">
        <w:rPr>
          <w:rFonts w:eastAsia="標楷體" w:hint="eastAsia"/>
          <w:color w:val="000000" w:themeColor="text1"/>
          <w:kern w:val="0"/>
          <w:sz w:val="28"/>
          <w:szCs w:val="32"/>
        </w:rPr>
        <w:t>顯示經濟成長動能仍強。鑒於兩岸經濟往來密切，本文就中國大陸</w:t>
      </w:r>
      <w:r w:rsidR="003E7BB4" w:rsidRPr="003E7BB4">
        <w:rPr>
          <w:rFonts w:eastAsia="標楷體" w:hint="eastAsia"/>
          <w:color w:val="000000" w:themeColor="text1"/>
          <w:kern w:val="0"/>
          <w:sz w:val="28"/>
          <w:szCs w:val="32"/>
        </w:rPr>
        <w:t>2018</w:t>
      </w:r>
      <w:r w:rsidR="003E7BB4" w:rsidRPr="003E7BB4">
        <w:rPr>
          <w:rFonts w:eastAsia="標楷體" w:hint="eastAsia"/>
          <w:color w:val="000000" w:themeColor="text1"/>
          <w:kern w:val="0"/>
          <w:sz w:val="28"/>
          <w:szCs w:val="32"/>
        </w:rPr>
        <w:t>年經濟情勢展望進行</w:t>
      </w:r>
      <w:proofErr w:type="gramStart"/>
      <w:r w:rsidR="003E7BB4" w:rsidRPr="003E7BB4">
        <w:rPr>
          <w:rFonts w:eastAsia="標楷體" w:hint="eastAsia"/>
          <w:color w:val="000000" w:themeColor="text1"/>
          <w:kern w:val="0"/>
          <w:sz w:val="28"/>
          <w:szCs w:val="32"/>
        </w:rPr>
        <w:t>研</w:t>
      </w:r>
      <w:proofErr w:type="gramEnd"/>
      <w:r w:rsidR="003E7BB4" w:rsidRPr="003E7BB4">
        <w:rPr>
          <w:rFonts w:eastAsia="標楷體" w:hint="eastAsia"/>
          <w:color w:val="000000" w:themeColor="text1"/>
          <w:kern w:val="0"/>
          <w:sz w:val="28"/>
          <w:szCs w:val="32"/>
        </w:rPr>
        <w:t>析。</w:t>
      </w:r>
    </w:p>
    <w:p w:rsidR="00BF71E4" w:rsidRPr="003E7BB4" w:rsidRDefault="00BF71E4" w:rsidP="003E7BB4">
      <w:pPr>
        <w:spacing w:after="50" w:line="520" w:lineRule="exact"/>
        <w:ind w:rightChars="-24" w:right="-58"/>
        <w:jc w:val="both"/>
        <w:rPr>
          <w:rFonts w:eastAsia="標楷體"/>
          <w:b/>
          <w:sz w:val="28"/>
          <w:szCs w:val="28"/>
        </w:rPr>
      </w:pPr>
      <w:bookmarkStart w:id="13" w:name="_Toc497918686"/>
      <w:r>
        <w:rPr>
          <w:rFonts w:eastAsia="標楷體" w:hint="eastAsia"/>
          <w:b/>
          <w:sz w:val="28"/>
          <w:szCs w:val="28"/>
        </w:rPr>
        <w:t>(</w:t>
      </w:r>
      <w:proofErr w:type="gramStart"/>
      <w:r>
        <w:rPr>
          <w:rFonts w:eastAsia="標楷體" w:hint="eastAsia"/>
          <w:b/>
          <w:sz w:val="28"/>
          <w:szCs w:val="28"/>
        </w:rPr>
        <w:t>一</w:t>
      </w:r>
      <w:proofErr w:type="gramEnd"/>
      <w:r>
        <w:rPr>
          <w:rFonts w:eastAsia="標楷體" w:hint="eastAsia"/>
          <w:b/>
          <w:sz w:val="28"/>
          <w:szCs w:val="28"/>
        </w:rPr>
        <w:t>)</w:t>
      </w:r>
      <w:r w:rsidRPr="003E7BB4">
        <w:rPr>
          <w:rFonts w:eastAsia="標楷體" w:hint="eastAsia"/>
          <w:b/>
          <w:sz w:val="28"/>
          <w:szCs w:val="28"/>
        </w:rPr>
        <w:t>2018</w:t>
      </w:r>
      <w:r w:rsidRPr="003E7BB4">
        <w:rPr>
          <w:rFonts w:eastAsia="標楷體" w:hint="eastAsia"/>
          <w:b/>
          <w:sz w:val="28"/>
          <w:szCs w:val="28"/>
        </w:rPr>
        <w:t>年經濟展望</w:t>
      </w:r>
    </w:p>
    <w:p w:rsidR="00BF71E4" w:rsidRPr="003E7BB4" w:rsidRDefault="00BF71E4" w:rsidP="003E7BB4">
      <w:pPr>
        <w:spacing w:after="50" w:line="520" w:lineRule="exact"/>
        <w:ind w:rightChars="-24" w:right="-58" w:firstLineChars="200" w:firstLine="560"/>
        <w:jc w:val="both"/>
        <w:rPr>
          <w:rFonts w:ascii="標楷體" w:eastAsia="標楷體" w:hAnsi="標楷體" w:cstheme="minorBidi"/>
          <w:color w:val="000000" w:themeColor="text1"/>
          <w:kern w:val="0"/>
          <w:sz w:val="28"/>
          <w:szCs w:val="32"/>
        </w:rPr>
      </w:pPr>
      <w:r w:rsidRPr="003E7BB4">
        <w:rPr>
          <w:rFonts w:ascii="標楷體" w:eastAsia="標楷體" w:hAnsi="標楷體" w:cstheme="minorBidi" w:hint="eastAsia"/>
          <w:color w:val="000000" w:themeColor="text1"/>
          <w:kern w:val="0"/>
          <w:sz w:val="28"/>
          <w:szCs w:val="32"/>
        </w:rPr>
        <w:t>中央經濟工作會議業已於2017年12月20日召開完畢，會中提出推動經濟穩成長，由高速</w:t>
      </w:r>
      <w:r w:rsidRPr="002D7730">
        <w:rPr>
          <w:rFonts w:ascii="標楷體" w:eastAsia="標楷體" w:hAnsi="標楷體" w:cstheme="minorBidi" w:hint="eastAsia"/>
          <w:kern w:val="0"/>
          <w:sz w:val="28"/>
          <w:szCs w:val="32"/>
        </w:rPr>
        <w:t>成長階段轉向高質量發展階段，並防範化解金融風險等(相關</w:t>
      </w:r>
      <w:proofErr w:type="gramStart"/>
      <w:r w:rsidRPr="002D7730">
        <w:rPr>
          <w:rFonts w:ascii="標楷體" w:eastAsia="標楷體" w:hAnsi="標楷體" w:cstheme="minorBidi" w:hint="eastAsia"/>
          <w:kern w:val="0"/>
          <w:sz w:val="28"/>
          <w:szCs w:val="32"/>
        </w:rPr>
        <w:t>內容詳表</w:t>
      </w:r>
      <w:proofErr w:type="gramEnd"/>
      <w:r w:rsidR="00A9590D">
        <w:rPr>
          <w:rFonts w:ascii="標楷體" w:eastAsia="標楷體" w:hAnsi="標楷體" w:cstheme="minorBidi" w:hint="eastAsia"/>
          <w:kern w:val="0"/>
          <w:sz w:val="28"/>
          <w:szCs w:val="32"/>
        </w:rPr>
        <w:t>1-3</w:t>
      </w:r>
      <w:r w:rsidRPr="002D7730">
        <w:rPr>
          <w:rFonts w:ascii="標楷體" w:eastAsia="標楷體" w:hAnsi="標楷體" w:cstheme="minorBidi" w:hint="eastAsia"/>
          <w:kern w:val="0"/>
          <w:sz w:val="28"/>
          <w:szCs w:val="32"/>
        </w:rPr>
        <w:t>)。在此背景下</w:t>
      </w:r>
      <w:r w:rsidRPr="003E7BB4">
        <w:rPr>
          <w:rFonts w:ascii="標楷體" w:eastAsia="標楷體" w:hAnsi="標楷體" w:cstheme="minorBidi" w:hint="eastAsia"/>
          <w:color w:val="000000" w:themeColor="text1"/>
          <w:kern w:val="0"/>
          <w:sz w:val="28"/>
          <w:szCs w:val="32"/>
        </w:rPr>
        <w:t>，2018年中國大陸經濟成長、外貿走勢及可能的風險，分析如下</w:t>
      </w:r>
      <w:r w:rsidRPr="003E7BB4">
        <w:rPr>
          <w:rFonts w:ascii="標楷體" w:eastAsia="標楷體" w:hAnsi="標楷體" w:cstheme="minorBidi"/>
          <w:color w:val="000000" w:themeColor="text1"/>
          <w:kern w:val="0"/>
          <w:sz w:val="28"/>
          <w:szCs w:val="32"/>
          <w:vertAlign w:val="superscript"/>
        </w:rPr>
        <w:footnoteReference w:id="3"/>
      </w:r>
      <w:r w:rsidRPr="003E7BB4">
        <w:rPr>
          <w:rFonts w:ascii="標楷體" w:eastAsia="標楷體" w:hAnsi="標楷體" w:cstheme="minorBidi" w:hint="eastAsia"/>
          <w:color w:val="000000" w:themeColor="text1"/>
          <w:kern w:val="0"/>
          <w:sz w:val="28"/>
          <w:szCs w:val="32"/>
        </w:rPr>
        <w:t>：</w:t>
      </w:r>
    </w:p>
    <w:p w:rsidR="00BF71E4" w:rsidRPr="003E7BB4" w:rsidRDefault="00BF71E4" w:rsidP="00154082">
      <w:pPr>
        <w:spacing w:after="50" w:line="520" w:lineRule="exact"/>
        <w:ind w:left="1" w:rightChars="-24" w:right="-58" w:hanging="1"/>
        <w:jc w:val="both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t>1.</w:t>
      </w:r>
      <w:r w:rsidRPr="003E7BB4">
        <w:rPr>
          <w:rFonts w:eastAsia="標楷體" w:hint="eastAsia"/>
          <w:b/>
          <w:color w:val="000000" w:themeColor="text1"/>
          <w:sz w:val="28"/>
          <w:szCs w:val="28"/>
        </w:rPr>
        <w:t>經濟成長目標淡化</w:t>
      </w:r>
    </w:p>
    <w:p w:rsidR="00BF71E4" w:rsidRPr="003E7BB4" w:rsidRDefault="00BF71E4" w:rsidP="00154082">
      <w:pPr>
        <w:spacing w:after="50" w:line="520" w:lineRule="exact"/>
        <w:ind w:leftChars="118" w:left="283" w:rightChars="-24" w:right="-58"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BB4">
        <w:rPr>
          <w:rFonts w:ascii="標楷體" w:eastAsia="標楷體" w:hAnsi="標楷體" w:hint="eastAsia"/>
          <w:sz w:val="28"/>
          <w:szCs w:val="28"/>
        </w:rPr>
        <w:t>本次中央經濟工作會議強調，以供給面結構性改革為主軸，統籌推動經濟穩成長、防範風險工作等，並將經濟穩定成長放在首要位置，雖然該工作會議未提及具體經濟成長目標，惟中央財經領導小組辦公室副主任楊偉民表示</w:t>
      </w:r>
      <w:r w:rsidRPr="003E7BB4">
        <w:rPr>
          <w:rFonts w:ascii="標楷體" w:eastAsia="標楷體" w:hAnsi="標楷體"/>
          <w:sz w:val="28"/>
          <w:szCs w:val="28"/>
          <w:vertAlign w:val="superscript"/>
        </w:rPr>
        <w:footnoteReference w:id="4"/>
      </w:r>
      <w:r w:rsidRPr="003E7BB4">
        <w:rPr>
          <w:rFonts w:ascii="標楷體" w:eastAsia="標楷體" w:hAnsi="標楷體" w:hint="eastAsia"/>
          <w:sz w:val="28"/>
          <w:szCs w:val="28"/>
        </w:rPr>
        <w:t>，中國大陸已不具備高成長的客觀條件，若盲目追求高成長，帶來的風險可能比增加的GDP多。</w:t>
      </w:r>
      <w:proofErr w:type="gramStart"/>
      <w:r w:rsidRPr="003E7BB4">
        <w:rPr>
          <w:rFonts w:ascii="標楷體" w:eastAsia="標楷體" w:hAnsi="標楷體" w:hint="eastAsia"/>
          <w:sz w:val="28"/>
          <w:szCs w:val="28"/>
        </w:rPr>
        <w:t>另</w:t>
      </w:r>
      <w:proofErr w:type="gramEnd"/>
      <w:r w:rsidRPr="003E7BB4">
        <w:rPr>
          <w:rFonts w:ascii="標楷體" w:eastAsia="標楷體" w:hAnsi="標楷體" w:hint="eastAsia"/>
          <w:sz w:val="28"/>
          <w:szCs w:val="28"/>
        </w:rPr>
        <w:t>，國家統計局亦表示，中國大陸經濟不可能再像以前那樣保持高速成長，這是必然趨勢。</w:t>
      </w:r>
      <w:proofErr w:type="gramStart"/>
      <w:r w:rsidRPr="003E7BB4">
        <w:rPr>
          <w:rFonts w:ascii="標楷體" w:eastAsia="標楷體" w:hAnsi="標楷體" w:hint="eastAsia"/>
          <w:sz w:val="28"/>
          <w:szCs w:val="28"/>
        </w:rPr>
        <w:t>此外，</w:t>
      </w:r>
      <w:proofErr w:type="gramEnd"/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十九大報告指出，中國大陸經濟將由高速成長階段轉向高質量發展階段，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顯示</w:t>
      </w:r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GDP成長目標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已被</w:t>
      </w:r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淡化。中國大陸社科院2017年12月預期2018年GDP成長率降至6.7</w:t>
      </w:r>
      <w:r w:rsidRPr="003E7BB4">
        <w:rPr>
          <w:rFonts w:eastAsia="標楷體" w:hint="eastAsia"/>
          <w:color w:val="000000" w:themeColor="text1"/>
          <w:sz w:val="28"/>
          <w:szCs w:val="28"/>
        </w:rPr>
        <w:t>%</w:t>
      </w:r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F71E4" w:rsidRPr="003E7BB4" w:rsidRDefault="00BF71E4" w:rsidP="00154082">
      <w:pPr>
        <w:spacing w:after="50" w:line="520" w:lineRule="exact"/>
        <w:ind w:left="1" w:rightChars="-24" w:right="-58" w:hanging="1"/>
        <w:jc w:val="both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t>2.</w:t>
      </w:r>
      <w:r w:rsidRPr="003E7BB4">
        <w:rPr>
          <w:rFonts w:eastAsia="標楷體" w:hint="eastAsia"/>
          <w:b/>
          <w:color w:val="000000" w:themeColor="text1"/>
          <w:sz w:val="28"/>
          <w:szCs w:val="28"/>
        </w:rPr>
        <w:t>外貿情勢仍然樂觀</w:t>
      </w:r>
    </w:p>
    <w:p w:rsidR="00BF71E4" w:rsidRPr="003E7BB4" w:rsidRDefault="00BF71E4" w:rsidP="00154082">
      <w:pPr>
        <w:spacing w:after="50" w:line="520" w:lineRule="exact"/>
        <w:ind w:leftChars="118" w:left="283" w:rightChars="-24" w:right="-58"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BB4">
        <w:rPr>
          <w:rFonts w:ascii="標楷體" w:eastAsia="標楷體" w:hAnsi="標楷體" w:hint="eastAsia"/>
          <w:sz w:val="28"/>
          <w:szCs w:val="28"/>
        </w:rPr>
        <w:t>世界貿易組織（WTO）</w:t>
      </w:r>
      <w:r>
        <w:rPr>
          <w:rFonts w:ascii="標楷體" w:eastAsia="標楷體" w:hAnsi="標楷體" w:hint="eastAsia"/>
          <w:sz w:val="28"/>
          <w:szCs w:val="28"/>
        </w:rPr>
        <w:t>2017</w:t>
      </w:r>
      <w:r w:rsidRPr="003E7BB4">
        <w:rPr>
          <w:rFonts w:ascii="標楷體" w:eastAsia="標楷體" w:hAnsi="標楷體" w:hint="eastAsia"/>
          <w:sz w:val="28"/>
          <w:szCs w:val="28"/>
        </w:rPr>
        <w:t>年9月報告指出，</w:t>
      </w:r>
      <w:r w:rsidRPr="003E7BB4">
        <w:rPr>
          <w:rFonts w:ascii="標楷體" w:eastAsia="標楷體" w:hAnsi="標楷體"/>
          <w:sz w:val="28"/>
          <w:szCs w:val="28"/>
        </w:rPr>
        <w:t>2018</w:t>
      </w:r>
      <w:r w:rsidRPr="003E7BB4">
        <w:rPr>
          <w:rFonts w:ascii="標楷體" w:eastAsia="標楷體" w:hAnsi="標楷體" w:hint="eastAsia"/>
          <w:sz w:val="28"/>
          <w:szCs w:val="28"/>
        </w:rPr>
        <w:t>年全球貿易成長3.2</w:t>
      </w:r>
      <w:r w:rsidRPr="003E7BB4">
        <w:rPr>
          <w:rFonts w:eastAsia="標楷體" w:hint="eastAsia"/>
          <w:sz w:val="28"/>
          <w:szCs w:val="28"/>
        </w:rPr>
        <w:t>%</w:t>
      </w:r>
      <w:r w:rsidRPr="003E7BB4">
        <w:rPr>
          <w:rFonts w:ascii="標楷體" w:eastAsia="標楷體" w:hAnsi="標楷體" w:hint="eastAsia"/>
          <w:sz w:val="28"/>
          <w:szCs w:val="28"/>
        </w:rPr>
        <w:t>，雖較2017年3.6</w:t>
      </w:r>
      <w:r w:rsidRPr="003E7BB4">
        <w:rPr>
          <w:rFonts w:eastAsia="標楷體" w:hint="eastAsia"/>
          <w:sz w:val="28"/>
          <w:szCs w:val="28"/>
        </w:rPr>
        <w:t>%</w:t>
      </w:r>
      <w:r w:rsidRPr="003E7BB4">
        <w:rPr>
          <w:rFonts w:eastAsia="標楷體" w:hint="eastAsia"/>
          <w:sz w:val="28"/>
          <w:szCs w:val="28"/>
        </w:rPr>
        <w:t>減緩</w:t>
      </w:r>
      <w:r w:rsidRPr="003E7BB4">
        <w:rPr>
          <w:rFonts w:ascii="標楷體" w:eastAsia="標楷體" w:hAnsi="標楷體" w:hint="eastAsia"/>
          <w:sz w:val="28"/>
          <w:szCs w:val="28"/>
        </w:rPr>
        <w:t>，惟成長幅度仍高。</w:t>
      </w:r>
      <w:proofErr w:type="gramStart"/>
      <w:r w:rsidRPr="003E7BB4">
        <w:rPr>
          <w:rFonts w:ascii="標楷體" w:eastAsia="標楷體" w:hAnsi="標楷體" w:hint="eastAsia"/>
          <w:sz w:val="28"/>
          <w:szCs w:val="28"/>
        </w:rPr>
        <w:t>此外，</w:t>
      </w:r>
      <w:proofErr w:type="gramEnd"/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IMF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2017</w:t>
      </w:r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10月公布「世界經濟展望報告」指出，在全球景氣復甦背景下，預期將帶動中國大陸進出口提升。</w:t>
      </w:r>
      <w:proofErr w:type="gramStart"/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另</w:t>
      </w:r>
      <w:proofErr w:type="gramEnd"/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，中國大陸商務部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2017年</w:t>
      </w:r>
      <w:r w:rsidRPr="003E7BB4">
        <w:rPr>
          <w:rFonts w:ascii="標楷體" w:eastAsia="標楷體" w:hAnsi="標楷體"/>
          <w:color w:val="000000" w:themeColor="text1"/>
          <w:sz w:val="28"/>
          <w:szCs w:val="28"/>
        </w:rPr>
        <w:t>11</w:t>
      </w:r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月「中國對外貿易形勢報告（</w:t>
      </w:r>
      <w:r w:rsidRPr="003E7BB4">
        <w:rPr>
          <w:rFonts w:ascii="標楷體" w:eastAsia="標楷體" w:hAnsi="標楷體"/>
          <w:color w:val="000000" w:themeColor="text1"/>
          <w:sz w:val="28"/>
          <w:szCs w:val="28"/>
        </w:rPr>
        <w:t>2017</w:t>
      </w:r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年秋季）」表示，隨著全球貿易持續成長及「一帶一路」建設積極推動，預期2018年外貿形勢仍屬樂觀。</w:t>
      </w:r>
    </w:p>
    <w:p w:rsidR="00BF71E4" w:rsidRPr="003E7BB4" w:rsidRDefault="00BF71E4" w:rsidP="00154082">
      <w:pPr>
        <w:spacing w:after="50" w:line="520" w:lineRule="exact"/>
        <w:ind w:left="1" w:rightChars="-24" w:right="-58" w:hanging="1"/>
        <w:jc w:val="both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t>3.</w:t>
      </w:r>
      <w:r w:rsidRPr="003E7BB4">
        <w:rPr>
          <w:rFonts w:eastAsia="標楷體" w:hint="eastAsia"/>
          <w:b/>
          <w:color w:val="000000" w:themeColor="text1"/>
          <w:sz w:val="28"/>
          <w:szCs w:val="28"/>
        </w:rPr>
        <w:t>投資走緩</w:t>
      </w:r>
    </w:p>
    <w:p w:rsidR="00BF71E4" w:rsidRPr="003E7BB4" w:rsidRDefault="00BF71E4" w:rsidP="00154082">
      <w:pPr>
        <w:spacing w:after="50" w:line="520" w:lineRule="exact"/>
        <w:ind w:leftChars="118" w:left="283" w:rightChars="-24" w:right="-58"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BB4">
        <w:rPr>
          <w:rFonts w:ascii="標楷體" w:eastAsia="標楷體" w:hAnsi="標楷體" w:hint="eastAsia"/>
          <w:sz w:val="28"/>
          <w:szCs w:val="28"/>
        </w:rPr>
        <w:t>2017年中央經濟工作會議，將防範金融風險列為未來3年的重點工作，並提出金融和實體、金融和房地產以及金融體系內部的良性循環，以推動解決過剩產能。</w:t>
      </w:r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是</w:t>
      </w:r>
      <w:proofErr w:type="gramStart"/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proofErr w:type="gramEnd"/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，預期中國大陸深化削減過剩產能、債務和房屋庫存，將使投資難以維持目前的成長水準，加以目前中國大陸加強縮減信貸風險、減少刺激性措施，恐影響投資成長。</w:t>
      </w:r>
      <w:proofErr w:type="gramStart"/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另</w:t>
      </w:r>
      <w:proofErr w:type="gramEnd"/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，經濟學人2017年9月</w:t>
      </w:r>
      <w:r w:rsidR="00A9590D">
        <w:rPr>
          <w:rFonts w:ascii="標楷體" w:eastAsia="標楷體" w:hAnsi="標楷體" w:hint="eastAsia"/>
          <w:color w:val="000000" w:themeColor="text1"/>
          <w:sz w:val="28"/>
          <w:szCs w:val="28"/>
        </w:rPr>
        <w:t>提出十九大分析</w:t>
      </w:r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報告</w:t>
      </w:r>
      <w:r w:rsidR="00A9590D">
        <w:rPr>
          <w:rFonts w:ascii="標楷體" w:eastAsia="標楷體" w:hAnsi="標楷體" w:hint="eastAsia"/>
          <w:color w:val="000000" w:themeColor="text1"/>
          <w:sz w:val="28"/>
          <w:szCs w:val="28"/>
        </w:rPr>
        <w:t>指出</w:t>
      </w:r>
      <w:r w:rsidR="00A9590D">
        <w:rPr>
          <w:rStyle w:val="a8"/>
          <w:rFonts w:ascii="標楷體" w:eastAsia="標楷體" w:hAnsi="標楷體"/>
          <w:color w:val="000000" w:themeColor="text1"/>
          <w:sz w:val="28"/>
          <w:szCs w:val="28"/>
        </w:rPr>
        <w:footnoteReference w:id="5"/>
      </w:r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，預計2018年中國大陸的投資成長率將從2017年預估的5.8</w:t>
      </w:r>
      <w:r w:rsidRPr="003E7BB4">
        <w:rPr>
          <w:rFonts w:eastAsia="標楷體"/>
          <w:color w:val="000000" w:themeColor="text1"/>
          <w:sz w:val="28"/>
          <w:szCs w:val="28"/>
        </w:rPr>
        <w:t>%</w:t>
      </w:r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降至3.6</w:t>
      </w:r>
      <w:r w:rsidRPr="003E7BB4">
        <w:rPr>
          <w:rFonts w:eastAsia="標楷體"/>
          <w:color w:val="000000" w:themeColor="text1"/>
          <w:sz w:val="28"/>
          <w:szCs w:val="28"/>
        </w:rPr>
        <w:t>%</w:t>
      </w:r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F71E4" w:rsidRPr="003E7BB4" w:rsidRDefault="00BF71E4" w:rsidP="00154082">
      <w:pPr>
        <w:spacing w:after="50" w:line="520" w:lineRule="exact"/>
        <w:ind w:left="1" w:rightChars="-24" w:right="-58" w:hanging="1"/>
        <w:jc w:val="both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t>4.</w:t>
      </w:r>
      <w:r w:rsidRPr="003E7BB4">
        <w:rPr>
          <w:rFonts w:eastAsia="標楷體" w:hint="eastAsia"/>
          <w:b/>
          <w:color w:val="000000" w:themeColor="text1"/>
          <w:sz w:val="28"/>
          <w:szCs w:val="28"/>
        </w:rPr>
        <w:t>可能的風險</w:t>
      </w:r>
    </w:p>
    <w:p w:rsidR="00BF71E4" w:rsidRPr="003E7BB4" w:rsidRDefault="00BF71E4" w:rsidP="00154082">
      <w:pPr>
        <w:spacing w:after="50" w:line="520" w:lineRule="exact"/>
        <w:ind w:rightChars="-24" w:right="-58" w:firstLineChars="101" w:firstLine="283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(1)</w:t>
      </w:r>
      <w:r w:rsidRPr="003E7BB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外部風險</w:t>
      </w:r>
    </w:p>
    <w:p w:rsidR="00BF71E4" w:rsidRPr="003E7BB4" w:rsidRDefault="00BF71E4" w:rsidP="003E7BB4">
      <w:pPr>
        <w:tabs>
          <w:tab w:val="left" w:pos="851"/>
        </w:tabs>
        <w:spacing w:after="50" w:line="480" w:lineRule="exact"/>
        <w:ind w:leftChars="236" w:left="849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─</w:t>
      </w:r>
      <w:proofErr w:type="gramEnd"/>
      <w:r w:rsidRPr="003E7BB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美中貿易衝突</w:t>
      </w:r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：降低美中貿易失衡是美國川普總統重要的施政主張，未來美國仍可能透過認定中國大陸為匯率操縱國、課徵高額關稅等方式，反制中國大陸。2017年12月川普公布國家安全戰略報告，將中國大陸列為挑戰美國經濟地位、侵蝕美國繁榮安全的主要威脅，顯示美中貿易戰</w:t>
      </w:r>
      <w:proofErr w:type="gramStart"/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風險仍潛存</w:t>
      </w:r>
      <w:proofErr w:type="gramEnd"/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高度風險。 </w:t>
      </w:r>
    </w:p>
    <w:p w:rsidR="00BF71E4" w:rsidRPr="003E7BB4" w:rsidRDefault="00BF71E4" w:rsidP="003E7BB4">
      <w:pPr>
        <w:tabs>
          <w:tab w:val="left" w:pos="851"/>
        </w:tabs>
        <w:spacing w:after="50" w:line="480" w:lineRule="exact"/>
        <w:ind w:leftChars="236" w:left="849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─</w:t>
      </w:r>
      <w:proofErr w:type="gramEnd"/>
      <w:r w:rsidRPr="003E7BB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資金外流</w:t>
      </w:r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：美國國會於2017年12月通過稅改法案，企業所得將從35</w:t>
      </w:r>
      <w:r w:rsidRPr="003E7BB4">
        <w:rPr>
          <w:rFonts w:eastAsia="標楷體"/>
          <w:color w:val="000000" w:themeColor="text1"/>
          <w:sz w:val="28"/>
          <w:szCs w:val="28"/>
        </w:rPr>
        <w:t>%</w:t>
      </w:r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調降至21</w:t>
      </w:r>
      <w:r w:rsidRPr="003E7BB4">
        <w:rPr>
          <w:rFonts w:eastAsia="標楷體"/>
          <w:color w:val="000000" w:themeColor="text1"/>
          <w:sz w:val="28"/>
          <w:szCs w:val="28"/>
        </w:rPr>
        <w:t>%</w:t>
      </w:r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，個人所得稅最高稅率從39.6</w:t>
      </w:r>
      <w:r w:rsidRPr="003E7BB4">
        <w:rPr>
          <w:rFonts w:eastAsia="標楷體"/>
          <w:color w:val="000000" w:themeColor="text1"/>
          <w:sz w:val="28"/>
          <w:szCs w:val="28"/>
        </w:rPr>
        <w:t>%</w:t>
      </w:r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調降至37</w:t>
      </w:r>
      <w:r w:rsidRPr="003E7BB4">
        <w:rPr>
          <w:rFonts w:eastAsia="標楷體"/>
          <w:color w:val="000000" w:themeColor="text1"/>
          <w:sz w:val="28"/>
          <w:szCs w:val="28"/>
        </w:rPr>
        <w:t>%</w:t>
      </w:r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，將可能刺激在中國大陸的美國資本回流，及其他外資企業撤離投資中國大陸市場，加以美國聯</w:t>
      </w:r>
      <w:proofErr w:type="gramStart"/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會持續的加息</w:t>
      </w:r>
      <w:proofErr w:type="gramStart"/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和縮表</w:t>
      </w:r>
      <w:proofErr w:type="gramEnd"/>
      <w:r w:rsidRPr="003E7BB4">
        <w:rPr>
          <w:rFonts w:ascii="標楷體" w:eastAsia="標楷體" w:hAnsi="標楷體"/>
          <w:color w:val="000000" w:themeColor="text1"/>
          <w:sz w:val="28"/>
          <w:szCs w:val="28"/>
        </w:rPr>
        <w:t>，預期</w:t>
      </w:r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在</w:t>
      </w:r>
      <w:r w:rsidRPr="003E7BB4">
        <w:rPr>
          <w:rFonts w:ascii="標楷體" w:eastAsia="標楷體" w:hAnsi="標楷體"/>
          <w:color w:val="000000" w:themeColor="text1"/>
          <w:sz w:val="28"/>
          <w:szCs w:val="28"/>
        </w:rPr>
        <w:t>美元走勢轉強情況下，人民幣匯率</w:t>
      </w:r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恐將面臨貶值壓力。</w:t>
      </w:r>
    </w:p>
    <w:p w:rsidR="00BF71E4" w:rsidRPr="003E7BB4" w:rsidRDefault="00BF71E4" w:rsidP="00154082">
      <w:pPr>
        <w:tabs>
          <w:tab w:val="left" w:pos="851"/>
        </w:tabs>
        <w:spacing w:after="50" w:line="480" w:lineRule="exact"/>
        <w:ind w:firstLineChars="101" w:firstLine="283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(2)</w:t>
      </w:r>
      <w:r w:rsidRPr="003E7BB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內部風險</w:t>
      </w:r>
    </w:p>
    <w:p w:rsidR="00BF71E4" w:rsidRPr="003E7BB4" w:rsidRDefault="00BF71E4" w:rsidP="003E7BB4">
      <w:pPr>
        <w:tabs>
          <w:tab w:val="left" w:pos="851"/>
        </w:tabs>
        <w:spacing w:after="50" w:line="480" w:lineRule="exact"/>
        <w:ind w:leftChars="237" w:left="852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3E7BB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─</w:t>
      </w:r>
      <w:proofErr w:type="gramEnd"/>
      <w:r w:rsidRPr="003E7BB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房地產市場調整</w:t>
      </w:r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：習近平十九大報告提及「堅持房子是用來住的、不是用來炒的」，顯示十九大後，深化供給面改革及加大房地產調控，將列為中國大陸的施政重點。</w:t>
      </w:r>
      <w:proofErr w:type="gramStart"/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另</w:t>
      </w:r>
      <w:proofErr w:type="gramEnd"/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，IMF於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2017</w:t>
      </w:r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年8月報告指出，中國大陸因採取進一步嚴格的監管措施，未來房地產投資可能放緩，影響投資成長。</w:t>
      </w:r>
    </w:p>
    <w:p w:rsidR="00BF71E4" w:rsidRPr="003E7BB4" w:rsidRDefault="00BF71E4" w:rsidP="003E7BB4">
      <w:pPr>
        <w:tabs>
          <w:tab w:val="left" w:pos="851"/>
        </w:tabs>
        <w:spacing w:after="50" w:line="480" w:lineRule="exact"/>
        <w:ind w:leftChars="236" w:left="849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3E7BB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─</w:t>
      </w:r>
      <w:proofErr w:type="gramEnd"/>
      <w:r w:rsidRPr="003E7BB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既有產業成長動能減弱</w:t>
      </w:r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：隨著中國大陸經濟發展進入新常態，資源環境制約力轉強，勞動力成本優勢逐漸減弱，及部分傳統產業產能過剩問題，使得既有產業成長加速減弱；中國大陸期透過「互聯網</w:t>
      </w:r>
      <w:r w:rsidRPr="003E7BB4">
        <w:rPr>
          <w:rFonts w:ascii="標楷體" w:eastAsia="標楷體" w:hAnsi="標楷體"/>
          <w:color w:val="000000" w:themeColor="text1"/>
          <w:sz w:val="28"/>
          <w:szCs w:val="28"/>
        </w:rPr>
        <w:t>+</w:t>
      </w:r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」和「中國製造</w:t>
      </w:r>
      <w:r w:rsidRPr="003E7BB4">
        <w:rPr>
          <w:rFonts w:ascii="標楷體" w:eastAsia="標楷體" w:hAnsi="標楷體"/>
          <w:color w:val="000000" w:themeColor="text1"/>
          <w:sz w:val="28"/>
          <w:szCs w:val="28"/>
        </w:rPr>
        <w:t>2025</w:t>
      </w:r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」等，加快培育新動能，惟短期內尚難彌補傳統動能消失的缺口。</w:t>
      </w:r>
    </w:p>
    <w:p w:rsidR="00BF71E4" w:rsidRPr="003E7BB4" w:rsidRDefault="00BF71E4" w:rsidP="003E7BB4">
      <w:pPr>
        <w:tabs>
          <w:tab w:val="left" w:pos="851"/>
        </w:tabs>
        <w:spacing w:after="50" w:line="480" w:lineRule="exact"/>
        <w:ind w:leftChars="236" w:left="849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3E7BB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─</w:t>
      </w:r>
      <w:proofErr w:type="gramEnd"/>
      <w:r w:rsidRPr="003E7BB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金融監管政策強化</w:t>
      </w:r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：IMF在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2017</w:t>
      </w:r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年12月發布「2017年中國金融領域穩定評估報告」指出，中國大陸近年經濟成長，係受到債務型投資和出口的驅動，地方政府擴大債務，導致高風險信貸迅速增加，升高經濟面臨的風險；在防範化解金融風險前提下，預計十九大後相關抑制信貸擴張的監管措施，應會持續強化。</w:t>
      </w:r>
    </w:p>
    <w:p w:rsidR="00BF71E4" w:rsidRPr="003E7BB4" w:rsidRDefault="00BF71E4" w:rsidP="003E7BB4">
      <w:pPr>
        <w:tabs>
          <w:tab w:val="left" w:pos="851"/>
        </w:tabs>
        <w:spacing w:after="50" w:line="480" w:lineRule="exact"/>
        <w:ind w:leftChars="236" w:left="849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3E7BB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─</w:t>
      </w:r>
      <w:proofErr w:type="gramEnd"/>
      <w:r w:rsidRPr="003E7BB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環保督察力道擴大</w:t>
      </w:r>
      <w:r w:rsidR="00B10D13">
        <w:rPr>
          <w:rFonts w:ascii="標楷體" w:eastAsia="標楷體" w:hAnsi="標楷體" w:hint="eastAsia"/>
          <w:color w:val="000000" w:themeColor="text1"/>
          <w:sz w:val="28"/>
          <w:szCs w:val="28"/>
        </w:rPr>
        <w:t>：中央經濟工作會議提出「</w:t>
      </w:r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打好污染防治攻堅戰，要使主要污染物排放總量大幅減少</w:t>
      </w:r>
      <w:r w:rsidR="00B10D13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，預計</w:t>
      </w:r>
      <w:r w:rsidRPr="003E7BB4">
        <w:rPr>
          <w:rFonts w:ascii="標楷體" w:eastAsia="標楷體" w:hAnsi="標楷體"/>
          <w:color w:val="000000" w:themeColor="text1"/>
          <w:sz w:val="28"/>
          <w:szCs w:val="28"/>
        </w:rPr>
        <w:t>2018</w:t>
      </w:r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年中國大陸將嚴格執行環保政策，進一步強化對汙染企業和化工、鋼鐵等行業的治理。惟該等制約使相關行業生產減緩，使得上游產品價格提升，壓縮下游利潤空間，影響經濟成長</w:t>
      </w:r>
      <w:r w:rsidRPr="003E7BB4">
        <w:rPr>
          <w:rFonts w:ascii="標楷體" w:eastAsia="標楷體" w:hAnsi="標楷體"/>
          <w:color w:val="000000" w:themeColor="text1"/>
          <w:sz w:val="28"/>
          <w:szCs w:val="28"/>
          <w:vertAlign w:val="superscript"/>
        </w:rPr>
        <w:footnoteReference w:id="6"/>
      </w:r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proofErr w:type="gramStart"/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另</w:t>
      </w:r>
      <w:proofErr w:type="gramEnd"/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，中國大陸自2018年起，開始實施「環境保護稅法」，向排放企業直接徵收環保稅，此舉不僅提高廠商成本</w:t>
      </w:r>
      <w:r w:rsidRPr="003E7BB4">
        <w:rPr>
          <w:rFonts w:ascii="標楷體" w:eastAsia="標楷體" w:hAnsi="標楷體"/>
          <w:color w:val="000000" w:themeColor="text1"/>
          <w:sz w:val="28"/>
          <w:szCs w:val="28"/>
          <w:vertAlign w:val="superscript"/>
        </w:rPr>
        <w:footnoteReference w:id="7"/>
      </w:r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，且稅額由地方政府認定，為企業經營帶來不確定風險</w:t>
      </w:r>
      <w:r w:rsidRPr="003E7BB4">
        <w:rPr>
          <w:rFonts w:ascii="標楷體" w:eastAsia="標楷體" w:hAnsi="標楷體"/>
          <w:color w:val="000000" w:themeColor="text1"/>
          <w:sz w:val="28"/>
          <w:szCs w:val="28"/>
          <w:vertAlign w:val="superscript"/>
        </w:rPr>
        <w:footnoteReference w:id="8"/>
      </w:r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F71E4" w:rsidRPr="003E7BB4" w:rsidRDefault="00BF71E4" w:rsidP="003E7BB4">
      <w:pPr>
        <w:spacing w:after="50" w:line="520" w:lineRule="exact"/>
        <w:ind w:rightChars="-24" w:right="-58"/>
        <w:jc w:val="both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二</w:t>
      </w:r>
      <w:r>
        <w:rPr>
          <w:rFonts w:eastAsia="標楷體" w:hint="eastAsia"/>
          <w:b/>
          <w:sz w:val="28"/>
          <w:szCs w:val="28"/>
        </w:rPr>
        <w:t>)</w:t>
      </w:r>
      <w:r w:rsidRPr="003E7BB4">
        <w:rPr>
          <w:rFonts w:eastAsia="標楷體" w:hint="eastAsia"/>
          <w:b/>
          <w:sz w:val="28"/>
          <w:szCs w:val="28"/>
        </w:rPr>
        <w:t>主要機構對中國大陸經濟預測</w:t>
      </w:r>
    </w:p>
    <w:p w:rsidR="00BF71E4" w:rsidRPr="003E7BB4" w:rsidRDefault="00BF71E4" w:rsidP="003E7BB4">
      <w:pPr>
        <w:spacing w:after="50" w:line="520" w:lineRule="exact"/>
        <w:ind w:left="284" w:rightChars="-24" w:right="-58" w:firstLineChars="202" w:firstLine="566"/>
        <w:jc w:val="both"/>
        <w:rPr>
          <w:rFonts w:ascii="標楷體" w:eastAsia="標楷體" w:hAnsi="標楷體" w:cstheme="minorBidi"/>
          <w:color w:val="000000" w:themeColor="text1"/>
          <w:kern w:val="0"/>
          <w:sz w:val="28"/>
          <w:szCs w:val="32"/>
        </w:rPr>
      </w:pPr>
      <w:r w:rsidRPr="003E7BB4">
        <w:rPr>
          <w:rFonts w:ascii="標楷體" w:eastAsia="標楷體" w:hAnsi="標楷體" w:cstheme="minorBidi" w:hint="eastAsia"/>
          <w:color w:val="000000" w:themeColor="text1"/>
          <w:kern w:val="0"/>
          <w:sz w:val="28"/>
          <w:szCs w:val="32"/>
        </w:rPr>
        <w:t>鑒於2017年以來，中國大陸經濟走勢穩步成長，國際主要預測機構</w:t>
      </w:r>
      <w:r w:rsidRPr="003E7BB4">
        <w:rPr>
          <w:rFonts w:ascii="標楷體" w:eastAsia="標楷體" w:hAnsi="標楷體" w:cstheme="minorBidi" w:hint="eastAsia"/>
          <w:color w:val="000000" w:themeColor="text1"/>
          <w:kern w:val="0"/>
          <w:sz w:val="28"/>
          <w:szCs w:val="32"/>
        </w:rPr>
        <w:lastRenderedPageBreak/>
        <w:t>預測2018年中國大陸GDP成長大約在</w:t>
      </w:r>
      <w:r w:rsidRPr="00F87B3D">
        <w:rPr>
          <w:rFonts w:ascii="標楷體" w:eastAsia="標楷體" w:hAnsi="標楷體" w:cstheme="minorBidi" w:hint="eastAsia"/>
          <w:kern w:val="0"/>
          <w:sz w:val="28"/>
          <w:szCs w:val="32"/>
        </w:rPr>
        <w:t>6.4</w:t>
      </w:r>
      <w:r w:rsidRPr="00F87B3D">
        <w:rPr>
          <w:rFonts w:eastAsia="標楷體"/>
          <w:sz w:val="28"/>
          <w:szCs w:val="28"/>
        </w:rPr>
        <w:t>%</w:t>
      </w:r>
      <w:r w:rsidRPr="00F87B3D">
        <w:rPr>
          <w:rFonts w:ascii="標楷體" w:eastAsia="標楷體" w:hAnsi="標楷體" w:cstheme="minorBidi" w:hint="eastAsia"/>
          <w:kern w:val="0"/>
          <w:sz w:val="28"/>
          <w:szCs w:val="32"/>
        </w:rPr>
        <w:t>至6.6</w:t>
      </w:r>
      <w:r w:rsidRPr="00F87B3D">
        <w:rPr>
          <w:rFonts w:eastAsia="標楷體"/>
          <w:sz w:val="28"/>
          <w:szCs w:val="28"/>
        </w:rPr>
        <w:t>%</w:t>
      </w:r>
      <w:r w:rsidRPr="003E7BB4">
        <w:rPr>
          <w:rFonts w:eastAsia="標楷體" w:hint="eastAsia"/>
          <w:color w:val="000000" w:themeColor="text1"/>
          <w:sz w:val="28"/>
          <w:szCs w:val="28"/>
        </w:rPr>
        <w:t>間。</w:t>
      </w:r>
      <w:r>
        <w:rPr>
          <w:rFonts w:eastAsia="標楷體" w:hint="eastAsia"/>
          <w:color w:val="000000" w:themeColor="text1"/>
          <w:sz w:val="28"/>
          <w:szCs w:val="28"/>
        </w:rPr>
        <w:t>(</w:t>
      </w:r>
      <w:r>
        <w:rPr>
          <w:rFonts w:eastAsia="標楷體" w:hint="eastAsia"/>
          <w:color w:val="000000" w:themeColor="text1"/>
          <w:sz w:val="28"/>
          <w:szCs w:val="28"/>
        </w:rPr>
        <w:t>表</w:t>
      </w:r>
      <w:r>
        <w:rPr>
          <w:rFonts w:eastAsia="標楷體" w:hint="eastAsia"/>
          <w:color w:val="000000" w:themeColor="text1"/>
          <w:sz w:val="28"/>
          <w:szCs w:val="28"/>
        </w:rPr>
        <w:t>1-2)</w:t>
      </w:r>
    </w:p>
    <w:p w:rsidR="00BF71E4" w:rsidRPr="003E7BB4" w:rsidRDefault="00BF71E4" w:rsidP="003E7BB4">
      <w:pPr>
        <w:numPr>
          <w:ilvl w:val="0"/>
          <w:numId w:val="11"/>
        </w:numPr>
        <w:spacing w:after="50" w:line="520" w:lineRule="exact"/>
        <w:ind w:left="709" w:rightChars="-24" w:right="-58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3E7BB4">
        <w:rPr>
          <w:rFonts w:eastAsia="標楷體"/>
          <w:b/>
          <w:color w:val="000000" w:themeColor="text1"/>
          <w:sz w:val="28"/>
          <w:szCs w:val="28"/>
        </w:rPr>
        <w:t>國際貨幣基金</w:t>
      </w:r>
      <w:r w:rsidRPr="003E7BB4">
        <w:rPr>
          <w:rFonts w:eastAsia="標楷體"/>
          <w:b/>
          <w:color w:val="000000" w:themeColor="text1"/>
          <w:sz w:val="28"/>
          <w:szCs w:val="28"/>
        </w:rPr>
        <w:t>(IMF)</w:t>
      </w:r>
      <w:r w:rsidRPr="003E7BB4">
        <w:rPr>
          <w:rFonts w:eastAsia="標楷體"/>
          <w:b/>
          <w:color w:val="000000" w:themeColor="text1"/>
          <w:sz w:val="28"/>
          <w:szCs w:val="28"/>
        </w:rPr>
        <w:t>：</w:t>
      </w:r>
      <w:r w:rsidRPr="003E7BB4">
        <w:rPr>
          <w:rFonts w:eastAsia="標楷體"/>
          <w:color w:val="000000" w:themeColor="text1"/>
          <w:sz w:val="28"/>
          <w:szCs w:val="28"/>
        </w:rPr>
        <w:t>根據</w:t>
      </w:r>
      <w:r w:rsidRPr="003E7BB4">
        <w:rPr>
          <w:rFonts w:eastAsia="標楷體" w:hint="eastAsia"/>
          <w:color w:val="000000" w:themeColor="text1"/>
          <w:sz w:val="28"/>
          <w:szCs w:val="28"/>
        </w:rPr>
        <w:t>2018</w:t>
      </w:r>
      <w:r w:rsidRPr="003E7BB4">
        <w:rPr>
          <w:rFonts w:eastAsia="標楷體" w:hint="eastAsia"/>
          <w:color w:val="000000" w:themeColor="text1"/>
          <w:sz w:val="28"/>
          <w:szCs w:val="28"/>
        </w:rPr>
        <w:t>年</w:t>
      </w:r>
      <w:r w:rsidRPr="003E7BB4">
        <w:rPr>
          <w:rFonts w:eastAsia="標楷體"/>
          <w:color w:val="000000" w:themeColor="text1"/>
          <w:sz w:val="28"/>
          <w:szCs w:val="28"/>
        </w:rPr>
        <w:t>1</w:t>
      </w:r>
      <w:r w:rsidRPr="003E7BB4">
        <w:rPr>
          <w:rFonts w:eastAsia="標楷體"/>
          <w:color w:val="000000" w:themeColor="text1"/>
          <w:sz w:val="28"/>
          <w:szCs w:val="28"/>
        </w:rPr>
        <w:t>月「世界經濟展望報告」指出，</w:t>
      </w:r>
      <w:r w:rsidRPr="003E7BB4">
        <w:rPr>
          <w:rFonts w:eastAsia="標楷體" w:hint="eastAsia"/>
          <w:color w:val="000000" w:themeColor="text1"/>
          <w:sz w:val="28"/>
          <w:szCs w:val="28"/>
        </w:rPr>
        <w:t>預計全球經濟成長將加快，加上官方將繼續提供政策支持，調高</w:t>
      </w:r>
      <w:r w:rsidRPr="003E7BB4">
        <w:rPr>
          <w:rFonts w:eastAsia="標楷體" w:hint="eastAsia"/>
          <w:color w:val="000000" w:themeColor="text1"/>
          <w:sz w:val="28"/>
          <w:szCs w:val="28"/>
        </w:rPr>
        <w:t>2018</w:t>
      </w:r>
      <w:r w:rsidRPr="003E7BB4">
        <w:rPr>
          <w:rFonts w:eastAsia="標楷體" w:hint="eastAsia"/>
          <w:color w:val="000000" w:themeColor="text1"/>
          <w:sz w:val="28"/>
          <w:szCs w:val="28"/>
        </w:rPr>
        <w:t>年</w:t>
      </w:r>
      <w:r w:rsidRPr="003E7BB4">
        <w:rPr>
          <w:rFonts w:eastAsia="標楷體" w:hint="eastAsia"/>
          <w:color w:val="000000" w:themeColor="text1"/>
          <w:sz w:val="28"/>
          <w:szCs w:val="28"/>
        </w:rPr>
        <w:t>GDP</w:t>
      </w:r>
      <w:r w:rsidRPr="003E7BB4">
        <w:rPr>
          <w:rFonts w:eastAsia="標楷體" w:hint="eastAsia"/>
          <w:color w:val="000000" w:themeColor="text1"/>
          <w:sz w:val="28"/>
          <w:szCs w:val="28"/>
        </w:rPr>
        <w:t>預估至</w:t>
      </w:r>
      <w:r w:rsidRPr="003E7BB4">
        <w:rPr>
          <w:rFonts w:eastAsia="標楷體" w:hint="eastAsia"/>
          <w:b/>
          <w:bCs/>
          <w:color w:val="000000" w:themeColor="text1"/>
          <w:sz w:val="28"/>
          <w:szCs w:val="28"/>
        </w:rPr>
        <w:t xml:space="preserve"> </w:t>
      </w:r>
      <w:r w:rsidRPr="003E7BB4">
        <w:rPr>
          <w:rFonts w:eastAsia="標楷體" w:hint="eastAsia"/>
          <w:color w:val="000000" w:themeColor="text1"/>
          <w:sz w:val="28"/>
          <w:szCs w:val="28"/>
        </w:rPr>
        <w:t>6.6%</w:t>
      </w:r>
      <w:r w:rsidRPr="003E7BB4">
        <w:rPr>
          <w:rFonts w:eastAsia="標楷體" w:hint="eastAsia"/>
          <w:color w:val="000000" w:themeColor="text1"/>
          <w:sz w:val="28"/>
          <w:szCs w:val="28"/>
        </w:rPr>
        <w:t>，較上次預估增加</w:t>
      </w:r>
      <w:r w:rsidRPr="003E7BB4">
        <w:rPr>
          <w:rFonts w:eastAsia="標楷體" w:hint="eastAsia"/>
          <w:color w:val="000000" w:themeColor="text1"/>
          <w:sz w:val="28"/>
          <w:szCs w:val="28"/>
        </w:rPr>
        <w:t>0.1</w:t>
      </w:r>
      <w:r w:rsidRPr="003E7BB4">
        <w:rPr>
          <w:rFonts w:eastAsia="標楷體" w:hint="eastAsia"/>
          <w:color w:val="000000" w:themeColor="text1"/>
          <w:sz w:val="28"/>
          <w:szCs w:val="28"/>
        </w:rPr>
        <w:t>個百分點。</w:t>
      </w:r>
    </w:p>
    <w:p w:rsidR="00BF71E4" w:rsidRPr="003E7BB4" w:rsidRDefault="00BF71E4" w:rsidP="003E7BB4">
      <w:pPr>
        <w:numPr>
          <w:ilvl w:val="0"/>
          <w:numId w:val="11"/>
        </w:numPr>
        <w:spacing w:after="50" w:line="520" w:lineRule="exact"/>
        <w:ind w:left="709" w:rightChars="-24" w:right="-58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3E7BB4">
        <w:rPr>
          <w:rFonts w:eastAsia="標楷體" w:hint="eastAsia"/>
          <w:b/>
          <w:color w:val="000000" w:themeColor="text1"/>
          <w:sz w:val="28"/>
          <w:szCs w:val="28"/>
        </w:rPr>
        <w:t>世界銀行：</w:t>
      </w:r>
      <w:r w:rsidRPr="003E7BB4">
        <w:rPr>
          <w:rFonts w:eastAsia="標楷體" w:hint="eastAsia"/>
          <w:color w:val="000000" w:themeColor="text1"/>
          <w:sz w:val="28"/>
          <w:szCs w:val="28"/>
        </w:rPr>
        <w:t>2018</w:t>
      </w:r>
      <w:r w:rsidRPr="003E7BB4">
        <w:rPr>
          <w:rFonts w:eastAsia="標楷體" w:hint="eastAsia"/>
          <w:color w:val="000000" w:themeColor="text1"/>
          <w:sz w:val="28"/>
          <w:szCs w:val="28"/>
        </w:rPr>
        <w:t>年</w:t>
      </w:r>
      <w:r w:rsidRPr="003E7BB4">
        <w:rPr>
          <w:rFonts w:eastAsia="標楷體" w:hint="eastAsia"/>
          <w:color w:val="000000" w:themeColor="text1"/>
          <w:sz w:val="28"/>
          <w:szCs w:val="28"/>
        </w:rPr>
        <w:t>1</w:t>
      </w:r>
      <w:r w:rsidRPr="003E7BB4">
        <w:rPr>
          <w:rFonts w:eastAsia="標楷體" w:hint="eastAsia"/>
          <w:color w:val="000000" w:themeColor="text1"/>
          <w:sz w:val="28"/>
          <w:szCs w:val="28"/>
        </w:rPr>
        <w:t>月發布「</w:t>
      </w:r>
      <w:r w:rsidRPr="003E7BB4">
        <w:rPr>
          <w:rFonts w:eastAsia="標楷體"/>
          <w:color w:val="000000" w:themeColor="text1"/>
          <w:sz w:val="28"/>
          <w:szCs w:val="28"/>
        </w:rPr>
        <w:t>2018</w:t>
      </w:r>
      <w:r w:rsidRPr="003E7BB4">
        <w:rPr>
          <w:rFonts w:eastAsia="標楷體" w:hint="eastAsia"/>
          <w:color w:val="000000" w:themeColor="text1"/>
          <w:sz w:val="28"/>
          <w:szCs w:val="28"/>
        </w:rPr>
        <w:t>年全球經濟展望」報告指出，中國大陸受經濟</w:t>
      </w:r>
      <w:r w:rsidR="00B10D13">
        <w:rPr>
          <w:rFonts w:eastAsia="標楷體" w:hint="eastAsia"/>
          <w:color w:val="000000" w:themeColor="text1"/>
          <w:sz w:val="28"/>
          <w:szCs w:val="28"/>
        </w:rPr>
        <w:t>動能</w:t>
      </w:r>
      <w:r w:rsidR="00D064D2">
        <w:rPr>
          <w:rFonts w:eastAsia="標楷體" w:hint="eastAsia"/>
          <w:color w:val="000000" w:themeColor="text1"/>
          <w:sz w:val="28"/>
          <w:szCs w:val="28"/>
        </w:rPr>
        <w:t>由投資驅動轉向消費帶動</w:t>
      </w:r>
      <w:r w:rsidRPr="003E7BB4">
        <w:rPr>
          <w:rFonts w:eastAsia="標楷體" w:hint="eastAsia"/>
          <w:color w:val="000000" w:themeColor="text1"/>
          <w:sz w:val="28"/>
          <w:szCs w:val="28"/>
        </w:rPr>
        <w:t>和信貸成長放緩影響，預計</w:t>
      </w:r>
      <w:r w:rsidRPr="003E7BB4">
        <w:rPr>
          <w:rFonts w:eastAsia="標楷體"/>
          <w:color w:val="000000" w:themeColor="text1"/>
          <w:sz w:val="28"/>
          <w:szCs w:val="28"/>
        </w:rPr>
        <w:t>2018</w:t>
      </w:r>
      <w:r w:rsidRPr="003E7BB4">
        <w:rPr>
          <w:rFonts w:eastAsia="標楷體" w:hint="eastAsia"/>
          <w:color w:val="000000" w:themeColor="text1"/>
          <w:sz w:val="28"/>
          <w:szCs w:val="28"/>
        </w:rPr>
        <w:t>年經濟成長</w:t>
      </w:r>
      <w:proofErr w:type="gramStart"/>
      <w:r w:rsidRPr="003E7BB4">
        <w:rPr>
          <w:rFonts w:eastAsia="標楷體" w:hint="eastAsia"/>
          <w:color w:val="000000" w:themeColor="text1"/>
          <w:sz w:val="28"/>
          <w:szCs w:val="28"/>
        </w:rPr>
        <w:t>放緩至</w:t>
      </w:r>
      <w:proofErr w:type="gramEnd"/>
      <w:r w:rsidRPr="003E7BB4">
        <w:rPr>
          <w:rFonts w:eastAsia="標楷體"/>
          <w:color w:val="000000" w:themeColor="text1"/>
          <w:sz w:val="28"/>
          <w:szCs w:val="28"/>
        </w:rPr>
        <w:t>6.4%</w:t>
      </w:r>
      <w:r w:rsidRPr="003E7BB4">
        <w:rPr>
          <w:rFonts w:eastAsia="標楷體" w:hint="eastAsia"/>
          <w:color w:val="000000" w:themeColor="text1"/>
          <w:sz w:val="28"/>
          <w:szCs w:val="28"/>
        </w:rPr>
        <w:t>，與</w:t>
      </w:r>
      <w:r w:rsidRPr="003E7BB4">
        <w:rPr>
          <w:rFonts w:eastAsia="標楷體" w:hint="eastAsia"/>
          <w:color w:val="000000" w:themeColor="text1"/>
          <w:sz w:val="28"/>
          <w:szCs w:val="28"/>
        </w:rPr>
        <w:t>12</w:t>
      </w:r>
      <w:r w:rsidRPr="003E7BB4">
        <w:rPr>
          <w:rFonts w:eastAsia="標楷體" w:hint="eastAsia"/>
          <w:color w:val="000000" w:themeColor="text1"/>
          <w:sz w:val="28"/>
          <w:szCs w:val="28"/>
        </w:rPr>
        <w:t>月預測值持平。</w:t>
      </w:r>
    </w:p>
    <w:p w:rsidR="00BF71E4" w:rsidRPr="003E7BB4" w:rsidRDefault="00BF71E4" w:rsidP="003E7BB4">
      <w:pPr>
        <w:numPr>
          <w:ilvl w:val="0"/>
          <w:numId w:val="11"/>
        </w:numPr>
        <w:spacing w:after="50" w:line="520" w:lineRule="exact"/>
        <w:ind w:left="709" w:rightChars="-24" w:right="-58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3E7BB4">
        <w:rPr>
          <w:rFonts w:eastAsia="標楷體" w:hint="eastAsia"/>
          <w:b/>
          <w:color w:val="000000" w:themeColor="text1"/>
          <w:sz w:val="28"/>
          <w:szCs w:val="28"/>
        </w:rPr>
        <w:t>聯合國：</w:t>
      </w:r>
      <w:r w:rsidRPr="003E7BB4">
        <w:rPr>
          <w:rFonts w:eastAsia="標楷體" w:hint="eastAsia"/>
          <w:color w:val="000000" w:themeColor="text1"/>
          <w:sz w:val="28"/>
          <w:szCs w:val="28"/>
        </w:rPr>
        <w:t>2017</w:t>
      </w:r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年12月發布「2018年世界經濟形勢與展望」指出，隨著中國大陸持續強化金融去槓桿化，以及房地產市場繼續降溫，恐將影響借貸擴張及投資成長，進而導致整體經濟降溫，預估2018年GDP成長率為6.5</w:t>
      </w:r>
      <w:r w:rsidRPr="003E7BB4">
        <w:rPr>
          <w:rFonts w:eastAsia="標楷體" w:hint="eastAsia"/>
          <w:color w:val="000000" w:themeColor="text1"/>
          <w:sz w:val="28"/>
          <w:szCs w:val="28"/>
        </w:rPr>
        <w:t>%</w:t>
      </w:r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F71E4" w:rsidRPr="003E7BB4" w:rsidRDefault="00BF71E4" w:rsidP="003E7BB4">
      <w:pPr>
        <w:numPr>
          <w:ilvl w:val="0"/>
          <w:numId w:val="11"/>
        </w:numPr>
        <w:spacing w:after="50" w:line="520" w:lineRule="exact"/>
        <w:ind w:left="709" w:rightChars="-24" w:right="-58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3E7BB4">
        <w:rPr>
          <w:rFonts w:eastAsia="標楷體"/>
          <w:b/>
          <w:color w:val="000000" w:themeColor="text1"/>
          <w:sz w:val="28"/>
          <w:szCs w:val="28"/>
        </w:rPr>
        <w:t>OECD</w:t>
      </w:r>
      <w:r w:rsidRPr="003E7BB4">
        <w:rPr>
          <w:rFonts w:eastAsia="標楷體"/>
          <w:b/>
          <w:color w:val="000000" w:themeColor="text1"/>
          <w:sz w:val="28"/>
          <w:szCs w:val="28"/>
        </w:rPr>
        <w:t>：</w:t>
      </w:r>
      <w:r w:rsidRPr="003E7BB4">
        <w:rPr>
          <w:rFonts w:eastAsia="標楷體" w:hint="eastAsia"/>
          <w:color w:val="000000" w:themeColor="text1"/>
          <w:sz w:val="28"/>
          <w:szCs w:val="28"/>
        </w:rPr>
        <w:t>2017</w:t>
      </w:r>
      <w:r w:rsidRPr="003E7BB4">
        <w:rPr>
          <w:rFonts w:eastAsia="標楷體" w:hint="eastAsia"/>
          <w:color w:val="000000" w:themeColor="text1"/>
          <w:sz w:val="28"/>
          <w:szCs w:val="28"/>
        </w:rPr>
        <w:t>年</w:t>
      </w:r>
      <w:r w:rsidRPr="003E7BB4">
        <w:rPr>
          <w:rFonts w:eastAsia="標楷體" w:hint="eastAsia"/>
          <w:color w:val="000000" w:themeColor="text1"/>
          <w:sz w:val="28"/>
          <w:szCs w:val="28"/>
        </w:rPr>
        <w:t>11</w:t>
      </w:r>
      <w:r w:rsidRPr="003E7BB4">
        <w:rPr>
          <w:rFonts w:eastAsia="標楷體"/>
          <w:color w:val="000000" w:themeColor="text1"/>
          <w:sz w:val="28"/>
          <w:szCs w:val="28"/>
        </w:rPr>
        <w:t>月發布</w:t>
      </w:r>
      <w:r w:rsidRPr="003E7BB4">
        <w:rPr>
          <w:rFonts w:eastAsia="標楷體" w:hint="eastAsia"/>
          <w:color w:val="000000" w:themeColor="text1"/>
          <w:sz w:val="28"/>
          <w:szCs w:val="28"/>
        </w:rPr>
        <w:t>「</w:t>
      </w:r>
      <w:r w:rsidRPr="003E7BB4">
        <w:rPr>
          <w:rFonts w:eastAsia="標楷體"/>
          <w:color w:val="000000" w:themeColor="text1"/>
          <w:sz w:val="28"/>
          <w:szCs w:val="28"/>
        </w:rPr>
        <w:t>經濟展望報告</w:t>
      </w:r>
      <w:r w:rsidRPr="003E7BB4">
        <w:rPr>
          <w:rFonts w:eastAsia="標楷體" w:hint="eastAsia"/>
          <w:color w:val="000000" w:themeColor="text1"/>
          <w:sz w:val="28"/>
          <w:szCs w:val="28"/>
        </w:rPr>
        <w:t>」</w:t>
      </w:r>
      <w:r w:rsidRPr="003E7BB4">
        <w:rPr>
          <w:rFonts w:eastAsia="標楷體"/>
          <w:color w:val="000000" w:themeColor="text1"/>
          <w:sz w:val="28"/>
          <w:szCs w:val="28"/>
        </w:rPr>
        <w:t>指出，</w:t>
      </w:r>
      <w:r w:rsidRPr="003E7BB4">
        <w:rPr>
          <w:rFonts w:eastAsia="標楷體" w:hint="eastAsia"/>
          <w:color w:val="000000" w:themeColor="text1"/>
          <w:sz w:val="28"/>
          <w:szCs w:val="28"/>
        </w:rPr>
        <w:t>隨著刺激措施的緩解，將持續控管企業債務，進而影響投資意願，加以在出口成長速度減弱下，預計</w:t>
      </w:r>
      <w:r w:rsidRPr="003E7BB4">
        <w:rPr>
          <w:rFonts w:eastAsia="標楷體" w:hint="eastAsia"/>
          <w:color w:val="000000" w:themeColor="text1"/>
          <w:sz w:val="28"/>
          <w:szCs w:val="28"/>
        </w:rPr>
        <w:t>2018</w:t>
      </w:r>
      <w:r w:rsidRPr="003E7BB4">
        <w:rPr>
          <w:rFonts w:eastAsia="標楷體" w:hint="eastAsia"/>
          <w:color w:val="000000" w:themeColor="text1"/>
          <w:sz w:val="28"/>
          <w:szCs w:val="28"/>
        </w:rPr>
        <w:t>年中國大陸經濟成長可能會</w:t>
      </w:r>
      <w:proofErr w:type="gramStart"/>
      <w:r w:rsidRPr="003E7BB4">
        <w:rPr>
          <w:rFonts w:eastAsia="標楷體" w:hint="eastAsia"/>
          <w:color w:val="000000" w:themeColor="text1"/>
          <w:sz w:val="28"/>
          <w:szCs w:val="28"/>
        </w:rPr>
        <w:t>放緩至</w:t>
      </w:r>
      <w:proofErr w:type="gramEnd"/>
      <w:r w:rsidRPr="003E7BB4">
        <w:rPr>
          <w:rFonts w:eastAsia="標楷體" w:hint="eastAsia"/>
          <w:color w:val="000000" w:themeColor="text1"/>
          <w:sz w:val="28"/>
          <w:szCs w:val="28"/>
        </w:rPr>
        <w:t>6.6%</w:t>
      </w:r>
      <w:r w:rsidRPr="003E7BB4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BF71E4" w:rsidRPr="003E7BB4" w:rsidRDefault="00BF71E4" w:rsidP="003E7BB4">
      <w:pPr>
        <w:numPr>
          <w:ilvl w:val="0"/>
          <w:numId w:val="11"/>
        </w:numPr>
        <w:spacing w:after="50" w:line="520" w:lineRule="exact"/>
        <w:ind w:left="709" w:rightChars="-24" w:right="-58"/>
        <w:jc w:val="both"/>
        <w:rPr>
          <w:rFonts w:eastAsia="標楷體"/>
          <w:color w:val="000000" w:themeColor="text1"/>
          <w:sz w:val="28"/>
          <w:szCs w:val="28"/>
        </w:rPr>
      </w:pPr>
      <w:r w:rsidRPr="003E7BB4">
        <w:rPr>
          <w:rFonts w:eastAsia="標楷體"/>
          <w:b/>
          <w:color w:val="000000" w:themeColor="text1"/>
          <w:sz w:val="28"/>
          <w:szCs w:val="28"/>
        </w:rPr>
        <w:t>亞洲開發銀行：</w:t>
      </w:r>
      <w:r w:rsidR="00D064D2" w:rsidRPr="00D064D2">
        <w:rPr>
          <w:rFonts w:eastAsia="標楷體" w:hint="eastAsia"/>
          <w:color w:val="000000" w:themeColor="text1"/>
          <w:sz w:val="28"/>
          <w:szCs w:val="28"/>
        </w:rPr>
        <w:t>2017</w:t>
      </w:r>
      <w:r w:rsidR="00D064D2" w:rsidRPr="00D064D2">
        <w:rPr>
          <w:rFonts w:eastAsia="標楷體" w:hint="eastAsia"/>
          <w:color w:val="000000" w:themeColor="text1"/>
          <w:sz w:val="28"/>
          <w:szCs w:val="28"/>
        </w:rPr>
        <w:t>年</w:t>
      </w:r>
      <w:r w:rsidRPr="003E7BB4">
        <w:rPr>
          <w:rFonts w:eastAsia="標楷體"/>
          <w:color w:val="000000" w:themeColor="text1"/>
          <w:sz w:val="28"/>
          <w:szCs w:val="28"/>
        </w:rPr>
        <w:t>9</w:t>
      </w:r>
      <w:r w:rsidRPr="003E7BB4">
        <w:rPr>
          <w:rFonts w:eastAsia="標楷體"/>
          <w:color w:val="000000" w:themeColor="text1"/>
          <w:sz w:val="28"/>
          <w:szCs w:val="28"/>
        </w:rPr>
        <w:t>月發布「亞洲經濟展望」報告指出，</w:t>
      </w:r>
      <w:r w:rsidRPr="003E7BB4">
        <w:rPr>
          <w:rFonts w:eastAsia="標楷體" w:hint="eastAsia"/>
          <w:color w:val="000000" w:themeColor="text1"/>
          <w:sz w:val="28"/>
          <w:szCs w:val="28"/>
        </w:rPr>
        <w:t>中國大陸貨幣和金融政策可能會保持不變，但受到投資繼續下滑、產能過剩及結構性和週期性因素致出口型產業前景不明</w:t>
      </w:r>
      <w:r w:rsidRPr="003E7BB4">
        <w:rPr>
          <w:rFonts w:eastAsia="標楷體"/>
          <w:color w:val="000000" w:themeColor="text1"/>
          <w:sz w:val="28"/>
          <w:szCs w:val="28"/>
        </w:rPr>
        <w:t>，</w:t>
      </w:r>
      <w:r w:rsidRPr="003E7BB4">
        <w:rPr>
          <w:rFonts w:eastAsia="標楷體" w:hint="eastAsia"/>
          <w:color w:val="000000" w:themeColor="text1"/>
          <w:sz w:val="28"/>
          <w:szCs w:val="28"/>
        </w:rPr>
        <w:t>影響經濟表現，</w:t>
      </w:r>
      <w:r w:rsidRPr="003E7BB4">
        <w:rPr>
          <w:rFonts w:eastAsia="標楷體"/>
          <w:color w:val="000000" w:themeColor="text1"/>
          <w:sz w:val="28"/>
          <w:szCs w:val="28"/>
        </w:rPr>
        <w:t>預測</w:t>
      </w:r>
      <w:r w:rsidRPr="003E7BB4">
        <w:rPr>
          <w:rFonts w:eastAsia="標楷體"/>
          <w:color w:val="000000" w:themeColor="text1"/>
          <w:sz w:val="28"/>
          <w:szCs w:val="28"/>
        </w:rPr>
        <w:t>201</w:t>
      </w:r>
      <w:r w:rsidRPr="003E7BB4">
        <w:rPr>
          <w:rFonts w:eastAsia="標楷體" w:hint="eastAsia"/>
          <w:color w:val="000000" w:themeColor="text1"/>
          <w:sz w:val="28"/>
          <w:szCs w:val="28"/>
        </w:rPr>
        <w:t>8</w:t>
      </w:r>
      <w:r w:rsidRPr="003E7BB4">
        <w:rPr>
          <w:rFonts w:eastAsia="標楷體"/>
          <w:color w:val="000000" w:themeColor="text1"/>
          <w:sz w:val="28"/>
          <w:szCs w:val="28"/>
        </w:rPr>
        <w:t>年</w:t>
      </w:r>
      <w:r w:rsidRPr="003E7BB4">
        <w:rPr>
          <w:rFonts w:eastAsia="標楷體"/>
          <w:color w:val="000000" w:themeColor="text1"/>
          <w:sz w:val="28"/>
          <w:szCs w:val="28"/>
        </w:rPr>
        <w:t>GDP</w:t>
      </w:r>
      <w:r w:rsidRPr="003E7BB4">
        <w:rPr>
          <w:rFonts w:eastAsia="標楷體"/>
          <w:color w:val="000000" w:themeColor="text1"/>
          <w:sz w:val="28"/>
          <w:szCs w:val="28"/>
        </w:rPr>
        <w:t>成長</w:t>
      </w:r>
      <w:r w:rsidRPr="003E7BB4">
        <w:rPr>
          <w:rFonts w:eastAsia="標楷體" w:hint="eastAsia"/>
          <w:color w:val="000000" w:themeColor="text1"/>
          <w:sz w:val="28"/>
          <w:szCs w:val="28"/>
        </w:rPr>
        <w:t>率</w:t>
      </w:r>
      <w:r w:rsidRPr="003E7BB4">
        <w:rPr>
          <w:rFonts w:eastAsia="標楷體"/>
          <w:color w:val="000000" w:themeColor="text1"/>
          <w:sz w:val="28"/>
          <w:szCs w:val="28"/>
        </w:rPr>
        <w:t>為</w:t>
      </w:r>
      <w:r w:rsidRPr="003E7BB4">
        <w:rPr>
          <w:rFonts w:eastAsia="標楷體"/>
          <w:color w:val="000000" w:themeColor="text1"/>
          <w:sz w:val="28"/>
          <w:szCs w:val="28"/>
        </w:rPr>
        <w:t>6.</w:t>
      </w:r>
      <w:r w:rsidRPr="003E7BB4">
        <w:rPr>
          <w:rFonts w:eastAsia="標楷體" w:hint="eastAsia"/>
          <w:color w:val="000000" w:themeColor="text1"/>
          <w:sz w:val="28"/>
          <w:szCs w:val="28"/>
        </w:rPr>
        <w:t>4</w:t>
      </w:r>
      <w:r w:rsidRPr="003E7BB4">
        <w:rPr>
          <w:rFonts w:eastAsia="標楷體"/>
          <w:color w:val="000000" w:themeColor="text1"/>
          <w:sz w:val="28"/>
          <w:szCs w:val="28"/>
        </w:rPr>
        <w:t>%</w:t>
      </w:r>
      <w:r w:rsidRPr="003E7BB4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BF71E4" w:rsidRPr="003E7BB4" w:rsidRDefault="00BF71E4" w:rsidP="00E91D69">
      <w:pPr>
        <w:numPr>
          <w:ilvl w:val="0"/>
          <w:numId w:val="11"/>
        </w:numPr>
        <w:spacing w:after="50" w:line="520" w:lineRule="exact"/>
        <w:ind w:left="709" w:rightChars="-24" w:right="-58"/>
        <w:jc w:val="both"/>
        <w:rPr>
          <w:rFonts w:eastAsia="標楷體"/>
          <w:color w:val="000000" w:themeColor="text1"/>
          <w:sz w:val="28"/>
          <w:szCs w:val="28"/>
        </w:rPr>
      </w:pPr>
      <w:r w:rsidRPr="003E7BB4">
        <w:rPr>
          <w:rFonts w:eastAsia="標楷體" w:hint="eastAsia"/>
          <w:b/>
          <w:color w:val="000000" w:themeColor="text1"/>
          <w:sz w:val="28"/>
          <w:szCs w:val="28"/>
        </w:rPr>
        <w:t>經濟學人研究機構</w:t>
      </w:r>
      <w:r w:rsidRPr="003E7BB4">
        <w:rPr>
          <w:rFonts w:eastAsia="標楷體" w:hint="eastAsia"/>
          <w:b/>
          <w:color w:val="000000" w:themeColor="text1"/>
          <w:sz w:val="28"/>
          <w:szCs w:val="28"/>
        </w:rPr>
        <w:t>(EIU)</w:t>
      </w:r>
      <w:r w:rsidRPr="003E7BB4">
        <w:rPr>
          <w:rFonts w:eastAsia="標楷體" w:hint="eastAsia"/>
          <w:b/>
          <w:color w:val="000000" w:themeColor="text1"/>
          <w:sz w:val="28"/>
          <w:szCs w:val="28"/>
        </w:rPr>
        <w:t>：</w:t>
      </w:r>
      <w:r w:rsidRPr="003E7BB4">
        <w:rPr>
          <w:rFonts w:eastAsia="標楷體" w:hint="eastAsia"/>
          <w:color w:val="000000" w:themeColor="text1"/>
          <w:sz w:val="28"/>
          <w:szCs w:val="28"/>
        </w:rPr>
        <w:t>根據</w:t>
      </w:r>
      <w:r>
        <w:rPr>
          <w:rFonts w:eastAsia="標楷體" w:hint="eastAsia"/>
          <w:color w:val="000000" w:themeColor="text1"/>
          <w:sz w:val="28"/>
          <w:szCs w:val="28"/>
        </w:rPr>
        <w:t>201</w:t>
      </w:r>
      <w:r w:rsidR="00021D72">
        <w:rPr>
          <w:rFonts w:eastAsia="標楷體" w:hint="eastAsia"/>
          <w:color w:val="000000" w:themeColor="text1"/>
          <w:sz w:val="28"/>
          <w:szCs w:val="28"/>
        </w:rPr>
        <w:t>8</w:t>
      </w:r>
      <w:r>
        <w:rPr>
          <w:rFonts w:eastAsia="標楷體" w:hint="eastAsia"/>
          <w:color w:val="000000" w:themeColor="text1"/>
          <w:sz w:val="28"/>
          <w:szCs w:val="28"/>
        </w:rPr>
        <w:t>年</w:t>
      </w:r>
      <w:r w:rsidRPr="003E7BB4">
        <w:rPr>
          <w:rFonts w:eastAsia="標楷體" w:hint="eastAsia"/>
          <w:color w:val="000000" w:themeColor="text1"/>
          <w:sz w:val="28"/>
          <w:szCs w:val="28"/>
        </w:rPr>
        <w:t>1</w:t>
      </w:r>
      <w:r w:rsidRPr="003E7BB4">
        <w:rPr>
          <w:rFonts w:eastAsia="標楷體" w:hint="eastAsia"/>
          <w:color w:val="000000" w:themeColor="text1"/>
          <w:sz w:val="28"/>
          <w:szCs w:val="28"/>
        </w:rPr>
        <w:t>月指出，</w:t>
      </w:r>
      <w:r w:rsidR="00D064D2" w:rsidRPr="003E7BB4">
        <w:rPr>
          <w:rFonts w:eastAsia="標楷體" w:hint="eastAsia"/>
          <w:color w:val="000000" w:themeColor="text1"/>
          <w:sz w:val="28"/>
          <w:szCs w:val="28"/>
        </w:rPr>
        <w:t>2018</w:t>
      </w:r>
      <w:r w:rsidR="00D064D2" w:rsidRPr="003E7BB4">
        <w:rPr>
          <w:rFonts w:eastAsia="標楷體" w:hint="eastAsia"/>
          <w:color w:val="000000" w:themeColor="text1"/>
          <w:sz w:val="28"/>
          <w:szCs w:val="28"/>
        </w:rPr>
        <w:t>年中國大陸</w:t>
      </w:r>
      <w:r w:rsidRPr="003E7BB4">
        <w:rPr>
          <w:rFonts w:eastAsia="標楷體" w:hint="eastAsia"/>
          <w:color w:val="000000" w:themeColor="text1"/>
          <w:sz w:val="28"/>
          <w:szCs w:val="28"/>
        </w:rPr>
        <w:t>會</w:t>
      </w:r>
      <w:r w:rsidR="00E91D69">
        <w:rPr>
          <w:rFonts w:eastAsia="標楷體" w:hint="eastAsia"/>
          <w:color w:val="000000" w:themeColor="text1"/>
          <w:sz w:val="28"/>
          <w:szCs w:val="28"/>
        </w:rPr>
        <w:t>減少</w:t>
      </w:r>
      <w:r w:rsidR="00E91D69" w:rsidRPr="00E91D69">
        <w:rPr>
          <w:rFonts w:eastAsia="標楷體" w:hint="eastAsia"/>
          <w:color w:val="000000" w:themeColor="text1"/>
          <w:sz w:val="28"/>
          <w:szCs w:val="28"/>
        </w:rPr>
        <w:t>信貸供給</w:t>
      </w:r>
      <w:r w:rsidR="00E91D69">
        <w:rPr>
          <w:rFonts w:eastAsia="標楷體" w:hint="eastAsia"/>
          <w:color w:val="000000" w:themeColor="text1"/>
          <w:sz w:val="28"/>
          <w:szCs w:val="28"/>
        </w:rPr>
        <w:t>及</w:t>
      </w:r>
      <w:r w:rsidRPr="003E7BB4">
        <w:rPr>
          <w:rFonts w:eastAsia="標楷體" w:hint="eastAsia"/>
          <w:color w:val="000000" w:themeColor="text1"/>
          <w:sz w:val="28"/>
          <w:szCs w:val="28"/>
        </w:rPr>
        <w:t>更落實金融監管以防堵金融風險，</w:t>
      </w:r>
      <w:r w:rsidR="00E91D69">
        <w:rPr>
          <w:rFonts w:eastAsia="標楷體" w:hint="eastAsia"/>
          <w:color w:val="000000" w:themeColor="text1"/>
          <w:sz w:val="28"/>
          <w:szCs w:val="28"/>
        </w:rPr>
        <w:t>並</w:t>
      </w:r>
      <w:r w:rsidR="00E91D69" w:rsidRPr="003E7BB4">
        <w:rPr>
          <w:rFonts w:eastAsia="標楷體" w:hint="eastAsia"/>
          <w:color w:val="000000" w:themeColor="text1"/>
          <w:sz w:val="28"/>
          <w:szCs w:val="28"/>
        </w:rPr>
        <w:t>強化</w:t>
      </w:r>
      <w:r w:rsidR="00E91D69" w:rsidRPr="00E91D69">
        <w:rPr>
          <w:rFonts w:eastAsia="標楷體" w:hint="eastAsia"/>
          <w:color w:val="000000" w:themeColor="text1"/>
          <w:sz w:val="28"/>
          <w:szCs w:val="28"/>
        </w:rPr>
        <w:t>國有企業和地方政府的預算約束</w:t>
      </w:r>
      <w:r w:rsidR="00E91D69">
        <w:rPr>
          <w:rFonts w:eastAsia="標楷體" w:hint="eastAsia"/>
          <w:color w:val="000000" w:themeColor="text1"/>
          <w:sz w:val="28"/>
          <w:szCs w:val="28"/>
        </w:rPr>
        <w:t>，預計</w:t>
      </w:r>
      <w:r w:rsidRPr="003E7BB4">
        <w:rPr>
          <w:rFonts w:eastAsia="標楷體" w:hint="eastAsia"/>
          <w:color w:val="000000" w:themeColor="text1"/>
          <w:sz w:val="28"/>
          <w:szCs w:val="28"/>
        </w:rPr>
        <w:t>經濟成長</w:t>
      </w:r>
      <w:r w:rsidR="00E91D69">
        <w:rPr>
          <w:rFonts w:eastAsia="標楷體" w:hint="eastAsia"/>
          <w:color w:val="000000" w:themeColor="text1"/>
          <w:sz w:val="28"/>
          <w:szCs w:val="28"/>
        </w:rPr>
        <w:t>將</w:t>
      </w:r>
      <w:proofErr w:type="gramStart"/>
      <w:r w:rsidRPr="003E7BB4">
        <w:rPr>
          <w:rFonts w:eastAsia="標楷體" w:hint="eastAsia"/>
          <w:color w:val="000000" w:themeColor="text1"/>
          <w:sz w:val="28"/>
          <w:szCs w:val="28"/>
        </w:rPr>
        <w:t>放緩至</w:t>
      </w:r>
      <w:proofErr w:type="gramEnd"/>
      <w:r w:rsidR="00021D72">
        <w:rPr>
          <w:rFonts w:eastAsia="標楷體" w:hint="eastAsia"/>
          <w:color w:val="000000" w:themeColor="text1"/>
          <w:sz w:val="28"/>
          <w:szCs w:val="28"/>
        </w:rPr>
        <w:t>6</w:t>
      </w:r>
      <w:r w:rsidRPr="003E7BB4">
        <w:rPr>
          <w:rFonts w:eastAsia="標楷體" w:hint="eastAsia"/>
          <w:color w:val="000000" w:themeColor="text1"/>
          <w:sz w:val="28"/>
          <w:szCs w:val="28"/>
        </w:rPr>
        <w:t>.</w:t>
      </w:r>
      <w:r w:rsidR="00021D72">
        <w:rPr>
          <w:rFonts w:eastAsia="標楷體" w:hint="eastAsia"/>
          <w:color w:val="000000" w:themeColor="text1"/>
          <w:sz w:val="28"/>
          <w:szCs w:val="28"/>
        </w:rPr>
        <w:t>4</w:t>
      </w:r>
      <w:r w:rsidRPr="003E7BB4">
        <w:rPr>
          <w:rFonts w:eastAsia="標楷體" w:hint="eastAsia"/>
          <w:color w:val="000000" w:themeColor="text1"/>
          <w:sz w:val="28"/>
          <w:szCs w:val="28"/>
        </w:rPr>
        <w:t>%</w:t>
      </w:r>
      <w:r w:rsidRPr="003E7BB4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BF71E4" w:rsidRPr="003E7BB4" w:rsidRDefault="00BF71E4" w:rsidP="003E7BB4">
      <w:pPr>
        <w:numPr>
          <w:ilvl w:val="0"/>
          <w:numId w:val="11"/>
        </w:numPr>
        <w:spacing w:after="50" w:line="520" w:lineRule="exact"/>
        <w:ind w:left="709" w:rightChars="-24" w:right="-58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3E7BB4">
        <w:rPr>
          <w:rFonts w:eastAsia="標楷體"/>
          <w:b/>
          <w:color w:val="000000" w:themeColor="text1"/>
          <w:sz w:val="28"/>
          <w:szCs w:val="28"/>
        </w:rPr>
        <w:t>IHS Markit</w:t>
      </w:r>
      <w:r w:rsidRPr="003E7BB4">
        <w:rPr>
          <w:rFonts w:eastAsia="標楷體" w:hint="eastAsia"/>
          <w:b/>
          <w:color w:val="000000" w:themeColor="text1"/>
          <w:sz w:val="28"/>
          <w:szCs w:val="28"/>
        </w:rPr>
        <w:t>：</w:t>
      </w:r>
      <w:r w:rsidRPr="003E7BB4">
        <w:rPr>
          <w:rFonts w:eastAsia="標楷體" w:hint="eastAsia"/>
          <w:color w:val="000000" w:themeColor="text1"/>
          <w:sz w:val="28"/>
          <w:szCs w:val="28"/>
        </w:rPr>
        <w:t>根據</w:t>
      </w:r>
      <w:r w:rsidR="00A9590D">
        <w:rPr>
          <w:rFonts w:eastAsia="標楷體" w:hint="eastAsia"/>
          <w:color w:val="000000" w:themeColor="text1"/>
          <w:sz w:val="28"/>
          <w:szCs w:val="28"/>
        </w:rPr>
        <w:t>2018</w:t>
      </w:r>
      <w:r>
        <w:rPr>
          <w:rFonts w:eastAsia="標楷體" w:hint="eastAsia"/>
          <w:color w:val="000000" w:themeColor="text1"/>
          <w:sz w:val="28"/>
          <w:szCs w:val="28"/>
        </w:rPr>
        <w:t>年</w:t>
      </w:r>
      <w:r w:rsidRPr="003E7BB4">
        <w:rPr>
          <w:rFonts w:eastAsia="標楷體" w:hint="eastAsia"/>
          <w:color w:val="000000" w:themeColor="text1"/>
          <w:sz w:val="28"/>
          <w:szCs w:val="28"/>
        </w:rPr>
        <w:t>1</w:t>
      </w:r>
      <w:r w:rsidRPr="003E7BB4">
        <w:rPr>
          <w:rFonts w:eastAsia="標楷體" w:hint="eastAsia"/>
          <w:color w:val="000000" w:themeColor="text1"/>
          <w:sz w:val="28"/>
          <w:szCs w:val="28"/>
        </w:rPr>
        <w:t>月最新發布經濟預測指出，因近期零售銷售與出口展現堅強韌性，反映消費需求熱絡與外部需求較原先估計樂觀。</w:t>
      </w:r>
      <w:r w:rsidRPr="003E7BB4">
        <w:rPr>
          <w:rFonts w:eastAsia="標楷體" w:hint="eastAsia"/>
          <w:color w:val="000000" w:themeColor="text1"/>
          <w:sz w:val="28"/>
          <w:szCs w:val="28"/>
        </w:rPr>
        <w:t>IHS Markit</w:t>
      </w:r>
      <w:r w:rsidRPr="003E7BB4">
        <w:rPr>
          <w:rFonts w:eastAsia="標楷體" w:hint="eastAsia"/>
          <w:color w:val="000000" w:themeColor="text1"/>
          <w:sz w:val="28"/>
          <w:szCs w:val="28"/>
        </w:rPr>
        <w:t>預估中國大陸</w:t>
      </w:r>
      <w:r w:rsidRPr="003E7BB4">
        <w:rPr>
          <w:rFonts w:eastAsia="標楷體" w:hint="eastAsia"/>
          <w:color w:val="000000" w:themeColor="text1"/>
          <w:sz w:val="28"/>
          <w:szCs w:val="28"/>
        </w:rPr>
        <w:t>2018</w:t>
      </w:r>
      <w:r w:rsidRPr="003E7BB4">
        <w:rPr>
          <w:rFonts w:eastAsia="標楷體" w:hint="eastAsia"/>
          <w:color w:val="000000" w:themeColor="text1"/>
          <w:sz w:val="28"/>
          <w:szCs w:val="28"/>
        </w:rPr>
        <w:t>年經濟成長率為</w:t>
      </w:r>
      <w:r w:rsidRPr="003E7BB4">
        <w:rPr>
          <w:rFonts w:eastAsia="標楷體" w:hint="eastAsia"/>
          <w:color w:val="000000" w:themeColor="text1"/>
          <w:sz w:val="28"/>
          <w:szCs w:val="28"/>
        </w:rPr>
        <w:t>6.6%</w:t>
      </w:r>
      <w:r w:rsidRPr="003E7BB4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BF71E4" w:rsidRDefault="00BF71E4" w:rsidP="006612C1">
      <w:pPr>
        <w:spacing w:beforeLines="50" w:before="120" w:after="50" w:line="520" w:lineRule="exact"/>
        <w:ind w:left="709" w:rightChars="-24" w:right="-58"/>
        <w:jc w:val="center"/>
        <w:rPr>
          <w:rFonts w:eastAsia="標楷體"/>
          <w:color w:val="000000" w:themeColor="text1"/>
          <w:sz w:val="28"/>
          <w:szCs w:val="28"/>
        </w:rPr>
      </w:pPr>
    </w:p>
    <w:p w:rsidR="00D064D2" w:rsidRDefault="00D064D2" w:rsidP="006612C1">
      <w:pPr>
        <w:spacing w:beforeLines="50" w:before="120" w:after="50" w:line="520" w:lineRule="exact"/>
        <w:ind w:left="709" w:rightChars="-24" w:right="-58"/>
        <w:jc w:val="center"/>
        <w:rPr>
          <w:rFonts w:eastAsia="標楷體"/>
          <w:color w:val="000000" w:themeColor="text1"/>
          <w:sz w:val="28"/>
          <w:szCs w:val="28"/>
        </w:rPr>
      </w:pPr>
    </w:p>
    <w:p w:rsidR="00BF71E4" w:rsidRPr="003E7BB4" w:rsidRDefault="00BF71E4" w:rsidP="00BF71E4">
      <w:pPr>
        <w:spacing w:beforeLines="50" w:before="120" w:after="50" w:line="520" w:lineRule="exact"/>
        <w:ind w:left="482" w:rightChars="-24" w:right="-58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3E7BB4">
        <w:rPr>
          <w:rFonts w:eastAsia="標楷體"/>
          <w:color w:val="000000" w:themeColor="text1"/>
          <w:sz w:val="28"/>
          <w:szCs w:val="28"/>
        </w:rPr>
        <w:t xml:space="preserve"> </w:t>
      </w:r>
      <w:r w:rsidRPr="003E7BB4">
        <w:rPr>
          <w:rFonts w:eastAsia="標楷體" w:hint="eastAsia"/>
          <w:b/>
          <w:color w:val="000000" w:themeColor="text1"/>
          <w:sz w:val="28"/>
          <w:szCs w:val="28"/>
        </w:rPr>
        <w:t>表</w:t>
      </w:r>
      <w:r>
        <w:rPr>
          <w:rFonts w:eastAsia="標楷體" w:hint="eastAsia"/>
          <w:b/>
          <w:color w:val="000000" w:themeColor="text1"/>
          <w:sz w:val="28"/>
          <w:szCs w:val="28"/>
        </w:rPr>
        <w:t>1-2</w:t>
      </w:r>
      <w:r w:rsidRPr="003E7BB4">
        <w:rPr>
          <w:rFonts w:eastAsia="標楷體" w:hint="eastAsia"/>
          <w:b/>
          <w:color w:val="000000" w:themeColor="text1"/>
          <w:sz w:val="28"/>
          <w:szCs w:val="28"/>
        </w:rPr>
        <w:t xml:space="preserve"> </w:t>
      </w:r>
      <w:r w:rsidRPr="003E7BB4">
        <w:rPr>
          <w:rFonts w:eastAsia="標楷體"/>
          <w:b/>
          <w:color w:val="000000" w:themeColor="text1"/>
          <w:sz w:val="28"/>
          <w:szCs w:val="28"/>
        </w:rPr>
        <w:t>主要預測機構對</w:t>
      </w:r>
      <w:r w:rsidRPr="003E7BB4">
        <w:rPr>
          <w:rFonts w:eastAsia="標楷體" w:hint="eastAsia"/>
          <w:b/>
          <w:color w:val="000000" w:themeColor="text1"/>
          <w:sz w:val="28"/>
          <w:szCs w:val="28"/>
        </w:rPr>
        <w:t>中國大陸</w:t>
      </w:r>
      <w:r w:rsidRPr="003E7BB4">
        <w:rPr>
          <w:rFonts w:eastAsia="標楷體"/>
          <w:b/>
          <w:color w:val="000000" w:themeColor="text1"/>
          <w:sz w:val="28"/>
          <w:szCs w:val="28"/>
        </w:rPr>
        <w:t>之經濟成長率預估</w:t>
      </w:r>
    </w:p>
    <w:p w:rsidR="00BF71E4" w:rsidRPr="003E7BB4" w:rsidRDefault="00BF71E4" w:rsidP="003E7BB4">
      <w:pPr>
        <w:spacing w:after="50" w:line="280" w:lineRule="exact"/>
        <w:ind w:left="482" w:rightChars="-24" w:right="-58"/>
        <w:jc w:val="right"/>
        <w:rPr>
          <w:rFonts w:eastAsia="標楷體"/>
          <w:color w:val="000000" w:themeColor="text1"/>
          <w:sz w:val="20"/>
          <w:szCs w:val="20"/>
        </w:rPr>
      </w:pPr>
      <w:r w:rsidRPr="003E7BB4">
        <w:rPr>
          <w:rFonts w:eastAsia="標楷體" w:hint="eastAsia"/>
          <w:color w:val="000000" w:themeColor="text1"/>
          <w:sz w:val="20"/>
          <w:szCs w:val="20"/>
        </w:rPr>
        <w:t>單位：</w:t>
      </w:r>
      <w:r w:rsidRPr="003E7BB4">
        <w:rPr>
          <w:rFonts w:eastAsia="標楷體" w:hint="eastAsia"/>
          <w:color w:val="000000" w:themeColor="text1"/>
          <w:sz w:val="20"/>
          <w:szCs w:val="20"/>
        </w:rPr>
        <w:t>%</w:t>
      </w:r>
    </w:p>
    <w:tbl>
      <w:tblPr>
        <w:tblStyle w:val="24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51"/>
        <w:gridCol w:w="709"/>
        <w:gridCol w:w="708"/>
        <w:gridCol w:w="709"/>
        <w:gridCol w:w="709"/>
        <w:gridCol w:w="2300"/>
      </w:tblGrid>
      <w:tr w:rsidR="00BF71E4" w:rsidRPr="003E7BB4" w:rsidTr="00453E30">
        <w:tc>
          <w:tcPr>
            <w:tcW w:w="2376" w:type="dxa"/>
          </w:tcPr>
          <w:p w:rsidR="00BF71E4" w:rsidRPr="003E7BB4" w:rsidRDefault="00BF71E4" w:rsidP="003E7BB4">
            <w:pPr>
              <w:spacing w:line="320" w:lineRule="exact"/>
              <w:ind w:rightChars="-24" w:right="-58"/>
              <w:rPr>
                <w:rFonts w:eastAsia="標楷體"/>
                <w:color w:val="000000" w:themeColor="text1"/>
                <w:szCs w:val="28"/>
              </w:rPr>
            </w:pPr>
            <w:r w:rsidRPr="003E7BB4">
              <w:rPr>
                <w:rFonts w:eastAsia="標楷體" w:hint="eastAsia"/>
                <w:color w:val="000000" w:themeColor="text1"/>
                <w:szCs w:val="28"/>
              </w:rPr>
              <w:t>預測機構</w:t>
            </w:r>
            <w:r w:rsidRPr="003E7BB4">
              <w:rPr>
                <w:rFonts w:eastAsia="標楷體" w:hint="eastAsia"/>
                <w:color w:val="000000" w:themeColor="text1"/>
                <w:szCs w:val="28"/>
              </w:rPr>
              <w:t>(</w:t>
            </w:r>
            <w:r w:rsidRPr="003E7BB4">
              <w:rPr>
                <w:rFonts w:eastAsia="標楷體" w:hint="eastAsia"/>
                <w:color w:val="000000" w:themeColor="text1"/>
                <w:szCs w:val="28"/>
              </w:rPr>
              <w:t>發布時間</w:t>
            </w:r>
            <w:r w:rsidRPr="003E7BB4">
              <w:rPr>
                <w:rFonts w:eastAsia="標楷體" w:hint="eastAsia"/>
                <w:color w:val="000000" w:themeColor="text1"/>
                <w:szCs w:val="28"/>
              </w:rPr>
              <w:t>)</w:t>
            </w:r>
          </w:p>
        </w:tc>
        <w:tc>
          <w:tcPr>
            <w:tcW w:w="3686" w:type="dxa"/>
            <w:gridSpan w:val="5"/>
          </w:tcPr>
          <w:p w:rsidR="00BF71E4" w:rsidRPr="003E7BB4" w:rsidRDefault="00BF71E4" w:rsidP="003E7BB4">
            <w:pPr>
              <w:spacing w:line="320" w:lineRule="exact"/>
              <w:ind w:rightChars="-24" w:right="-58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3E7BB4">
              <w:rPr>
                <w:rFonts w:eastAsia="標楷體" w:hint="eastAsia"/>
                <w:color w:val="000000" w:themeColor="text1"/>
                <w:szCs w:val="28"/>
              </w:rPr>
              <w:t>2017</w:t>
            </w:r>
            <w:r w:rsidRPr="003E7BB4">
              <w:rPr>
                <w:rFonts w:eastAsia="標楷體" w:hint="eastAsia"/>
                <w:color w:val="000000" w:themeColor="text1"/>
                <w:szCs w:val="28"/>
              </w:rPr>
              <w:t>年</w:t>
            </w:r>
          </w:p>
        </w:tc>
        <w:tc>
          <w:tcPr>
            <w:tcW w:w="2300" w:type="dxa"/>
          </w:tcPr>
          <w:p w:rsidR="00BF71E4" w:rsidRPr="003E7BB4" w:rsidRDefault="00BF71E4" w:rsidP="003E7BB4">
            <w:pPr>
              <w:spacing w:line="320" w:lineRule="exact"/>
              <w:ind w:rightChars="-24" w:right="-58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3E7BB4">
              <w:rPr>
                <w:rFonts w:eastAsia="標楷體" w:hint="eastAsia"/>
                <w:color w:val="000000" w:themeColor="text1"/>
                <w:szCs w:val="28"/>
              </w:rPr>
              <w:t>2018</w:t>
            </w:r>
            <w:r w:rsidRPr="003E7BB4">
              <w:rPr>
                <w:rFonts w:eastAsia="標楷體" w:hint="eastAsia"/>
                <w:color w:val="000000" w:themeColor="text1"/>
                <w:szCs w:val="28"/>
              </w:rPr>
              <w:t>年</w:t>
            </w:r>
          </w:p>
        </w:tc>
      </w:tr>
      <w:tr w:rsidR="00BF71E4" w:rsidRPr="003E7BB4" w:rsidTr="00453E30">
        <w:tc>
          <w:tcPr>
            <w:tcW w:w="2376" w:type="dxa"/>
          </w:tcPr>
          <w:p w:rsidR="00BF71E4" w:rsidRPr="00F87B3D" w:rsidRDefault="00BF71E4" w:rsidP="003E7BB4">
            <w:pPr>
              <w:spacing w:line="320" w:lineRule="exact"/>
              <w:ind w:rightChars="-24" w:right="-58"/>
              <w:rPr>
                <w:rFonts w:eastAsia="標楷體"/>
                <w:szCs w:val="28"/>
              </w:rPr>
            </w:pPr>
            <w:r w:rsidRPr="00F87B3D">
              <w:rPr>
                <w:rFonts w:eastAsia="標楷體" w:hint="eastAsia"/>
                <w:szCs w:val="28"/>
              </w:rPr>
              <w:t>IMF(2018.1)</w:t>
            </w:r>
          </w:p>
        </w:tc>
        <w:tc>
          <w:tcPr>
            <w:tcW w:w="3686" w:type="dxa"/>
            <w:gridSpan w:val="5"/>
          </w:tcPr>
          <w:p w:rsidR="00BF71E4" w:rsidRPr="002D7730" w:rsidRDefault="00BF71E4" w:rsidP="003E7BB4">
            <w:pPr>
              <w:spacing w:line="320" w:lineRule="exact"/>
              <w:ind w:rightChars="-24" w:right="-58"/>
              <w:jc w:val="center"/>
              <w:rPr>
                <w:rFonts w:eastAsia="標楷體"/>
                <w:szCs w:val="28"/>
              </w:rPr>
            </w:pPr>
            <w:r w:rsidRPr="002D7730">
              <w:rPr>
                <w:rFonts w:eastAsia="標楷體" w:hint="eastAsia"/>
                <w:szCs w:val="28"/>
              </w:rPr>
              <w:t>6.8(6.7)</w:t>
            </w:r>
          </w:p>
        </w:tc>
        <w:tc>
          <w:tcPr>
            <w:tcW w:w="2300" w:type="dxa"/>
          </w:tcPr>
          <w:p w:rsidR="00BF71E4" w:rsidRPr="002D7730" w:rsidRDefault="00BF71E4" w:rsidP="003E7BB4">
            <w:pPr>
              <w:spacing w:line="320" w:lineRule="exact"/>
              <w:ind w:rightChars="-24" w:right="-58"/>
              <w:jc w:val="center"/>
              <w:rPr>
                <w:rFonts w:eastAsia="標楷體"/>
                <w:szCs w:val="28"/>
              </w:rPr>
            </w:pPr>
            <w:r w:rsidRPr="002D7730">
              <w:rPr>
                <w:rFonts w:eastAsia="標楷體" w:hint="eastAsia"/>
                <w:szCs w:val="28"/>
              </w:rPr>
              <w:t>6.6(6.5)</w:t>
            </w:r>
          </w:p>
        </w:tc>
      </w:tr>
      <w:tr w:rsidR="00BF71E4" w:rsidRPr="003E7BB4" w:rsidTr="00453E30">
        <w:tc>
          <w:tcPr>
            <w:tcW w:w="2376" w:type="dxa"/>
          </w:tcPr>
          <w:p w:rsidR="00BF71E4" w:rsidRPr="00F87B3D" w:rsidRDefault="00BF71E4" w:rsidP="003E7BB4">
            <w:pPr>
              <w:spacing w:line="320" w:lineRule="exact"/>
              <w:ind w:rightChars="-24" w:right="-58"/>
              <w:rPr>
                <w:rFonts w:eastAsia="標楷體"/>
                <w:szCs w:val="28"/>
              </w:rPr>
            </w:pPr>
            <w:r w:rsidRPr="00F87B3D">
              <w:rPr>
                <w:rFonts w:eastAsia="標楷體" w:hint="eastAsia"/>
                <w:szCs w:val="28"/>
              </w:rPr>
              <w:t>世界銀行</w:t>
            </w:r>
            <w:r w:rsidRPr="00F87B3D">
              <w:rPr>
                <w:rFonts w:eastAsia="標楷體" w:hint="eastAsia"/>
                <w:szCs w:val="28"/>
              </w:rPr>
              <w:t>(2018.1)</w:t>
            </w:r>
          </w:p>
        </w:tc>
        <w:tc>
          <w:tcPr>
            <w:tcW w:w="3686" w:type="dxa"/>
            <w:gridSpan w:val="5"/>
          </w:tcPr>
          <w:p w:rsidR="00BF71E4" w:rsidRPr="002D7730" w:rsidRDefault="00BF71E4" w:rsidP="003E7BB4">
            <w:pPr>
              <w:spacing w:line="320" w:lineRule="exact"/>
              <w:ind w:rightChars="-24" w:right="-58"/>
              <w:jc w:val="center"/>
              <w:rPr>
                <w:rFonts w:eastAsia="標楷體"/>
                <w:szCs w:val="28"/>
              </w:rPr>
            </w:pPr>
            <w:r w:rsidRPr="002D7730">
              <w:rPr>
                <w:rFonts w:eastAsia="標楷體" w:hint="eastAsia"/>
                <w:szCs w:val="28"/>
              </w:rPr>
              <w:t>6.8(6.8)</w:t>
            </w:r>
          </w:p>
        </w:tc>
        <w:tc>
          <w:tcPr>
            <w:tcW w:w="2300" w:type="dxa"/>
          </w:tcPr>
          <w:p w:rsidR="00BF71E4" w:rsidRPr="002D7730" w:rsidRDefault="00BF71E4" w:rsidP="003E7BB4">
            <w:pPr>
              <w:spacing w:line="320" w:lineRule="exact"/>
              <w:ind w:rightChars="-24" w:right="-58"/>
              <w:jc w:val="center"/>
              <w:rPr>
                <w:rFonts w:eastAsia="標楷體"/>
                <w:szCs w:val="28"/>
              </w:rPr>
            </w:pPr>
            <w:r w:rsidRPr="002D7730">
              <w:rPr>
                <w:rFonts w:eastAsia="標楷體" w:hint="eastAsia"/>
                <w:szCs w:val="28"/>
              </w:rPr>
              <w:t>6.4(6.4)</w:t>
            </w:r>
          </w:p>
        </w:tc>
      </w:tr>
      <w:tr w:rsidR="00BF71E4" w:rsidRPr="003E7BB4" w:rsidTr="00453E30">
        <w:tc>
          <w:tcPr>
            <w:tcW w:w="2376" w:type="dxa"/>
          </w:tcPr>
          <w:p w:rsidR="00BF71E4" w:rsidRPr="003E7BB4" w:rsidRDefault="00BF71E4" w:rsidP="003E7BB4">
            <w:pPr>
              <w:spacing w:line="320" w:lineRule="exact"/>
              <w:ind w:rightChars="-24" w:right="-58"/>
              <w:rPr>
                <w:rFonts w:eastAsia="標楷體"/>
                <w:color w:val="000000" w:themeColor="text1"/>
                <w:szCs w:val="28"/>
              </w:rPr>
            </w:pPr>
            <w:r w:rsidRPr="003E7BB4">
              <w:rPr>
                <w:rFonts w:eastAsia="標楷體" w:hint="eastAsia"/>
                <w:color w:val="000000" w:themeColor="text1"/>
                <w:szCs w:val="28"/>
              </w:rPr>
              <w:t>聯合國</w:t>
            </w:r>
            <w:r w:rsidRPr="003E7BB4">
              <w:rPr>
                <w:rFonts w:eastAsia="標楷體" w:hint="eastAsia"/>
                <w:color w:val="000000" w:themeColor="text1"/>
                <w:szCs w:val="28"/>
              </w:rPr>
              <w:t>(</w:t>
            </w:r>
            <w:r>
              <w:rPr>
                <w:rFonts w:eastAsia="標楷體" w:hint="eastAsia"/>
                <w:color w:val="000000" w:themeColor="text1"/>
                <w:szCs w:val="28"/>
              </w:rPr>
              <w:t>2017.12</w:t>
            </w:r>
            <w:r w:rsidRPr="003E7BB4">
              <w:rPr>
                <w:rFonts w:eastAsia="標楷體" w:hint="eastAsia"/>
                <w:color w:val="000000" w:themeColor="text1"/>
                <w:szCs w:val="28"/>
              </w:rPr>
              <w:t>)</w:t>
            </w:r>
          </w:p>
        </w:tc>
        <w:tc>
          <w:tcPr>
            <w:tcW w:w="3686" w:type="dxa"/>
            <w:gridSpan w:val="5"/>
          </w:tcPr>
          <w:p w:rsidR="00BF71E4" w:rsidRPr="002D7730" w:rsidRDefault="00BF71E4" w:rsidP="003E7BB4">
            <w:pPr>
              <w:spacing w:line="320" w:lineRule="exact"/>
              <w:ind w:rightChars="-24" w:right="-58"/>
              <w:jc w:val="center"/>
              <w:rPr>
                <w:rFonts w:eastAsia="標楷體"/>
                <w:szCs w:val="28"/>
              </w:rPr>
            </w:pPr>
            <w:r w:rsidRPr="002D7730">
              <w:rPr>
                <w:rFonts w:eastAsia="標楷體" w:hint="eastAsia"/>
                <w:szCs w:val="28"/>
              </w:rPr>
              <w:t>6.8</w:t>
            </w:r>
          </w:p>
        </w:tc>
        <w:tc>
          <w:tcPr>
            <w:tcW w:w="2300" w:type="dxa"/>
          </w:tcPr>
          <w:p w:rsidR="00BF71E4" w:rsidRPr="002D7730" w:rsidRDefault="00BF71E4" w:rsidP="003E7BB4">
            <w:pPr>
              <w:spacing w:line="320" w:lineRule="exact"/>
              <w:ind w:rightChars="-24" w:right="-58"/>
              <w:jc w:val="center"/>
              <w:rPr>
                <w:rFonts w:eastAsia="標楷體"/>
                <w:szCs w:val="28"/>
              </w:rPr>
            </w:pPr>
            <w:r w:rsidRPr="002D7730">
              <w:rPr>
                <w:rFonts w:eastAsia="標楷體" w:hint="eastAsia"/>
                <w:szCs w:val="28"/>
              </w:rPr>
              <w:t>6.5</w:t>
            </w:r>
          </w:p>
        </w:tc>
      </w:tr>
      <w:tr w:rsidR="00BF71E4" w:rsidRPr="003E7BB4" w:rsidTr="00453E30">
        <w:tc>
          <w:tcPr>
            <w:tcW w:w="2376" w:type="dxa"/>
          </w:tcPr>
          <w:p w:rsidR="00BF71E4" w:rsidRPr="003E7BB4" w:rsidRDefault="00BF71E4" w:rsidP="003E7BB4">
            <w:pPr>
              <w:spacing w:line="320" w:lineRule="exact"/>
              <w:ind w:rightChars="-24" w:right="-58"/>
              <w:rPr>
                <w:rFonts w:eastAsia="標楷體"/>
                <w:color w:val="000000" w:themeColor="text1"/>
                <w:szCs w:val="28"/>
              </w:rPr>
            </w:pPr>
            <w:r w:rsidRPr="003E7BB4">
              <w:rPr>
                <w:rFonts w:eastAsia="標楷體" w:hint="eastAsia"/>
                <w:color w:val="000000" w:themeColor="text1"/>
                <w:szCs w:val="28"/>
              </w:rPr>
              <w:t>OECD(</w:t>
            </w:r>
            <w:r>
              <w:rPr>
                <w:rFonts w:eastAsia="標楷體" w:hint="eastAsia"/>
                <w:color w:val="000000" w:themeColor="text1"/>
                <w:szCs w:val="28"/>
              </w:rPr>
              <w:t>2017.11</w:t>
            </w:r>
            <w:r w:rsidRPr="003E7BB4">
              <w:rPr>
                <w:rFonts w:eastAsia="標楷體" w:hint="eastAsia"/>
                <w:color w:val="000000" w:themeColor="text1"/>
                <w:szCs w:val="28"/>
              </w:rPr>
              <w:t>)</w:t>
            </w:r>
          </w:p>
        </w:tc>
        <w:tc>
          <w:tcPr>
            <w:tcW w:w="3686" w:type="dxa"/>
            <w:gridSpan w:val="5"/>
          </w:tcPr>
          <w:p w:rsidR="00BF71E4" w:rsidRPr="002D7730" w:rsidRDefault="00BF71E4" w:rsidP="003E7BB4">
            <w:pPr>
              <w:spacing w:line="320" w:lineRule="exact"/>
              <w:ind w:rightChars="-24" w:right="-58"/>
              <w:jc w:val="center"/>
              <w:rPr>
                <w:rFonts w:eastAsia="標楷體"/>
                <w:szCs w:val="28"/>
              </w:rPr>
            </w:pPr>
            <w:r w:rsidRPr="002D7730">
              <w:rPr>
                <w:rFonts w:eastAsia="標楷體" w:hint="eastAsia"/>
                <w:szCs w:val="28"/>
              </w:rPr>
              <w:t>6.8(6.8)</w:t>
            </w:r>
          </w:p>
        </w:tc>
        <w:tc>
          <w:tcPr>
            <w:tcW w:w="2300" w:type="dxa"/>
          </w:tcPr>
          <w:p w:rsidR="00BF71E4" w:rsidRPr="002D7730" w:rsidRDefault="00BF71E4" w:rsidP="003E7BB4">
            <w:pPr>
              <w:spacing w:line="320" w:lineRule="exact"/>
              <w:ind w:rightChars="-24" w:right="-58"/>
              <w:jc w:val="center"/>
              <w:rPr>
                <w:rFonts w:eastAsia="標楷體"/>
                <w:szCs w:val="28"/>
              </w:rPr>
            </w:pPr>
            <w:r w:rsidRPr="002D7730">
              <w:rPr>
                <w:rFonts w:eastAsia="標楷體" w:hint="eastAsia"/>
                <w:szCs w:val="28"/>
              </w:rPr>
              <w:t>6.6(6.6)</w:t>
            </w:r>
          </w:p>
        </w:tc>
      </w:tr>
      <w:tr w:rsidR="00BF71E4" w:rsidRPr="003E7BB4" w:rsidTr="00453E30">
        <w:tc>
          <w:tcPr>
            <w:tcW w:w="2376" w:type="dxa"/>
          </w:tcPr>
          <w:p w:rsidR="00BF71E4" w:rsidRPr="003E7BB4" w:rsidRDefault="00BF71E4" w:rsidP="003E7BB4">
            <w:pPr>
              <w:spacing w:line="320" w:lineRule="exact"/>
              <w:ind w:rightChars="-24" w:right="-58"/>
              <w:rPr>
                <w:rFonts w:eastAsia="標楷體"/>
                <w:color w:val="000000" w:themeColor="text1"/>
                <w:szCs w:val="28"/>
              </w:rPr>
            </w:pPr>
            <w:proofErr w:type="gramStart"/>
            <w:r w:rsidRPr="003E7BB4">
              <w:rPr>
                <w:rFonts w:eastAsia="標楷體" w:hint="eastAsia"/>
                <w:color w:val="000000" w:themeColor="text1"/>
                <w:szCs w:val="28"/>
              </w:rPr>
              <w:t>ADB(</w:t>
            </w:r>
            <w:proofErr w:type="gramEnd"/>
            <w:r>
              <w:rPr>
                <w:rFonts w:eastAsia="標楷體" w:hint="eastAsia"/>
                <w:color w:val="000000" w:themeColor="text1"/>
                <w:szCs w:val="28"/>
              </w:rPr>
              <w:t>2017.9.</w:t>
            </w:r>
            <w:r w:rsidRPr="003E7BB4">
              <w:rPr>
                <w:rFonts w:eastAsia="標楷體" w:hint="eastAsia"/>
                <w:color w:val="000000" w:themeColor="text1"/>
                <w:szCs w:val="28"/>
              </w:rPr>
              <w:t>)</w:t>
            </w:r>
          </w:p>
        </w:tc>
        <w:tc>
          <w:tcPr>
            <w:tcW w:w="3686" w:type="dxa"/>
            <w:gridSpan w:val="5"/>
          </w:tcPr>
          <w:p w:rsidR="00BF71E4" w:rsidRPr="003E7BB4" w:rsidRDefault="00BF71E4" w:rsidP="003E7BB4">
            <w:pPr>
              <w:spacing w:line="320" w:lineRule="exact"/>
              <w:ind w:rightChars="-24" w:right="-58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3E7BB4">
              <w:rPr>
                <w:rFonts w:eastAsia="標楷體" w:hint="eastAsia"/>
                <w:color w:val="000000" w:themeColor="text1"/>
                <w:szCs w:val="28"/>
              </w:rPr>
              <w:t>6.7(6.7)</w:t>
            </w:r>
          </w:p>
        </w:tc>
        <w:tc>
          <w:tcPr>
            <w:tcW w:w="2300" w:type="dxa"/>
          </w:tcPr>
          <w:p w:rsidR="00BF71E4" w:rsidRPr="003E7BB4" w:rsidRDefault="00BF71E4" w:rsidP="003E7BB4">
            <w:pPr>
              <w:spacing w:line="320" w:lineRule="exact"/>
              <w:ind w:rightChars="-24" w:right="-58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3E7BB4">
              <w:rPr>
                <w:rFonts w:eastAsia="標楷體" w:hint="eastAsia"/>
                <w:color w:val="000000" w:themeColor="text1"/>
                <w:szCs w:val="28"/>
              </w:rPr>
              <w:t>6.4(6.4)</w:t>
            </w:r>
          </w:p>
        </w:tc>
      </w:tr>
      <w:tr w:rsidR="00BF71E4" w:rsidRPr="003E7BB4" w:rsidTr="00453E30">
        <w:trPr>
          <w:trHeight w:val="338"/>
        </w:trPr>
        <w:tc>
          <w:tcPr>
            <w:tcW w:w="2376" w:type="dxa"/>
            <w:vMerge w:val="restart"/>
            <w:vAlign w:val="center"/>
          </w:tcPr>
          <w:p w:rsidR="00BF71E4" w:rsidRPr="003E7BB4" w:rsidRDefault="00BF71E4" w:rsidP="003E7BB4">
            <w:pPr>
              <w:spacing w:line="320" w:lineRule="exact"/>
              <w:ind w:rightChars="-24" w:right="-58"/>
              <w:jc w:val="both"/>
              <w:rPr>
                <w:rFonts w:eastAsia="標楷體"/>
                <w:color w:val="000000" w:themeColor="text1"/>
                <w:szCs w:val="28"/>
              </w:rPr>
            </w:pPr>
            <w:r w:rsidRPr="003E7BB4">
              <w:rPr>
                <w:rFonts w:eastAsia="標楷體"/>
                <w:color w:val="000000" w:themeColor="text1"/>
                <w:szCs w:val="28"/>
              </w:rPr>
              <w:t>IHS Markit</w:t>
            </w:r>
            <w:r w:rsidRPr="003E7BB4">
              <w:rPr>
                <w:rFonts w:eastAsia="標楷體" w:hint="eastAsia"/>
                <w:color w:val="000000" w:themeColor="text1"/>
                <w:szCs w:val="28"/>
              </w:rPr>
              <w:t xml:space="preserve"> (</w:t>
            </w:r>
            <w:r>
              <w:rPr>
                <w:rFonts w:eastAsia="標楷體" w:hint="eastAsia"/>
                <w:color w:val="000000" w:themeColor="text1"/>
                <w:szCs w:val="28"/>
              </w:rPr>
              <w:t>2018.1</w:t>
            </w:r>
            <w:r w:rsidRPr="003E7BB4">
              <w:rPr>
                <w:rFonts w:eastAsia="標楷體" w:hint="eastAsia"/>
                <w:color w:val="000000" w:themeColor="text1"/>
                <w:szCs w:val="28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BF71E4" w:rsidRPr="003E7BB4" w:rsidRDefault="00BF71E4" w:rsidP="003E7BB4">
            <w:pPr>
              <w:spacing w:line="320" w:lineRule="exact"/>
              <w:ind w:rightChars="-24" w:right="-58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3E7BB4">
              <w:rPr>
                <w:rFonts w:eastAsia="標楷體" w:hint="eastAsia"/>
                <w:color w:val="000000" w:themeColor="text1"/>
                <w:szCs w:val="28"/>
              </w:rPr>
              <w:t>6.8</w:t>
            </w:r>
          </w:p>
          <w:p w:rsidR="00BF71E4" w:rsidRPr="003E7BB4" w:rsidRDefault="00BF71E4" w:rsidP="003E7BB4">
            <w:pPr>
              <w:spacing w:line="320" w:lineRule="exact"/>
              <w:ind w:rightChars="-24" w:right="-58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3E7BB4">
              <w:rPr>
                <w:rFonts w:eastAsia="標楷體" w:hint="eastAsia"/>
                <w:color w:val="000000" w:themeColor="text1"/>
                <w:szCs w:val="28"/>
              </w:rPr>
              <w:t>(6.8)</w:t>
            </w:r>
          </w:p>
        </w:tc>
        <w:tc>
          <w:tcPr>
            <w:tcW w:w="709" w:type="dxa"/>
          </w:tcPr>
          <w:p w:rsidR="00BF71E4" w:rsidRPr="003E7BB4" w:rsidRDefault="00BF71E4" w:rsidP="003E7BB4">
            <w:pPr>
              <w:spacing w:line="320" w:lineRule="exact"/>
              <w:ind w:rightChars="-24" w:right="-58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3E7BB4">
              <w:rPr>
                <w:rFonts w:eastAsia="標楷體" w:hint="eastAsia"/>
                <w:color w:val="000000" w:themeColor="text1"/>
                <w:szCs w:val="28"/>
              </w:rPr>
              <w:t>Q1</w:t>
            </w:r>
          </w:p>
        </w:tc>
        <w:tc>
          <w:tcPr>
            <w:tcW w:w="708" w:type="dxa"/>
          </w:tcPr>
          <w:p w:rsidR="00BF71E4" w:rsidRPr="003E7BB4" w:rsidRDefault="00BF71E4" w:rsidP="003E7BB4">
            <w:pPr>
              <w:spacing w:line="320" w:lineRule="exact"/>
              <w:ind w:rightChars="-24" w:right="-58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3E7BB4">
              <w:rPr>
                <w:rFonts w:eastAsia="標楷體" w:hint="eastAsia"/>
                <w:color w:val="000000" w:themeColor="text1"/>
                <w:szCs w:val="28"/>
              </w:rPr>
              <w:t>Q2</w:t>
            </w:r>
          </w:p>
        </w:tc>
        <w:tc>
          <w:tcPr>
            <w:tcW w:w="709" w:type="dxa"/>
          </w:tcPr>
          <w:p w:rsidR="00BF71E4" w:rsidRPr="003E7BB4" w:rsidRDefault="00BF71E4" w:rsidP="003E7BB4">
            <w:pPr>
              <w:spacing w:line="320" w:lineRule="exact"/>
              <w:ind w:rightChars="-24" w:right="-58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3E7BB4">
              <w:rPr>
                <w:rFonts w:eastAsia="標楷體" w:hint="eastAsia"/>
                <w:color w:val="000000" w:themeColor="text1"/>
                <w:szCs w:val="28"/>
              </w:rPr>
              <w:t>Q3</w:t>
            </w:r>
          </w:p>
        </w:tc>
        <w:tc>
          <w:tcPr>
            <w:tcW w:w="709" w:type="dxa"/>
          </w:tcPr>
          <w:p w:rsidR="00BF71E4" w:rsidRPr="003E7BB4" w:rsidRDefault="00BF71E4" w:rsidP="003E7BB4">
            <w:pPr>
              <w:spacing w:line="320" w:lineRule="exact"/>
              <w:ind w:rightChars="-24" w:right="-58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3E7BB4">
              <w:rPr>
                <w:rFonts w:eastAsia="標楷體" w:hint="eastAsia"/>
                <w:color w:val="000000" w:themeColor="text1"/>
                <w:szCs w:val="28"/>
              </w:rPr>
              <w:t>Q4</w:t>
            </w:r>
          </w:p>
        </w:tc>
        <w:tc>
          <w:tcPr>
            <w:tcW w:w="2300" w:type="dxa"/>
            <w:vMerge w:val="restart"/>
            <w:vAlign w:val="center"/>
          </w:tcPr>
          <w:p w:rsidR="00BF71E4" w:rsidRPr="003E7BB4" w:rsidRDefault="00BF71E4" w:rsidP="003E7BB4">
            <w:pPr>
              <w:spacing w:line="320" w:lineRule="exact"/>
              <w:ind w:rightChars="-24" w:right="-58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3E7BB4">
              <w:rPr>
                <w:rFonts w:eastAsia="標楷體" w:hint="eastAsia"/>
                <w:color w:val="000000" w:themeColor="text1"/>
                <w:szCs w:val="28"/>
              </w:rPr>
              <w:t>6.6(6.5)</w:t>
            </w:r>
          </w:p>
        </w:tc>
      </w:tr>
      <w:tr w:rsidR="00BF71E4" w:rsidRPr="003E7BB4" w:rsidTr="00453E30">
        <w:trPr>
          <w:trHeight w:val="301"/>
        </w:trPr>
        <w:tc>
          <w:tcPr>
            <w:tcW w:w="2376" w:type="dxa"/>
            <w:vMerge/>
            <w:vAlign w:val="center"/>
          </w:tcPr>
          <w:p w:rsidR="00BF71E4" w:rsidRPr="003E7BB4" w:rsidRDefault="00BF71E4" w:rsidP="003E7BB4">
            <w:pPr>
              <w:spacing w:line="320" w:lineRule="exact"/>
              <w:ind w:rightChars="-24" w:right="-58"/>
              <w:jc w:val="both"/>
              <w:rPr>
                <w:rFonts w:eastAsia="標楷體"/>
                <w:color w:val="000000" w:themeColor="text1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BF71E4" w:rsidRPr="003E7BB4" w:rsidRDefault="00BF71E4" w:rsidP="003E7BB4">
            <w:pPr>
              <w:spacing w:line="320" w:lineRule="exact"/>
              <w:ind w:rightChars="-24" w:right="-58"/>
              <w:jc w:val="center"/>
              <w:rPr>
                <w:rFonts w:eastAsia="標楷體"/>
                <w:color w:val="000000" w:themeColor="text1"/>
                <w:szCs w:val="28"/>
              </w:rPr>
            </w:pPr>
          </w:p>
        </w:tc>
        <w:tc>
          <w:tcPr>
            <w:tcW w:w="709" w:type="dxa"/>
          </w:tcPr>
          <w:p w:rsidR="00BF71E4" w:rsidRPr="003E7BB4" w:rsidRDefault="00BF71E4" w:rsidP="003E7BB4">
            <w:pPr>
              <w:spacing w:line="320" w:lineRule="exact"/>
              <w:ind w:rightChars="-24" w:right="-58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3E7BB4">
              <w:rPr>
                <w:rFonts w:eastAsia="標楷體" w:hint="eastAsia"/>
                <w:color w:val="000000" w:themeColor="text1"/>
                <w:szCs w:val="28"/>
              </w:rPr>
              <w:t>6.9</w:t>
            </w:r>
          </w:p>
        </w:tc>
        <w:tc>
          <w:tcPr>
            <w:tcW w:w="708" w:type="dxa"/>
          </w:tcPr>
          <w:p w:rsidR="00BF71E4" w:rsidRPr="003E7BB4" w:rsidRDefault="00BF71E4" w:rsidP="003E7BB4">
            <w:pPr>
              <w:spacing w:line="320" w:lineRule="exact"/>
              <w:ind w:rightChars="-24" w:right="-58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3E7BB4">
              <w:rPr>
                <w:rFonts w:eastAsia="標楷體" w:hint="eastAsia"/>
                <w:color w:val="000000" w:themeColor="text1"/>
                <w:szCs w:val="28"/>
              </w:rPr>
              <w:t>6.9</w:t>
            </w:r>
          </w:p>
        </w:tc>
        <w:tc>
          <w:tcPr>
            <w:tcW w:w="709" w:type="dxa"/>
          </w:tcPr>
          <w:p w:rsidR="00BF71E4" w:rsidRPr="003E7BB4" w:rsidRDefault="00BF71E4" w:rsidP="003E7BB4">
            <w:pPr>
              <w:spacing w:line="320" w:lineRule="exact"/>
              <w:ind w:rightChars="-24" w:right="-58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3E7BB4">
              <w:rPr>
                <w:rFonts w:eastAsia="標楷體" w:hint="eastAsia"/>
                <w:color w:val="000000" w:themeColor="text1"/>
                <w:szCs w:val="28"/>
              </w:rPr>
              <w:t>6.8</w:t>
            </w:r>
          </w:p>
        </w:tc>
        <w:tc>
          <w:tcPr>
            <w:tcW w:w="709" w:type="dxa"/>
          </w:tcPr>
          <w:p w:rsidR="00BF71E4" w:rsidRPr="003E7BB4" w:rsidRDefault="00BF71E4" w:rsidP="003E7BB4">
            <w:pPr>
              <w:spacing w:line="320" w:lineRule="exact"/>
              <w:ind w:rightChars="-24" w:right="-58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3E7BB4">
              <w:rPr>
                <w:rFonts w:eastAsia="標楷體" w:hint="eastAsia"/>
                <w:color w:val="000000" w:themeColor="text1"/>
                <w:szCs w:val="28"/>
              </w:rPr>
              <w:t>6.8</w:t>
            </w:r>
          </w:p>
        </w:tc>
        <w:tc>
          <w:tcPr>
            <w:tcW w:w="2300" w:type="dxa"/>
            <w:vMerge/>
            <w:vAlign w:val="center"/>
          </w:tcPr>
          <w:p w:rsidR="00BF71E4" w:rsidRPr="003E7BB4" w:rsidRDefault="00BF71E4" w:rsidP="003E7BB4">
            <w:pPr>
              <w:spacing w:line="320" w:lineRule="exact"/>
              <w:ind w:rightChars="-24" w:right="-58"/>
              <w:jc w:val="center"/>
              <w:rPr>
                <w:rFonts w:eastAsia="標楷體"/>
                <w:color w:val="000000" w:themeColor="text1"/>
                <w:szCs w:val="28"/>
              </w:rPr>
            </w:pPr>
          </w:p>
        </w:tc>
      </w:tr>
      <w:tr w:rsidR="00BF71E4" w:rsidRPr="003E7BB4" w:rsidTr="00453E30">
        <w:tc>
          <w:tcPr>
            <w:tcW w:w="2376" w:type="dxa"/>
          </w:tcPr>
          <w:p w:rsidR="00BF71E4" w:rsidRPr="003E7BB4" w:rsidRDefault="00BF71E4" w:rsidP="00A843CA">
            <w:pPr>
              <w:spacing w:line="320" w:lineRule="exact"/>
              <w:ind w:rightChars="-24" w:right="-58"/>
              <w:rPr>
                <w:rFonts w:eastAsia="標楷體"/>
                <w:color w:val="000000" w:themeColor="text1"/>
                <w:szCs w:val="28"/>
              </w:rPr>
            </w:pPr>
            <w:r w:rsidRPr="003E7BB4">
              <w:rPr>
                <w:rFonts w:eastAsia="標楷體" w:hint="eastAsia"/>
                <w:color w:val="000000" w:themeColor="text1"/>
                <w:szCs w:val="28"/>
              </w:rPr>
              <w:t>EIU(</w:t>
            </w:r>
            <w:r>
              <w:rPr>
                <w:rFonts w:eastAsia="標楷體" w:hint="eastAsia"/>
                <w:color w:val="000000" w:themeColor="text1"/>
                <w:szCs w:val="28"/>
              </w:rPr>
              <w:t>201</w:t>
            </w:r>
            <w:r w:rsidR="00A843CA">
              <w:rPr>
                <w:rFonts w:eastAsia="標楷體" w:hint="eastAsia"/>
                <w:color w:val="000000" w:themeColor="text1"/>
                <w:szCs w:val="28"/>
              </w:rPr>
              <w:t>8</w:t>
            </w:r>
            <w:r>
              <w:rPr>
                <w:rFonts w:eastAsia="標楷體" w:hint="eastAsia"/>
                <w:color w:val="000000" w:themeColor="text1"/>
                <w:szCs w:val="28"/>
              </w:rPr>
              <w:t>.1</w:t>
            </w:r>
            <w:r w:rsidRPr="003E7BB4">
              <w:rPr>
                <w:rFonts w:eastAsia="標楷體" w:hint="eastAsia"/>
                <w:color w:val="000000" w:themeColor="text1"/>
                <w:szCs w:val="28"/>
              </w:rPr>
              <w:t>)</w:t>
            </w:r>
          </w:p>
        </w:tc>
        <w:tc>
          <w:tcPr>
            <w:tcW w:w="3686" w:type="dxa"/>
            <w:gridSpan w:val="5"/>
          </w:tcPr>
          <w:p w:rsidR="00BF71E4" w:rsidRPr="003E7BB4" w:rsidRDefault="00BF71E4" w:rsidP="003E7BB4">
            <w:pPr>
              <w:spacing w:line="320" w:lineRule="exact"/>
              <w:ind w:rightChars="-24" w:right="-58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3E7BB4">
              <w:rPr>
                <w:rFonts w:eastAsia="標楷體" w:hint="eastAsia"/>
                <w:color w:val="000000" w:themeColor="text1"/>
                <w:szCs w:val="28"/>
              </w:rPr>
              <w:t>6.8(6.8)</w:t>
            </w:r>
          </w:p>
        </w:tc>
        <w:tc>
          <w:tcPr>
            <w:tcW w:w="2300" w:type="dxa"/>
          </w:tcPr>
          <w:p w:rsidR="00BF71E4" w:rsidRPr="003E7BB4" w:rsidRDefault="00A843CA" w:rsidP="00A843CA">
            <w:pPr>
              <w:spacing w:line="320" w:lineRule="exact"/>
              <w:ind w:rightChars="-24" w:right="-58"/>
              <w:jc w:val="center"/>
              <w:rPr>
                <w:rFonts w:eastAsia="標楷體"/>
                <w:color w:val="000000" w:themeColor="text1"/>
                <w:szCs w:val="28"/>
              </w:rPr>
            </w:pPr>
            <w:r>
              <w:rPr>
                <w:rFonts w:eastAsia="標楷體" w:hint="eastAsia"/>
                <w:color w:val="000000" w:themeColor="text1"/>
                <w:szCs w:val="28"/>
              </w:rPr>
              <w:t>6</w:t>
            </w:r>
            <w:r w:rsidR="00BF71E4" w:rsidRPr="003E7BB4">
              <w:rPr>
                <w:rFonts w:eastAsia="標楷體" w:hint="eastAsia"/>
                <w:color w:val="000000" w:themeColor="text1"/>
                <w:szCs w:val="28"/>
              </w:rPr>
              <w:t>.</w:t>
            </w:r>
            <w:r>
              <w:rPr>
                <w:rFonts w:eastAsia="標楷體" w:hint="eastAsia"/>
                <w:color w:val="000000" w:themeColor="text1"/>
                <w:szCs w:val="28"/>
              </w:rPr>
              <w:t>4</w:t>
            </w:r>
            <w:r w:rsidR="00BF71E4" w:rsidRPr="003E7BB4">
              <w:rPr>
                <w:rFonts w:eastAsia="標楷體" w:hint="eastAsia"/>
                <w:color w:val="000000" w:themeColor="text1"/>
                <w:szCs w:val="28"/>
              </w:rPr>
              <w:t>(</w:t>
            </w:r>
            <w:r>
              <w:rPr>
                <w:rFonts w:eastAsia="標楷體" w:hint="eastAsia"/>
                <w:color w:val="000000" w:themeColor="text1"/>
                <w:szCs w:val="28"/>
              </w:rPr>
              <w:t>5</w:t>
            </w:r>
            <w:r w:rsidR="00BF71E4" w:rsidRPr="003E7BB4">
              <w:rPr>
                <w:rFonts w:eastAsia="標楷體" w:hint="eastAsia"/>
                <w:color w:val="000000" w:themeColor="text1"/>
                <w:szCs w:val="28"/>
              </w:rPr>
              <w:t>.8)</w:t>
            </w:r>
          </w:p>
        </w:tc>
      </w:tr>
    </w:tbl>
    <w:p w:rsidR="00BF71E4" w:rsidRPr="003E7BB4" w:rsidRDefault="00BF71E4" w:rsidP="003E7BB4">
      <w:pPr>
        <w:spacing w:line="240" w:lineRule="exact"/>
        <w:ind w:left="389" w:rightChars="-24" w:right="-58" w:hangingChars="177" w:hanging="389"/>
        <w:rPr>
          <w:rFonts w:eastAsia="標楷體"/>
          <w:color w:val="000000" w:themeColor="text1"/>
          <w:sz w:val="22"/>
          <w:szCs w:val="22"/>
        </w:rPr>
      </w:pPr>
      <w:proofErr w:type="gramStart"/>
      <w:r w:rsidRPr="003E7BB4">
        <w:rPr>
          <w:rFonts w:eastAsia="標楷體"/>
          <w:color w:val="000000" w:themeColor="text1"/>
          <w:sz w:val="22"/>
          <w:szCs w:val="22"/>
        </w:rPr>
        <w:t>註</w:t>
      </w:r>
      <w:proofErr w:type="gramEnd"/>
      <w:r w:rsidRPr="003E7BB4">
        <w:rPr>
          <w:rFonts w:eastAsia="標楷體"/>
          <w:color w:val="000000" w:themeColor="text1"/>
          <w:sz w:val="22"/>
          <w:szCs w:val="22"/>
        </w:rPr>
        <w:t>：括號內為上次預測數據。</w:t>
      </w:r>
    </w:p>
    <w:p w:rsidR="00BF71E4" w:rsidRPr="003E7BB4" w:rsidRDefault="00BF71E4" w:rsidP="003E7BB4">
      <w:pPr>
        <w:spacing w:line="240" w:lineRule="exact"/>
        <w:ind w:left="992" w:rightChars="-24" w:right="-58" w:hangingChars="451" w:hanging="992"/>
        <w:rPr>
          <w:rFonts w:eastAsia="標楷體"/>
          <w:color w:val="000000" w:themeColor="text1"/>
          <w:sz w:val="22"/>
          <w:szCs w:val="22"/>
        </w:rPr>
      </w:pPr>
      <w:r w:rsidRPr="003E7BB4">
        <w:rPr>
          <w:rFonts w:eastAsia="標楷體"/>
          <w:color w:val="000000" w:themeColor="text1"/>
          <w:sz w:val="22"/>
          <w:szCs w:val="22"/>
        </w:rPr>
        <w:t>資料來源</w:t>
      </w:r>
      <w:r w:rsidRPr="003E7BB4">
        <w:rPr>
          <w:rFonts w:eastAsia="標楷體" w:hint="eastAsia"/>
          <w:color w:val="000000" w:themeColor="text1"/>
          <w:sz w:val="22"/>
          <w:szCs w:val="22"/>
        </w:rPr>
        <w:t>：各機構。</w:t>
      </w:r>
    </w:p>
    <w:p w:rsidR="00BF71E4" w:rsidRPr="003E7BB4" w:rsidRDefault="00BF71E4" w:rsidP="003E7BB4">
      <w:pPr>
        <w:spacing w:beforeLines="50" w:before="120" w:after="120" w:line="520" w:lineRule="exact"/>
        <w:ind w:rightChars="-24" w:right="-58"/>
        <w:jc w:val="both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t>(</w:t>
      </w:r>
      <w:r>
        <w:rPr>
          <w:rFonts w:eastAsia="標楷體" w:hint="eastAsia"/>
          <w:b/>
          <w:color w:val="000000" w:themeColor="text1"/>
          <w:sz w:val="28"/>
          <w:szCs w:val="28"/>
        </w:rPr>
        <w:t>三</w:t>
      </w:r>
      <w:r>
        <w:rPr>
          <w:rFonts w:eastAsia="標楷體" w:hint="eastAsia"/>
          <w:b/>
          <w:color w:val="000000" w:themeColor="text1"/>
          <w:sz w:val="28"/>
          <w:szCs w:val="28"/>
        </w:rPr>
        <w:t>)</w:t>
      </w:r>
      <w:r w:rsidRPr="003E7BB4">
        <w:rPr>
          <w:rFonts w:eastAsia="標楷體" w:hint="eastAsia"/>
          <w:b/>
          <w:color w:val="000000" w:themeColor="text1"/>
          <w:sz w:val="28"/>
          <w:szCs w:val="28"/>
        </w:rPr>
        <w:t>結語</w:t>
      </w:r>
    </w:p>
    <w:p w:rsidR="00BF71E4" w:rsidRPr="003E7BB4" w:rsidRDefault="00BF71E4" w:rsidP="003E7BB4">
      <w:pPr>
        <w:spacing w:after="50" w:line="520" w:lineRule="exact"/>
        <w:ind w:rightChars="-24" w:right="-58"/>
        <w:jc w:val="both"/>
        <w:rPr>
          <w:rFonts w:ascii="標楷體" w:eastAsia="標楷體" w:hAnsi="標楷體"/>
          <w:b/>
          <w:bCs/>
          <w:color w:val="000000" w:themeColor="text1"/>
          <w:kern w:val="0"/>
          <w:sz w:val="32"/>
          <w:szCs w:val="32"/>
        </w:rPr>
      </w:pPr>
      <w:r w:rsidRPr="003E7BB4">
        <w:rPr>
          <w:rFonts w:eastAsia="標楷體" w:hint="eastAsia"/>
          <w:color w:val="000000" w:themeColor="text1"/>
          <w:sz w:val="28"/>
          <w:szCs w:val="28"/>
        </w:rPr>
        <w:t xml:space="preserve">    2018</w:t>
      </w:r>
      <w:r w:rsidRPr="003E7BB4">
        <w:rPr>
          <w:rFonts w:eastAsia="標楷體" w:hint="eastAsia"/>
          <w:color w:val="000000" w:themeColor="text1"/>
          <w:sz w:val="28"/>
          <w:szCs w:val="28"/>
        </w:rPr>
        <w:t>年是中國大陸展開新時代高品質發展的第</w:t>
      </w:r>
      <w:r w:rsidRPr="003E7BB4">
        <w:rPr>
          <w:rFonts w:eastAsia="標楷體" w:hint="eastAsia"/>
          <w:color w:val="000000" w:themeColor="text1"/>
          <w:sz w:val="28"/>
          <w:szCs w:val="28"/>
        </w:rPr>
        <w:t>1</w:t>
      </w:r>
      <w:r w:rsidRPr="003E7BB4">
        <w:rPr>
          <w:rFonts w:eastAsia="標楷體" w:hint="eastAsia"/>
          <w:color w:val="000000" w:themeColor="text1"/>
          <w:sz w:val="28"/>
          <w:szCs w:val="28"/>
        </w:rPr>
        <w:t>年，其中中央經濟工作會議所揭示的防範化解金融風險、供給側結構性改革、精</w:t>
      </w:r>
      <w:proofErr w:type="gramStart"/>
      <w:r w:rsidRPr="003E7BB4">
        <w:rPr>
          <w:rFonts w:eastAsia="標楷體" w:hint="eastAsia"/>
          <w:color w:val="000000" w:themeColor="text1"/>
          <w:sz w:val="28"/>
          <w:szCs w:val="28"/>
        </w:rPr>
        <w:t>準</w:t>
      </w:r>
      <w:proofErr w:type="gramEnd"/>
      <w:r w:rsidRPr="003E7BB4">
        <w:rPr>
          <w:rFonts w:eastAsia="標楷體" w:hint="eastAsia"/>
          <w:color w:val="000000" w:themeColor="text1"/>
          <w:sz w:val="28"/>
          <w:szCs w:val="28"/>
        </w:rPr>
        <w:t>扶貧、污染防</w:t>
      </w:r>
      <w:r w:rsidR="00F810C2">
        <w:rPr>
          <w:rFonts w:eastAsia="標楷體" w:hint="eastAsia"/>
          <w:color w:val="000000" w:themeColor="text1"/>
          <w:sz w:val="28"/>
          <w:szCs w:val="28"/>
        </w:rPr>
        <w:t>制</w:t>
      </w:r>
      <w:r w:rsidRPr="003E7BB4">
        <w:rPr>
          <w:rFonts w:eastAsia="標楷體" w:hint="eastAsia"/>
          <w:color w:val="000000" w:themeColor="text1"/>
          <w:sz w:val="28"/>
          <w:szCs w:val="28"/>
        </w:rPr>
        <w:t>乃至鄉村建設等都將成為</w:t>
      </w:r>
      <w:r w:rsidRPr="003E7BB4">
        <w:rPr>
          <w:rFonts w:eastAsia="標楷體" w:hint="eastAsia"/>
          <w:color w:val="000000" w:themeColor="text1"/>
          <w:sz w:val="28"/>
          <w:szCs w:val="28"/>
        </w:rPr>
        <w:t>2018</w:t>
      </w:r>
      <w:r w:rsidRPr="003E7BB4">
        <w:rPr>
          <w:rFonts w:eastAsia="標楷體" w:hint="eastAsia"/>
          <w:color w:val="000000" w:themeColor="text1"/>
          <w:sz w:val="28"/>
          <w:szCs w:val="28"/>
        </w:rPr>
        <w:t>年的經濟工作重點。然而上述政策的推動也擴大中國大陸經濟的不確定性，恐造成經濟成長走緩，值得關注。</w:t>
      </w:r>
      <w:proofErr w:type="gramStart"/>
      <w:r w:rsidRPr="003E7BB4">
        <w:rPr>
          <w:rFonts w:eastAsia="標楷體" w:hint="eastAsia"/>
          <w:color w:val="000000" w:themeColor="text1"/>
          <w:sz w:val="28"/>
          <w:szCs w:val="28"/>
        </w:rPr>
        <w:t>此外，</w:t>
      </w:r>
      <w:proofErr w:type="gramEnd"/>
      <w:r w:rsidRPr="003E7BB4">
        <w:rPr>
          <w:rFonts w:eastAsia="標楷體" w:hint="eastAsia"/>
          <w:color w:val="000000" w:themeColor="text1"/>
          <w:sz w:val="28"/>
          <w:szCs w:val="28"/>
        </w:rPr>
        <w:t>還有更多的不確定性，如美中貿易衝突、全球金融環境突然惡化等對經濟影響可能更為深遠。</w:t>
      </w:r>
      <w:r w:rsidRPr="003E7BB4">
        <w:rPr>
          <w:rFonts w:ascii="標楷體" w:eastAsia="標楷體" w:hAnsi="標楷體" w:hint="eastAsia"/>
          <w:color w:val="000000" w:themeColor="text1"/>
          <w:sz w:val="28"/>
          <w:szCs w:val="28"/>
        </w:rPr>
        <w:t>考量兩岸經貿往來關係密切，將應持續關注中國大陸後續政策發展及經濟走向。</w:t>
      </w:r>
      <w:r w:rsidRPr="003E7BB4">
        <w:rPr>
          <w:rFonts w:ascii="標楷體" w:eastAsia="標楷體" w:hAnsi="標楷體"/>
          <w:b/>
          <w:bCs/>
          <w:color w:val="000000" w:themeColor="text1"/>
          <w:kern w:val="0"/>
          <w:sz w:val="32"/>
          <w:szCs w:val="32"/>
        </w:rPr>
        <w:br w:type="page"/>
      </w:r>
    </w:p>
    <w:p w:rsidR="00BF71E4" w:rsidRPr="002E5699" w:rsidRDefault="00BF71E4" w:rsidP="003E7BB4">
      <w:pPr>
        <w:widowControl/>
        <w:jc w:val="center"/>
        <w:rPr>
          <w:rFonts w:ascii="標楷體" w:eastAsia="標楷體" w:hAnsi="標楷體"/>
          <w:b/>
          <w:bCs/>
          <w:color w:val="000000" w:themeColor="text1"/>
          <w:kern w:val="0"/>
          <w:sz w:val="28"/>
          <w:szCs w:val="28"/>
        </w:rPr>
      </w:pPr>
      <w:r w:rsidRPr="002E5699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28"/>
        </w:rPr>
        <w:lastRenderedPageBreak/>
        <w:t>表</w:t>
      </w:r>
      <w:r w:rsidR="002E5699" w:rsidRPr="002E5699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28"/>
        </w:rPr>
        <w:t>1-3</w:t>
      </w:r>
      <w:r w:rsidRPr="002E5699">
        <w:rPr>
          <w:rFonts w:ascii="標楷體" w:eastAsia="標楷體" w:hAnsi="標楷體" w:hint="eastAsia"/>
          <w:b/>
          <w:bCs/>
          <w:color w:val="000000" w:themeColor="text1"/>
          <w:kern w:val="0"/>
          <w:sz w:val="28"/>
          <w:szCs w:val="28"/>
        </w:rPr>
        <w:t xml:space="preserve"> 2017年中國大陸中央經濟工作會議重點</w:t>
      </w:r>
    </w:p>
    <w:tbl>
      <w:tblPr>
        <w:tblStyle w:val="241"/>
        <w:tblW w:w="8613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4819"/>
      </w:tblGrid>
      <w:tr w:rsidR="00BF71E4" w:rsidRPr="003E7BB4" w:rsidTr="00453E30">
        <w:trPr>
          <w:trHeight w:val="411"/>
        </w:trPr>
        <w:tc>
          <w:tcPr>
            <w:tcW w:w="817" w:type="dxa"/>
            <w:tcBorders>
              <w:left w:val="nil"/>
            </w:tcBorders>
          </w:tcPr>
          <w:p w:rsidR="00BF71E4" w:rsidRPr="003E7BB4" w:rsidRDefault="00BF71E4" w:rsidP="003E7BB4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</w:tcPr>
          <w:p w:rsidR="00BF71E4" w:rsidRPr="003E7BB4" w:rsidRDefault="00BF71E4" w:rsidP="003E7BB4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3E7BB4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項目</w:t>
            </w:r>
          </w:p>
        </w:tc>
        <w:tc>
          <w:tcPr>
            <w:tcW w:w="4819" w:type="dxa"/>
            <w:tcBorders>
              <w:right w:val="nil"/>
            </w:tcBorders>
          </w:tcPr>
          <w:p w:rsidR="00BF71E4" w:rsidRPr="003E7BB4" w:rsidRDefault="00BF71E4" w:rsidP="003E7BB4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3E7BB4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內容</w:t>
            </w:r>
          </w:p>
        </w:tc>
      </w:tr>
      <w:tr w:rsidR="00BF71E4" w:rsidRPr="003E7BB4" w:rsidTr="00453E30">
        <w:tc>
          <w:tcPr>
            <w:tcW w:w="817" w:type="dxa"/>
            <w:tcBorders>
              <w:left w:val="nil"/>
            </w:tcBorders>
          </w:tcPr>
          <w:p w:rsidR="00BF71E4" w:rsidRDefault="00BF71E4" w:rsidP="00F87B3D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  <w:p w:rsidR="00BF71E4" w:rsidRPr="003E7BB4" w:rsidRDefault="00BF71E4" w:rsidP="00F87B3D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  <w:p w:rsidR="00BF71E4" w:rsidRPr="003E7BB4" w:rsidRDefault="00BF71E4" w:rsidP="00F87B3D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3E7BB4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原</w:t>
            </w:r>
          </w:p>
          <w:p w:rsidR="00BF71E4" w:rsidRPr="003E7BB4" w:rsidRDefault="00BF71E4" w:rsidP="00F87B3D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3E7BB4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則</w:t>
            </w:r>
          </w:p>
        </w:tc>
        <w:tc>
          <w:tcPr>
            <w:tcW w:w="2977" w:type="dxa"/>
            <w:vAlign w:val="center"/>
          </w:tcPr>
          <w:p w:rsidR="00BF71E4" w:rsidRPr="003E7BB4" w:rsidRDefault="00BF71E4" w:rsidP="003E7BB4">
            <w:pPr>
              <w:widowControl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3E7BB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經濟穩中求進</w:t>
            </w:r>
          </w:p>
        </w:tc>
        <w:tc>
          <w:tcPr>
            <w:tcW w:w="4819" w:type="dxa"/>
            <w:tcBorders>
              <w:right w:val="nil"/>
            </w:tcBorders>
            <w:vAlign w:val="center"/>
          </w:tcPr>
          <w:p w:rsidR="00BF71E4" w:rsidRPr="003E7BB4" w:rsidRDefault="00BF71E4" w:rsidP="003E7BB4">
            <w:pPr>
              <w:widowControl/>
              <w:numPr>
                <w:ilvl w:val="0"/>
                <w:numId w:val="13"/>
              </w:num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3E7BB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統籌加強政策協同</w:t>
            </w:r>
          </w:p>
          <w:p w:rsidR="00BF71E4" w:rsidRPr="003E7BB4" w:rsidRDefault="00BF71E4" w:rsidP="003E7BB4">
            <w:pPr>
              <w:widowControl/>
              <w:numPr>
                <w:ilvl w:val="0"/>
                <w:numId w:val="13"/>
              </w:num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3E7BB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穩健的貨幣政策，保持中立</w:t>
            </w:r>
          </w:p>
          <w:p w:rsidR="00BF71E4" w:rsidRPr="003E7BB4" w:rsidRDefault="00BF71E4" w:rsidP="003E7BB4">
            <w:pPr>
              <w:widowControl/>
              <w:numPr>
                <w:ilvl w:val="0"/>
                <w:numId w:val="13"/>
              </w:num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3E7BB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保持人民幣匯率合理穩定</w:t>
            </w:r>
          </w:p>
          <w:p w:rsidR="00BF71E4" w:rsidRPr="003E7BB4" w:rsidRDefault="00BF71E4" w:rsidP="003E7BB4">
            <w:pPr>
              <w:widowControl/>
              <w:numPr>
                <w:ilvl w:val="0"/>
                <w:numId w:val="13"/>
              </w:num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3E7BB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促進多層次資本市場健全發展</w:t>
            </w:r>
          </w:p>
          <w:p w:rsidR="00BF71E4" w:rsidRPr="003E7BB4" w:rsidRDefault="00BF71E4" w:rsidP="003E7BB4">
            <w:pPr>
              <w:widowControl/>
              <w:numPr>
                <w:ilvl w:val="0"/>
                <w:numId w:val="13"/>
              </w:num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3E7BB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強化實體經濟競爭力，促進民間投資成長</w:t>
            </w:r>
          </w:p>
          <w:p w:rsidR="00BF71E4" w:rsidRPr="003E7BB4" w:rsidRDefault="00BF71E4" w:rsidP="003E7BB4">
            <w:pPr>
              <w:widowControl/>
              <w:numPr>
                <w:ilvl w:val="0"/>
                <w:numId w:val="13"/>
              </w:num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3E7BB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注重民生保障</w:t>
            </w:r>
          </w:p>
          <w:p w:rsidR="00BF71E4" w:rsidRPr="003E7BB4" w:rsidRDefault="00BF71E4" w:rsidP="003E7BB4">
            <w:pPr>
              <w:widowControl/>
              <w:numPr>
                <w:ilvl w:val="0"/>
                <w:numId w:val="13"/>
              </w:numPr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3E7BB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加強改革開發</w:t>
            </w:r>
          </w:p>
        </w:tc>
      </w:tr>
      <w:tr w:rsidR="00BF71E4" w:rsidRPr="003E7BB4" w:rsidTr="00BF71E4">
        <w:trPr>
          <w:trHeight w:val="822"/>
        </w:trPr>
        <w:tc>
          <w:tcPr>
            <w:tcW w:w="817" w:type="dxa"/>
            <w:vMerge w:val="restart"/>
            <w:tcBorders>
              <w:left w:val="nil"/>
            </w:tcBorders>
          </w:tcPr>
          <w:p w:rsidR="00BF71E4" w:rsidRDefault="00BF71E4" w:rsidP="00BF71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政</w:t>
            </w:r>
          </w:p>
          <w:p w:rsidR="00BF71E4" w:rsidRDefault="00BF71E4" w:rsidP="00BF71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策</w:t>
            </w:r>
          </w:p>
          <w:p w:rsidR="00BF71E4" w:rsidRDefault="00BF71E4" w:rsidP="00BF71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方</w:t>
            </w:r>
          </w:p>
          <w:p w:rsidR="00BF71E4" w:rsidRPr="003E7BB4" w:rsidRDefault="00BF71E4" w:rsidP="00BF71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向</w:t>
            </w:r>
          </w:p>
        </w:tc>
        <w:tc>
          <w:tcPr>
            <w:tcW w:w="2977" w:type="dxa"/>
            <w:vAlign w:val="center"/>
          </w:tcPr>
          <w:p w:rsidR="00BF71E4" w:rsidRPr="003E7BB4" w:rsidRDefault="00BF71E4" w:rsidP="003E7BB4">
            <w:pPr>
              <w:widowControl/>
              <w:numPr>
                <w:ilvl w:val="0"/>
                <w:numId w:val="14"/>
              </w:numPr>
              <w:spacing w:line="300" w:lineRule="exact"/>
              <w:ind w:left="317" w:hanging="317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3E7BB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積極的財政政策</w:t>
            </w:r>
          </w:p>
        </w:tc>
        <w:tc>
          <w:tcPr>
            <w:tcW w:w="4819" w:type="dxa"/>
            <w:tcBorders>
              <w:right w:val="nil"/>
            </w:tcBorders>
            <w:vAlign w:val="center"/>
          </w:tcPr>
          <w:p w:rsidR="00BF71E4" w:rsidRPr="003E7BB4" w:rsidRDefault="00BF71E4" w:rsidP="003E7BB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3E7BB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確實加強地方政府債務管理</w:t>
            </w:r>
          </w:p>
        </w:tc>
      </w:tr>
      <w:tr w:rsidR="00BF71E4" w:rsidRPr="003E7BB4" w:rsidTr="00453E30">
        <w:trPr>
          <w:trHeight w:val="692"/>
        </w:trPr>
        <w:tc>
          <w:tcPr>
            <w:tcW w:w="817" w:type="dxa"/>
            <w:vMerge/>
            <w:tcBorders>
              <w:left w:val="nil"/>
            </w:tcBorders>
          </w:tcPr>
          <w:p w:rsidR="00BF71E4" w:rsidRPr="003E7BB4" w:rsidRDefault="00BF71E4" w:rsidP="00F87B3D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F71E4" w:rsidRPr="003E7BB4" w:rsidRDefault="00BF71E4" w:rsidP="003E7BB4">
            <w:pPr>
              <w:widowControl/>
              <w:numPr>
                <w:ilvl w:val="0"/>
                <w:numId w:val="14"/>
              </w:numPr>
              <w:spacing w:line="300" w:lineRule="exact"/>
              <w:ind w:left="317" w:hanging="317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3E7BB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穩健的貨幣政策</w:t>
            </w:r>
          </w:p>
        </w:tc>
        <w:tc>
          <w:tcPr>
            <w:tcW w:w="4819" w:type="dxa"/>
            <w:tcBorders>
              <w:right w:val="nil"/>
            </w:tcBorders>
            <w:vAlign w:val="center"/>
          </w:tcPr>
          <w:p w:rsidR="00BF71E4" w:rsidRPr="003E7BB4" w:rsidRDefault="00BF71E4" w:rsidP="003E7BB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3E7BB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保持人民幣匯率在合理水準，防範系統性金融風險發生</w:t>
            </w:r>
          </w:p>
        </w:tc>
      </w:tr>
      <w:tr w:rsidR="00BF71E4" w:rsidRPr="003E7BB4" w:rsidTr="00453E30">
        <w:trPr>
          <w:trHeight w:val="692"/>
        </w:trPr>
        <w:tc>
          <w:tcPr>
            <w:tcW w:w="817" w:type="dxa"/>
            <w:vMerge w:val="restart"/>
            <w:tcBorders>
              <w:left w:val="nil"/>
            </w:tcBorders>
          </w:tcPr>
          <w:p w:rsidR="00BF71E4" w:rsidRDefault="00BF71E4" w:rsidP="00F87B3D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  <w:p w:rsidR="00BF71E4" w:rsidRPr="003E7BB4" w:rsidRDefault="00BF71E4" w:rsidP="00F87B3D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3E7BB4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3</w:t>
            </w:r>
          </w:p>
          <w:p w:rsidR="00BF71E4" w:rsidRPr="003E7BB4" w:rsidRDefault="00BF71E4" w:rsidP="00F87B3D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3E7BB4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年</w:t>
            </w:r>
          </w:p>
          <w:p w:rsidR="00BF71E4" w:rsidRPr="003E7BB4" w:rsidRDefault="00BF71E4" w:rsidP="00F87B3D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3E7BB4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攻</w:t>
            </w:r>
          </w:p>
          <w:p w:rsidR="00BF71E4" w:rsidRPr="003E7BB4" w:rsidRDefault="00BF71E4" w:rsidP="00F87B3D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3E7BB4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堅</w:t>
            </w:r>
            <w:proofErr w:type="gramEnd"/>
          </w:p>
        </w:tc>
        <w:tc>
          <w:tcPr>
            <w:tcW w:w="2977" w:type="dxa"/>
            <w:vAlign w:val="center"/>
          </w:tcPr>
          <w:p w:rsidR="00BF71E4" w:rsidRPr="003E7BB4" w:rsidRDefault="00BF71E4" w:rsidP="003E7BB4">
            <w:pPr>
              <w:widowControl/>
              <w:numPr>
                <w:ilvl w:val="0"/>
                <w:numId w:val="16"/>
              </w:numPr>
              <w:spacing w:line="300" w:lineRule="exact"/>
              <w:ind w:left="317" w:hanging="317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3E7BB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防範化解金融風險</w:t>
            </w:r>
          </w:p>
        </w:tc>
        <w:tc>
          <w:tcPr>
            <w:tcW w:w="4819" w:type="dxa"/>
            <w:tcBorders>
              <w:right w:val="nil"/>
            </w:tcBorders>
            <w:vAlign w:val="center"/>
          </w:tcPr>
          <w:p w:rsidR="00BF71E4" w:rsidRPr="003E7BB4" w:rsidRDefault="00BF71E4" w:rsidP="003E7BB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3E7BB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重點防範金融重點</w:t>
            </w:r>
          </w:p>
        </w:tc>
      </w:tr>
      <w:tr w:rsidR="00BF71E4" w:rsidRPr="003E7BB4" w:rsidTr="00453E30">
        <w:trPr>
          <w:trHeight w:val="692"/>
        </w:trPr>
        <w:tc>
          <w:tcPr>
            <w:tcW w:w="817" w:type="dxa"/>
            <w:vMerge/>
            <w:tcBorders>
              <w:left w:val="nil"/>
            </w:tcBorders>
          </w:tcPr>
          <w:p w:rsidR="00BF71E4" w:rsidRPr="003E7BB4" w:rsidRDefault="00BF71E4" w:rsidP="003E7BB4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F71E4" w:rsidRPr="003E7BB4" w:rsidRDefault="00BF71E4" w:rsidP="003E7BB4">
            <w:pPr>
              <w:widowControl/>
              <w:numPr>
                <w:ilvl w:val="0"/>
                <w:numId w:val="16"/>
              </w:numPr>
              <w:spacing w:line="300" w:lineRule="exact"/>
              <w:ind w:left="317" w:hanging="317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3E7BB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精</w:t>
            </w:r>
            <w:proofErr w:type="gramStart"/>
            <w:r w:rsidRPr="003E7BB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準</w:t>
            </w:r>
            <w:proofErr w:type="gramEnd"/>
            <w:r w:rsidRPr="003E7BB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扶貧</w:t>
            </w:r>
          </w:p>
        </w:tc>
        <w:tc>
          <w:tcPr>
            <w:tcW w:w="4819" w:type="dxa"/>
            <w:tcBorders>
              <w:right w:val="nil"/>
            </w:tcBorders>
            <w:vAlign w:val="center"/>
          </w:tcPr>
          <w:p w:rsidR="00BF71E4" w:rsidRPr="003E7BB4" w:rsidRDefault="00BF71E4" w:rsidP="003E7BB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3E7BB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保障現行標準下的脫貧質量</w:t>
            </w:r>
          </w:p>
        </w:tc>
      </w:tr>
      <w:tr w:rsidR="00BF71E4" w:rsidRPr="003E7BB4" w:rsidTr="00453E30">
        <w:trPr>
          <w:trHeight w:val="694"/>
        </w:trPr>
        <w:tc>
          <w:tcPr>
            <w:tcW w:w="817" w:type="dxa"/>
            <w:vMerge/>
            <w:tcBorders>
              <w:left w:val="nil"/>
            </w:tcBorders>
          </w:tcPr>
          <w:p w:rsidR="00BF71E4" w:rsidRPr="003E7BB4" w:rsidRDefault="00BF71E4" w:rsidP="003E7BB4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BF71E4" w:rsidRPr="003E7BB4" w:rsidRDefault="00BF71E4" w:rsidP="003E7BB4">
            <w:pPr>
              <w:widowControl/>
              <w:numPr>
                <w:ilvl w:val="0"/>
                <w:numId w:val="16"/>
              </w:numPr>
              <w:spacing w:line="300" w:lineRule="exact"/>
              <w:ind w:left="317" w:hanging="317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3E7BB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汙染防治</w:t>
            </w:r>
          </w:p>
        </w:tc>
        <w:tc>
          <w:tcPr>
            <w:tcW w:w="4819" w:type="dxa"/>
            <w:tcBorders>
              <w:right w:val="nil"/>
            </w:tcBorders>
            <w:vAlign w:val="center"/>
          </w:tcPr>
          <w:p w:rsidR="00BF71E4" w:rsidRPr="003E7BB4" w:rsidRDefault="00BF71E4" w:rsidP="003E7BB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3E7BB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調整產業、淘汰落後產能</w:t>
            </w:r>
          </w:p>
        </w:tc>
      </w:tr>
      <w:tr w:rsidR="00BF71E4" w:rsidRPr="003E7BB4" w:rsidTr="00BF71E4">
        <w:tc>
          <w:tcPr>
            <w:tcW w:w="817" w:type="dxa"/>
            <w:vMerge w:val="restart"/>
            <w:tcBorders>
              <w:left w:val="nil"/>
            </w:tcBorders>
          </w:tcPr>
          <w:p w:rsidR="00BF71E4" w:rsidRDefault="00BF71E4" w:rsidP="00BF71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  <w:p w:rsidR="00BF71E4" w:rsidRDefault="00BF71E4" w:rsidP="00BF71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  <w:p w:rsidR="00BF71E4" w:rsidRDefault="00BF71E4" w:rsidP="00BF71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推</w:t>
            </w:r>
          </w:p>
          <w:p w:rsidR="00BF71E4" w:rsidRDefault="00BF71E4" w:rsidP="00BF71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動</w:t>
            </w:r>
          </w:p>
          <w:p w:rsidR="00BF71E4" w:rsidRDefault="00BF71E4" w:rsidP="00BF71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高</w:t>
            </w:r>
          </w:p>
          <w:p w:rsidR="00BF71E4" w:rsidRDefault="00BF71E4" w:rsidP="00BF71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質</w:t>
            </w:r>
          </w:p>
          <w:p w:rsidR="00BF71E4" w:rsidRDefault="00BF71E4" w:rsidP="00BF71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量</w:t>
            </w:r>
          </w:p>
          <w:p w:rsidR="00BF71E4" w:rsidRDefault="00BF71E4" w:rsidP="00BF71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發</w:t>
            </w:r>
          </w:p>
          <w:p w:rsidR="00BF71E4" w:rsidRDefault="00BF71E4" w:rsidP="00BF71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展</w:t>
            </w:r>
          </w:p>
          <w:p w:rsidR="00BF71E4" w:rsidRDefault="00BF71E4" w:rsidP="00BF71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工</w:t>
            </w:r>
          </w:p>
          <w:p w:rsidR="00BF71E4" w:rsidRDefault="00BF71E4" w:rsidP="00BF71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作</w:t>
            </w:r>
          </w:p>
          <w:p w:rsidR="00BF71E4" w:rsidRDefault="00BF71E4" w:rsidP="00BF71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項</w:t>
            </w:r>
          </w:p>
          <w:p w:rsidR="00BF71E4" w:rsidRPr="003E7BB4" w:rsidRDefault="00BF71E4" w:rsidP="00BF71E4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目</w:t>
            </w:r>
          </w:p>
        </w:tc>
        <w:tc>
          <w:tcPr>
            <w:tcW w:w="2977" w:type="dxa"/>
            <w:vAlign w:val="center"/>
          </w:tcPr>
          <w:p w:rsidR="00BF71E4" w:rsidRPr="003E7BB4" w:rsidRDefault="00BF71E4" w:rsidP="003E7BB4">
            <w:pPr>
              <w:widowControl/>
              <w:numPr>
                <w:ilvl w:val="0"/>
                <w:numId w:val="15"/>
              </w:numPr>
              <w:spacing w:line="300" w:lineRule="exact"/>
              <w:ind w:left="317" w:hanging="317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3E7BB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深化供給面結構性改革</w:t>
            </w:r>
          </w:p>
        </w:tc>
        <w:tc>
          <w:tcPr>
            <w:tcW w:w="4819" w:type="dxa"/>
            <w:tcBorders>
              <w:right w:val="nil"/>
            </w:tcBorders>
          </w:tcPr>
          <w:p w:rsidR="00BF71E4" w:rsidRPr="003E7BB4" w:rsidRDefault="00BF71E4" w:rsidP="003E7BB4">
            <w:pPr>
              <w:widowControl/>
              <w:spacing w:line="300" w:lineRule="exact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3E7BB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 xml:space="preserve">推動由中國大陸製造轉變為中國大陸創造；破除無效供給，清理僵屍企業，化解過剩產能 </w:t>
            </w:r>
          </w:p>
        </w:tc>
      </w:tr>
      <w:tr w:rsidR="00BF71E4" w:rsidRPr="003E7BB4" w:rsidTr="00453E30">
        <w:tc>
          <w:tcPr>
            <w:tcW w:w="817" w:type="dxa"/>
            <w:vMerge/>
            <w:tcBorders>
              <w:left w:val="nil"/>
            </w:tcBorders>
          </w:tcPr>
          <w:p w:rsidR="00BF71E4" w:rsidRPr="003E7BB4" w:rsidRDefault="00BF71E4" w:rsidP="003E7BB4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BF71E4" w:rsidRPr="003E7BB4" w:rsidRDefault="00BF71E4" w:rsidP="003E7BB4">
            <w:pPr>
              <w:widowControl/>
              <w:numPr>
                <w:ilvl w:val="0"/>
                <w:numId w:val="15"/>
              </w:numPr>
              <w:spacing w:line="300" w:lineRule="exact"/>
              <w:ind w:left="317" w:hanging="317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3E7BB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激發各類市場主體活力</w:t>
            </w:r>
          </w:p>
        </w:tc>
        <w:tc>
          <w:tcPr>
            <w:tcW w:w="4819" w:type="dxa"/>
            <w:tcBorders>
              <w:right w:val="nil"/>
            </w:tcBorders>
          </w:tcPr>
          <w:p w:rsidR="00BF71E4" w:rsidRPr="003E7BB4" w:rsidRDefault="00BF71E4" w:rsidP="003E7BB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3E7BB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改革國有資本授權經營體制，推動國有企業完善現代企業制度；支援民營企業發展，落實保護產權政策</w:t>
            </w:r>
          </w:p>
        </w:tc>
      </w:tr>
      <w:tr w:rsidR="00BF71E4" w:rsidRPr="003E7BB4" w:rsidTr="00453E30">
        <w:tc>
          <w:tcPr>
            <w:tcW w:w="817" w:type="dxa"/>
            <w:vMerge/>
            <w:tcBorders>
              <w:left w:val="nil"/>
            </w:tcBorders>
          </w:tcPr>
          <w:p w:rsidR="00BF71E4" w:rsidRPr="003E7BB4" w:rsidRDefault="00BF71E4" w:rsidP="003E7BB4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BF71E4" w:rsidRPr="003E7BB4" w:rsidRDefault="00BF71E4" w:rsidP="003E7BB4">
            <w:pPr>
              <w:widowControl/>
              <w:numPr>
                <w:ilvl w:val="0"/>
                <w:numId w:val="15"/>
              </w:numPr>
              <w:spacing w:line="300" w:lineRule="exact"/>
              <w:ind w:left="317" w:hanging="317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3E7BB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實施鄉村振興戰略</w:t>
            </w:r>
          </w:p>
        </w:tc>
        <w:tc>
          <w:tcPr>
            <w:tcW w:w="4819" w:type="dxa"/>
            <w:tcBorders>
              <w:right w:val="nil"/>
            </w:tcBorders>
          </w:tcPr>
          <w:p w:rsidR="00BF71E4" w:rsidRPr="003E7BB4" w:rsidRDefault="00BF71E4" w:rsidP="003E7BB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3E7BB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科學制定鄉村振興戰略規劃，健全城鄉融合發展體制機制</w:t>
            </w:r>
          </w:p>
        </w:tc>
      </w:tr>
      <w:tr w:rsidR="00BF71E4" w:rsidRPr="003E7BB4" w:rsidTr="00453E30">
        <w:tc>
          <w:tcPr>
            <w:tcW w:w="817" w:type="dxa"/>
            <w:vMerge/>
            <w:tcBorders>
              <w:left w:val="nil"/>
            </w:tcBorders>
          </w:tcPr>
          <w:p w:rsidR="00BF71E4" w:rsidRPr="003E7BB4" w:rsidRDefault="00BF71E4" w:rsidP="003E7BB4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BF71E4" w:rsidRPr="003E7BB4" w:rsidRDefault="00BF71E4" w:rsidP="003E7BB4">
            <w:pPr>
              <w:widowControl/>
              <w:numPr>
                <w:ilvl w:val="0"/>
                <w:numId w:val="15"/>
              </w:numPr>
              <w:spacing w:line="300" w:lineRule="exact"/>
              <w:ind w:left="317" w:hanging="317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3E7BB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實施區域協調發展戰略</w:t>
            </w:r>
          </w:p>
        </w:tc>
        <w:tc>
          <w:tcPr>
            <w:tcW w:w="4819" w:type="dxa"/>
            <w:tcBorders>
              <w:right w:val="nil"/>
            </w:tcBorders>
          </w:tcPr>
          <w:p w:rsidR="00BF71E4" w:rsidRPr="003E7BB4" w:rsidRDefault="00BF71E4" w:rsidP="003E7BB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3E7BB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圍繞「一帶一路」建設；創新對外投資方式，以投資帶動貿易發展、產業發展</w:t>
            </w:r>
          </w:p>
        </w:tc>
      </w:tr>
      <w:tr w:rsidR="00BF71E4" w:rsidRPr="003E7BB4" w:rsidTr="00453E30">
        <w:tc>
          <w:tcPr>
            <w:tcW w:w="817" w:type="dxa"/>
            <w:vMerge/>
            <w:tcBorders>
              <w:left w:val="nil"/>
            </w:tcBorders>
          </w:tcPr>
          <w:p w:rsidR="00BF71E4" w:rsidRPr="003E7BB4" w:rsidRDefault="00BF71E4" w:rsidP="003E7BB4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BF71E4" w:rsidRPr="003E7BB4" w:rsidRDefault="00BF71E4" w:rsidP="003E7BB4">
            <w:pPr>
              <w:widowControl/>
              <w:numPr>
                <w:ilvl w:val="0"/>
                <w:numId w:val="15"/>
              </w:numPr>
              <w:spacing w:line="300" w:lineRule="exact"/>
              <w:ind w:left="317" w:hanging="317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3E7BB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推動形成全面開放新格局</w:t>
            </w:r>
          </w:p>
        </w:tc>
        <w:tc>
          <w:tcPr>
            <w:tcW w:w="4819" w:type="dxa"/>
            <w:tcBorders>
              <w:right w:val="nil"/>
            </w:tcBorders>
          </w:tcPr>
          <w:p w:rsidR="00BF71E4" w:rsidRPr="003E7BB4" w:rsidRDefault="00BF71E4" w:rsidP="003E7BB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3E7BB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提升出口品質和附加值，積極擴大進口，降低部分產品進口關稅；積極發展服務貿易</w:t>
            </w:r>
          </w:p>
        </w:tc>
      </w:tr>
      <w:tr w:rsidR="00BF71E4" w:rsidRPr="003E7BB4" w:rsidTr="00453E30">
        <w:tc>
          <w:tcPr>
            <w:tcW w:w="817" w:type="dxa"/>
            <w:vMerge/>
            <w:tcBorders>
              <w:left w:val="nil"/>
            </w:tcBorders>
          </w:tcPr>
          <w:p w:rsidR="00BF71E4" w:rsidRPr="003E7BB4" w:rsidRDefault="00BF71E4" w:rsidP="003E7BB4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BF71E4" w:rsidRPr="003E7BB4" w:rsidRDefault="00BF71E4" w:rsidP="003E7BB4">
            <w:pPr>
              <w:widowControl/>
              <w:numPr>
                <w:ilvl w:val="0"/>
                <w:numId w:val="15"/>
              </w:numPr>
              <w:spacing w:line="300" w:lineRule="exact"/>
              <w:ind w:left="317" w:hanging="317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3E7BB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提高保障和改善民生水準</w:t>
            </w:r>
          </w:p>
        </w:tc>
        <w:tc>
          <w:tcPr>
            <w:tcW w:w="4819" w:type="dxa"/>
            <w:tcBorders>
              <w:right w:val="nil"/>
            </w:tcBorders>
          </w:tcPr>
          <w:p w:rsidR="00BF71E4" w:rsidRPr="003E7BB4" w:rsidRDefault="00BF71E4" w:rsidP="003E7BB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3E7BB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解決嬰幼兒照護和兒童早期教育服務問題，實現養老保險全國統籌</w:t>
            </w:r>
          </w:p>
        </w:tc>
      </w:tr>
      <w:tr w:rsidR="00BF71E4" w:rsidRPr="003E7BB4" w:rsidTr="00453E30">
        <w:tc>
          <w:tcPr>
            <w:tcW w:w="817" w:type="dxa"/>
            <w:vMerge/>
            <w:tcBorders>
              <w:left w:val="nil"/>
            </w:tcBorders>
          </w:tcPr>
          <w:p w:rsidR="00BF71E4" w:rsidRPr="003E7BB4" w:rsidRDefault="00BF71E4" w:rsidP="003E7BB4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BF71E4" w:rsidRPr="003E7BB4" w:rsidRDefault="00BF71E4" w:rsidP="003E7BB4">
            <w:pPr>
              <w:widowControl/>
              <w:numPr>
                <w:ilvl w:val="0"/>
                <w:numId w:val="15"/>
              </w:numPr>
              <w:spacing w:line="300" w:lineRule="exact"/>
              <w:ind w:left="317" w:hanging="317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3E7BB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加快建立多主體供應、多管道保障、租購並進的住房制度</w:t>
            </w:r>
          </w:p>
        </w:tc>
        <w:tc>
          <w:tcPr>
            <w:tcW w:w="4819" w:type="dxa"/>
            <w:tcBorders>
              <w:right w:val="nil"/>
            </w:tcBorders>
          </w:tcPr>
          <w:p w:rsidR="00BF71E4" w:rsidRPr="003E7BB4" w:rsidRDefault="00BF71E4" w:rsidP="003E7BB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</w:p>
          <w:p w:rsidR="00BF71E4" w:rsidRPr="003E7BB4" w:rsidRDefault="00BF71E4" w:rsidP="003E7BB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3E7BB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保持房地產市場調控政策連續性和穩定性</w:t>
            </w:r>
          </w:p>
        </w:tc>
      </w:tr>
      <w:tr w:rsidR="00BF71E4" w:rsidRPr="003E7BB4" w:rsidTr="00453E30">
        <w:tc>
          <w:tcPr>
            <w:tcW w:w="817" w:type="dxa"/>
            <w:vMerge/>
            <w:tcBorders>
              <w:left w:val="nil"/>
            </w:tcBorders>
          </w:tcPr>
          <w:p w:rsidR="00BF71E4" w:rsidRPr="003E7BB4" w:rsidRDefault="00BF71E4" w:rsidP="003E7BB4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977" w:type="dxa"/>
          </w:tcPr>
          <w:p w:rsidR="00BF71E4" w:rsidRPr="003E7BB4" w:rsidRDefault="00BF71E4" w:rsidP="003E7BB4">
            <w:pPr>
              <w:widowControl/>
              <w:numPr>
                <w:ilvl w:val="0"/>
                <w:numId w:val="15"/>
              </w:numPr>
              <w:spacing w:line="300" w:lineRule="exact"/>
              <w:ind w:left="317" w:hanging="317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3E7BB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加快推進生態文明建設</w:t>
            </w:r>
          </w:p>
        </w:tc>
        <w:tc>
          <w:tcPr>
            <w:tcW w:w="4819" w:type="dxa"/>
            <w:tcBorders>
              <w:right w:val="nil"/>
            </w:tcBorders>
          </w:tcPr>
          <w:p w:rsidR="00BF71E4" w:rsidRPr="003E7BB4" w:rsidRDefault="00BF71E4" w:rsidP="003E7BB4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3E7BB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健全自然資源資產產權制度，改革生態環境監管體制</w:t>
            </w:r>
          </w:p>
        </w:tc>
      </w:tr>
    </w:tbl>
    <w:p w:rsidR="00BF71E4" w:rsidRPr="002E5699" w:rsidRDefault="002E5699" w:rsidP="002E5699">
      <w:pPr>
        <w:widowControl/>
        <w:rPr>
          <w:rFonts w:ascii="標楷體" w:eastAsia="標楷體" w:hAnsi="標楷體"/>
          <w:bCs/>
          <w:color w:val="000000" w:themeColor="text1"/>
          <w:kern w:val="0"/>
        </w:rPr>
      </w:pPr>
      <w:r w:rsidRPr="002E5699">
        <w:rPr>
          <w:rFonts w:ascii="標楷體" w:eastAsia="標楷體" w:hAnsi="標楷體" w:hint="eastAsia"/>
          <w:bCs/>
          <w:color w:val="000000" w:themeColor="text1"/>
          <w:kern w:val="0"/>
        </w:rPr>
        <w:t>資料來源：</w:t>
      </w:r>
      <w:r>
        <w:rPr>
          <w:rFonts w:ascii="標楷體" w:eastAsia="標楷體" w:hAnsi="標楷體" w:hint="eastAsia"/>
          <w:bCs/>
          <w:color w:val="000000" w:themeColor="text1"/>
          <w:kern w:val="0"/>
        </w:rPr>
        <w:t>自行整理。</w:t>
      </w:r>
    </w:p>
    <w:p w:rsidR="002B54CD" w:rsidRPr="003469EC" w:rsidRDefault="00BF71E4" w:rsidP="00CC2F2C">
      <w:pPr>
        <w:pStyle w:val="11"/>
        <w:spacing w:before="120" w:after="0" w:line="520" w:lineRule="exact"/>
        <w:ind w:left="792" w:firstLineChars="510" w:firstLine="2042"/>
        <w:rPr>
          <w:rFonts w:ascii="Times New Roman" w:eastAsia="標楷體" w:hAnsi="Times New Roman"/>
          <w:color w:val="000000" w:themeColor="text1"/>
          <w:kern w:val="0"/>
          <w:sz w:val="40"/>
          <w:szCs w:val="36"/>
        </w:rPr>
      </w:pPr>
      <w:r w:rsidRPr="003469EC">
        <w:rPr>
          <w:rFonts w:ascii="Times New Roman" w:eastAsia="標楷體" w:hAnsi="Times New Roman"/>
          <w:color w:val="000000" w:themeColor="text1"/>
          <w:kern w:val="0"/>
          <w:sz w:val="40"/>
          <w:szCs w:val="36"/>
        </w:rPr>
        <w:lastRenderedPageBreak/>
        <w:t>貳、兩岸經貿情勢</w:t>
      </w:r>
      <w:bookmarkEnd w:id="13"/>
    </w:p>
    <w:p w:rsidR="00120BA0" w:rsidRPr="00120BA0" w:rsidRDefault="00120BA0" w:rsidP="00120BA0">
      <w:pPr>
        <w:keepNext/>
        <w:spacing w:beforeLines="50" w:before="120" w:line="480" w:lineRule="exact"/>
        <w:outlineLvl w:val="1"/>
        <w:rPr>
          <w:rFonts w:ascii="標楷體" w:eastAsia="標楷體" w:hAnsi="標楷體"/>
          <w:b/>
          <w:bCs/>
          <w:color w:val="000000" w:themeColor="text1"/>
          <w:sz w:val="28"/>
          <w:szCs w:val="32"/>
        </w:rPr>
      </w:pPr>
      <w:bookmarkStart w:id="14" w:name="_Toc489971718"/>
      <w:r w:rsidRPr="00120BA0">
        <w:rPr>
          <w:rFonts w:ascii="標楷體" w:eastAsia="標楷體" w:hAnsi="標楷體"/>
          <w:b/>
          <w:bCs/>
          <w:color w:val="000000" w:themeColor="text1"/>
          <w:sz w:val="28"/>
          <w:szCs w:val="32"/>
        </w:rPr>
        <w:t>一、</w:t>
      </w:r>
      <w:r w:rsidRPr="00120BA0">
        <w:rPr>
          <w:rFonts w:ascii="標楷體" w:eastAsia="標楷體" w:hAnsi="標楷體" w:hint="eastAsia"/>
          <w:b/>
          <w:bCs/>
          <w:color w:val="000000" w:themeColor="text1"/>
          <w:sz w:val="28"/>
          <w:szCs w:val="32"/>
        </w:rPr>
        <w:t>雙邊</w:t>
      </w:r>
      <w:r w:rsidRPr="00120BA0">
        <w:rPr>
          <w:rFonts w:ascii="標楷體" w:eastAsia="標楷體" w:hAnsi="標楷體"/>
          <w:b/>
          <w:bCs/>
          <w:color w:val="000000" w:themeColor="text1"/>
          <w:sz w:val="28"/>
          <w:szCs w:val="32"/>
        </w:rPr>
        <w:t>投資</w:t>
      </w:r>
      <w:bookmarkEnd w:id="14"/>
    </w:p>
    <w:p w:rsidR="00120BA0" w:rsidRPr="00120BA0" w:rsidRDefault="00120BA0" w:rsidP="00120BA0">
      <w:pPr>
        <w:widowControl/>
        <w:numPr>
          <w:ilvl w:val="0"/>
          <w:numId w:val="8"/>
        </w:numPr>
        <w:tabs>
          <w:tab w:val="left" w:pos="567"/>
        </w:tabs>
        <w:autoSpaceDE w:val="0"/>
        <w:snapToGrid w:val="0"/>
        <w:spacing w:beforeLines="25" w:before="60" w:line="480" w:lineRule="exact"/>
        <w:ind w:left="669" w:hanging="669"/>
        <w:jc w:val="both"/>
        <w:rPr>
          <w:rFonts w:ascii="標楷體" w:eastAsia="標楷體" w:hAnsi="標楷體" w:cstheme="minorBidi"/>
          <w:b/>
          <w:color w:val="000000" w:themeColor="text1"/>
          <w:sz w:val="28"/>
          <w:szCs w:val="28"/>
        </w:rPr>
      </w:pPr>
      <w:r w:rsidRPr="00120BA0">
        <w:rPr>
          <w:rFonts w:ascii="標楷體" w:eastAsia="標楷體" w:hAnsi="標楷體" w:cstheme="minorBidi" w:hint="eastAsia"/>
          <w:b/>
          <w:color w:val="000000" w:themeColor="text1"/>
          <w:sz w:val="28"/>
          <w:szCs w:val="28"/>
        </w:rPr>
        <w:t>我對中國大陸投資</w:t>
      </w:r>
    </w:p>
    <w:p w:rsidR="00120BA0" w:rsidRPr="00120BA0" w:rsidRDefault="00120BA0" w:rsidP="00120BA0">
      <w:pPr>
        <w:tabs>
          <w:tab w:val="left" w:pos="567"/>
        </w:tabs>
        <w:spacing w:beforeLines="30" w:before="72" w:line="480" w:lineRule="exact"/>
        <w:ind w:leftChars="279" w:left="670" w:firstLineChars="202" w:firstLine="566"/>
        <w:jc w:val="both"/>
        <w:rPr>
          <w:rFonts w:eastAsia="標楷體"/>
          <w:color w:val="000000" w:themeColor="text1"/>
          <w:sz w:val="28"/>
          <w:szCs w:val="28"/>
        </w:rPr>
      </w:pPr>
      <w:r w:rsidRPr="00120BA0">
        <w:rPr>
          <w:rFonts w:eastAsia="標楷體" w:hint="eastAsia"/>
          <w:color w:val="000000" w:themeColor="text1"/>
          <w:sz w:val="28"/>
          <w:szCs w:val="28"/>
        </w:rPr>
        <w:t>受到中國大陸經濟發展模式改變，</w:t>
      </w:r>
      <w:proofErr w:type="gramStart"/>
      <w:r w:rsidRPr="00120BA0">
        <w:rPr>
          <w:rFonts w:eastAsia="標楷體" w:hint="eastAsia"/>
          <w:color w:val="000000" w:themeColor="text1"/>
          <w:sz w:val="28"/>
          <w:szCs w:val="28"/>
        </w:rPr>
        <w:t>臺</w:t>
      </w:r>
      <w:proofErr w:type="gramEnd"/>
      <w:r w:rsidRPr="00120BA0">
        <w:rPr>
          <w:rFonts w:eastAsia="標楷體" w:hint="eastAsia"/>
          <w:color w:val="000000" w:themeColor="text1"/>
          <w:sz w:val="28"/>
          <w:szCs w:val="28"/>
        </w:rPr>
        <w:t>商對中國大陸的投資由製造業逐步轉向服務業，呈現投資金額減少</w:t>
      </w:r>
      <w:r w:rsidR="00D322CE">
        <w:rPr>
          <w:rFonts w:eastAsia="標楷體" w:hint="eastAsia"/>
          <w:color w:val="000000" w:themeColor="text1"/>
          <w:sz w:val="28"/>
          <w:szCs w:val="28"/>
        </w:rPr>
        <w:t>、</w:t>
      </w:r>
      <w:r w:rsidRPr="00120BA0">
        <w:rPr>
          <w:rFonts w:eastAsia="標楷體" w:hint="eastAsia"/>
          <w:color w:val="000000" w:themeColor="text1"/>
          <w:sz w:val="28"/>
          <w:szCs w:val="28"/>
        </w:rPr>
        <w:t>投資件數增加。依據經濟部投審會統計資料，</w:t>
      </w:r>
      <w:r w:rsidRPr="00120BA0">
        <w:rPr>
          <w:rFonts w:eastAsia="標楷體" w:hint="eastAsia"/>
          <w:color w:val="000000" w:themeColor="text1"/>
          <w:sz w:val="28"/>
          <w:szCs w:val="28"/>
        </w:rPr>
        <w:t>2017</w:t>
      </w:r>
      <w:r w:rsidRPr="00120BA0">
        <w:rPr>
          <w:rFonts w:eastAsia="標楷體" w:hint="eastAsia"/>
          <w:color w:val="000000" w:themeColor="text1"/>
          <w:sz w:val="28"/>
          <w:szCs w:val="28"/>
        </w:rPr>
        <w:t>年核准對中國大陸投（增）資金額為</w:t>
      </w:r>
      <w:r w:rsidRPr="00120BA0">
        <w:rPr>
          <w:rFonts w:eastAsia="標楷體" w:hint="eastAsia"/>
          <w:color w:val="000000" w:themeColor="text1"/>
          <w:sz w:val="28"/>
          <w:szCs w:val="28"/>
        </w:rPr>
        <w:t>87.4</w:t>
      </w:r>
      <w:r w:rsidRPr="00120BA0">
        <w:rPr>
          <w:rFonts w:eastAsia="標楷體" w:hint="eastAsia"/>
          <w:color w:val="000000" w:themeColor="text1"/>
          <w:sz w:val="28"/>
          <w:szCs w:val="28"/>
        </w:rPr>
        <w:t>億美元，較上年減少</w:t>
      </w:r>
      <w:r w:rsidRPr="00120BA0">
        <w:rPr>
          <w:rFonts w:eastAsia="標楷體" w:hint="eastAsia"/>
          <w:color w:val="000000" w:themeColor="text1"/>
          <w:sz w:val="28"/>
          <w:szCs w:val="28"/>
        </w:rPr>
        <w:t>4.8%</w:t>
      </w:r>
      <w:r w:rsidRPr="00120BA0">
        <w:rPr>
          <w:rFonts w:eastAsia="標楷體" w:hint="eastAsia"/>
          <w:color w:val="000000" w:themeColor="text1"/>
          <w:sz w:val="28"/>
          <w:szCs w:val="28"/>
        </w:rPr>
        <w:t>，投資件數為</w:t>
      </w:r>
      <w:r w:rsidRPr="00120BA0">
        <w:rPr>
          <w:rFonts w:eastAsia="標楷體" w:hint="eastAsia"/>
          <w:color w:val="000000" w:themeColor="text1"/>
          <w:sz w:val="28"/>
          <w:szCs w:val="28"/>
        </w:rPr>
        <w:t>484</w:t>
      </w:r>
      <w:r w:rsidRPr="00120BA0">
        <w:rPr>
          <w:rFonts w:eastAsia="標楷體" w:hint="eastAsia"/>
          <w:color w:val="000000" w:themeColor="text1"/>
          <w:sz w:val="28"/>
          <w:szCs w:val="28"/>
        </w:rPr>
        <w:t>件，較上年增加</w:t>
      </w:r>
      <w:r w:rsidRPr="00120BA0">
        <w:rPr>
          <w:rFonts w:eastAsia="標楷體" w:hint="eastAsia"/>
          <w:color w:val="000000" w:themeColor="text1"/>
          <w:sz w:val="28"/>
          <w:szCs w:val="28"/>
        </w:rPr>
        <w:t>92.1%</w:t>
      </w:r>
      <w:r w:rsidRPr="00120BA0">
        <w:rPr>
          <w:rFonts w:eastAsia="標楷體" w:hint="eastAsia"/>
          <w:color w:val="000000" w:themeColor="text1"/>
          <w:sz w:val="28"/>
          <w:szCs w:val="28"/>
        </w:rPr>
        <w:t>。累計</w:t>
      </w:r>
      <w:r w:rsidRPr="00120BA0">
        <w:rPr>
          <w:rFonts w:eastAsia="標楷體" w:hint="eastAsia"/>
          <w:color w:val="000000" w:themeColor="text1"/>
          <w:sz w:val="28"/>
          <w:szCs w:val="28"/>
        </w:rPr>
        <w:t>1991</w:t>
      </w:r>
      <w:r w:rsidRPr="00120BA0">
        <w:rPr>
          <w:rFonts w:eastAsia="標楷體" w:hint="eastAsia"/>
          <w:color w:val="000000" w:themeColor="text1"/>
          <w:sz w:val="28"/>
          <w:szCs w:val="28"/>
        </w:rPr>
        <w:t>年至</w:t>
      </w:r>
      <w:r w:rsidRPr="00120BA0">
        <w:rPr>
          <w:rFonts w:eastAsia="標楷體" w:hint="eastAsia"/>
          <w:color w:val="000000" w:themeColor="text1"/>
          <w:sz w:val="28"/>
          <w:szCs w:val="28"/>
        </w:rPr>
        <w:t>2017</w:t>
      </w:r>
      <w:r w:rsidRPr="00120BA0">
        <w:rPr>
          <w:rFonts w:eastAsia="標楷體" w:hint="eastAsia"/>
          <w:color w:val="000000" w:themeColor="text1"/>
          <w:sz w:val="28"/>
          <w:szCs w:val="28"/>
        </w:rPr>
        <w:t>年核准對中國大陸投資總額為</w:t>
      </w:r>
      <w:r w:rsidRPr="00120BA0">
        <w:rPr>
          <w:rFonts w:eastAsia="標楷體" w:hint="eastAsia"/>
          <w:color w:val="000000" w:themeColor="text1"/>
          <w:sz w:val="28"/>
          <w:szCs w:val="28"/>
        </w:rPr>
        <w:t>1,738.4</w:t>
      </w:r>
      <w:r w:rsidRPr="00120BA0">
        <w:rPr>
          <w:rFonts w:eastAsia="標楷體" w:hint="eastAsia"/>
          <w:color w:val="000000" w:themeColor="text1"/>
          <w:sz w:val="28"/>
          <w:szCs w:val="28"/>
        </w:rPr>
        <w:t>億美元（表</w:t>
      </w:r>
      <w:r w:rsidRPr="00120BA0">
        <w:rPr>
          <w:rFonts w:eastAsia="標楷體" w:hint="eastAsia"/>
          <w:color w:val="000000" w:themeColor="text1"/>
          <w:sz w:val="28"/>
          <w:szCs w:val="28"/>
        </w:rPr>
        <w:t>2-1</w:t>
      </w:r>
      <w:r w:rsidRPr="00120BA0">
        <w:rPr>
          <w:rFonts w:eastAsia="標楷體" w:hint="eastAsia"/>
          <w:color w:val="000000" w:themeColor="text1"/>
          <w:sz w:val="28"/>
          <w:szCs w:val="28"/>
        </w:rPr>
        <w:t>）。</w:t>
      </w:r>
    </w:p>
    <w:p w:rsidR="00120BA0" w:rsidRPr="00120BA0" w:rsidRDefault="00120BA0" w:rsidP="00120BA0">
      <w:pPr>
        <w:widowControl/>
        <w:spacing w:beforeLines="50" w:before="120" w:afterLines="50" w:after="120" w:line="440" w:lineRule="exact"/>
        <w:jc w:val="center"/>
        <w:rPr>
          <w:rFonts w:eastAsia="標楷體"/>
          <w:b/>
          <w:color w:val="000000" w:themeColor="text1"/>
          <w:kern w:val="0"/>
          <w:sz w:val="28"/>
          <w:szCs w:val="32"/>
        </w:rPr>
      </w:pPr>
      <w:r w:rsidRPr="00120BA0">
        <w:rPr>
          <w:rFonts w:eastAsia="標楷體"/>
          <w:b/>
          <w:color w:val="000000" w:themeColor="text1"/>
          <w:kern w:val="0"/>
          <w:sz w:val="28"/>
          <w:szCs w:val="32"/>
        </w:rPr>
        <w:t>表</w:t>
      </w:r>
      <w:r w:rsidRPr="00120BA0">
        <w:rPr>
          <w:rFonts w:eastAsia="標楷體"/>
          <w:b/>
          <w:color w:val="000000" w:themeColor="text1"/>
          <w:kern w:val="0"/>
          <w:sz w:val="28"/>
          <w:szCs w:val="32"/>
        </w:rPr>
        <w:t xml:space="preserve">2-1  </w:t>
      </w:r>
      <w:proofErr w:type="gramStart"/>
      <w:r w:rsidRPr="00120BA0">
        <w:rPr>
          <w:rFonts w:eastAsia="標楷體"/>
          <w:b/>
          <w:color w:val="000000" w:themeColor="text1"/>
          <w:kern w:val="0"/>
          <w:sz w:val="28"/>
          <w:szCs w:val="32"/>
        </w:rPr>
        <w:t>臺</w:t>
      </w:r>
      <w:proofErr w:type="gramEnd"/>
      <w:r w:rsidRPr="00120BA0">
        <w:rPr>
          <w:rFonts w:eastAsia="標楷體"/>
          <w:b/>
          <w:color w:val="000000" w:themeColor="text1"/>
          <w:kern w:val="0"/>
          <w:sz w:val="28"/>
          <w:szCs w:val="32"/>
        </w:rPr>
        <w:t>商赴中國大陸投資統計</w:t>
      </w: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1799"/>
        <w:gridCol w:w="1416"/>
        <w:gridCol w:w="1265"/>
        <w:gridCol w:w="1440"/>
        <w:gridCol w:w="1440"/>
        <w:gridCol w:w="1424"/>
      </w:tblGrid>
      <w:tr w:rsidR="00120BA0" w:rsidRPr="00120BA0" w:rsidTr="00453E30">
        <w:trPr>
          <w:jc w:val="center"/>
        </w:trPr>
        <w:tc>
          <w:tcPr>
            <w:tcW w:w="179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期   間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金  額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成 長 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件  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成 長 率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平均投資金額</w:t>
            </w:r>
          </w:p>
        </w:tc>
      </w:tr>
      <w:tr w:rsidR="00120BA0" w:rsidRPr="00120BA0" w:rsidTr="00453E30">
        <w:trPr>
          <w:jc w:val="center"/>
        </w:trPr>
        <w:tc>
          <w:tcPr>
            <w:tcW w:w="179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spacing w:line="24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（百萬美元）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（%）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（件）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（%）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（仟美元）</w:t>
            </w:r>
          </w:p>
        </w:tc>
      </w:tr>
      <w:tr w:rsidR="00120BA0" w:rsidRPr="00120BA0" w:rsidTr="00453E30">
        <w:trPr>
          <w:trHeight w:hRule="exact" w:val="340"/>
          <w:jc w:val="center"/>
        </w:trPr>
        <w:tc>
          <w:tcPr>
            <w:tcW w:w="1799" w:type="dxa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1991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～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2000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年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11,839.3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58.8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6,267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46.7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1,889.1</w:t>
            </w:r>
          </w:p>
        </w:tc>
      </w:tr>
      <w:tr w:rsidR="00120BA0" w:rsidRPr="00120BA0" w:rsidTr="00453E30">
        <w:trPr>
          <w:trHeight w:hRule="exact" w:val="340"/>
          <w:jc w:val="center"/>
        </w:trPr>
        <w:tc>
          <w:tcPr>
            <w:tcW w:w="1799" w:type="dxa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2001~2005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年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24,185.5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20.5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7,814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12.8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3,029.9</w:t>
            </w:r>
          </w:p>
        </w:tc>
      </w:tr>
      <w:tr w:rsidR="00120BA0" w:rsidRPr="00120BA0" w:rsidTr="00453E30">
        <w:trPr>
          <w:trHeight w:hRule="exact" w:val="340"/>
          <w:jc w:val="center"/>
        </w:trPr>
        <w:tc>
          <w:tcPr>
            <w:tcW w:w="1799" w:type="dxa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2006~2010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年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45,774.8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24.0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3,335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-3.3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13,725.6</w:t>
            </w:r>
          </w:p>
        </w:tc>
      </w:tr>
      <w:tr w:rsidR="00120BA0" w:rsidRPr="00120BA0" w:rsidTr="00453E30">
        <w:trPr>
          <w:trHeight w:hRule="exact" w:val="340"/>
          <w:jc w:val="center"/>
        </w:trPr>
        <w:tc>
          <w:tcPr>
            <w:tcW w:w="1799" w:type="dxa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left="-108" w:right="-108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2011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年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13,100.8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7.12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575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11.0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22,784.1</w:t>
            </w:r>
          </w:p>
        </w:tc>
      </w:tr>
      <w:tr w:rsidR="00120BA0" w:rsidRPr="00120BA0" w:rsidTr="00453E30">
        <w:trPr>
          <w:trHeight w:hRule="exact" w:val="340"/>
          <w:jc w:val="center"/>
        </w:trPr>
        <w:tc>
          <w:tcPr>
            <w:tcW w:w="1799" w:type="dxa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left="-108" w:right="-108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2012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年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10,924.4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-16.6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454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-21.0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24,062</w:t>
            </w:r>
          </w:p>
        </w:tc>
      </w:tr>
      <w:tr w:rsidR="00120BA0" w:rsidRPr="00120BA0" w:rsidTr="00453E30">
        <w:trPr>
          <w:trHeight w:hRule="exact" w:val="340"/>
          <w:jc w:val="center"/>
        </w:trPr>
        <w:tc>
          <w:tcPr>
            <w:tcW w:w="1799" w:type="dxa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left="-108" w:right="-108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2013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年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left="-108" w:right="-108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2014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年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left="-108" w:right="-108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2015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年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left="-108" w:right="-108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left="-108" w:right="-108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8,684.9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9,829.8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10,398.2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2,325.7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2,309.4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-20.5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13.2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5.8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-17.6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-1.8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440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388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321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74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80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-3.1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-11.8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-17.3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-11.9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-32.8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19,738.4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25,334.5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32,393.2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31,428.9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28,868.0</w:t>
            </w:r>
          </w:p>
        </w:tc>
      </w:tr>
      <w:tr w:rsidR="00120BA0" w:rsidRPr="00120BA0" w:rsidTr="00453E30">
        <w:trPr>
          <w:trHeight w:hRule="exact" w:val="340"/>
          <w:jc w:val="center"/>
        </w:trPr>
        <w:tc>
          <w:tcPr>
            <w:tcW w:w="1799" w:type="dxa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left="-108" w:right="-108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2014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年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left="-108" w:right="-108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2015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年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left="-108" w:right="-108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9,829.8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13.2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388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-11.8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25,334.5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20BA0" w:rsidRPr="00120BA0" w:rsidTr="00453E30">
        <w:trPr>
          <w:trHeight w:hRule="exact" w:val="340"/>
          <w:jc w:val="center"/>
        </w:trPr>
        <w:tc>
          <w:tcPr>
            <w:tcW w:w="1799" w:type="dxa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left="-108" w:right="-108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2015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年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left="-108" w:right="-108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10,398.2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5.8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321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-17.3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32,393.2</w:t>
            </w:r>
          </w:p>
        </w:tc>
      </w:tr>
      <w:tr w:rsidR="00120BA0" w:rsidRPr="00120BA0" w:rsidTr="00453E30">
        <w:trPr>
          <w:trHeight w:hRule="exact" w:val="340"/>
          <w:jc w:val="center"/>
        </w:trPr>
        <w:tc>
          <w:tcPr>
            <w:tcW w:w="1799" w:type="dxa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left="-108" w:right="-108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2016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年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9,184.0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-11.7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252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-21.5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36,444.4</w:t>
            </w:r>
          </w:p>
        </w:tc>
      </w:tr>
      <w:tr w:rsidR="00120BA0" w:rsidRPr="00120BA0" w:rsidTr="00453E30">
        <w:trPr>
          <w:trHeight w:hRule="exact" w:val="340"/>
          <w:jc w:val="center"/>
        </w:trPr>
        <w:tc>
          <w:tcPr>
            <w:tcW w:w="1799" w:type="dxa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left="-108" w:right="-108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（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486.7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（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71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（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6,855.5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</w:tr>
      <w:tr w:rsidR="00120BA0" w:rsidRPr="00120BA0" w:rsidTr="00453E30">
        <w:trPr>
          <w:trHeight w:hRule="exact" w:val="340"/>
          <w:jc w:val="center"/>
        </w:trPr>
        <w:tc>
          <w:tcPr>
            <w:tcW w:w="1799" w:type="dxa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left="-108" w:right="-108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2,543.5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9.4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-18.9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42,392.0</w:t>
            </w:r>
          </w:p>
        </w:tc>
      </w:tr>
      <w:tr w:rsidR="00120BA0" w:rsidRPr="00120BA0" w:rsidTr="00453E30">
        <w:trPr>
          <w:trHeight w:hRule="exact" w:val="340"/>
          <w:jc w:val="center"/>
        </w:trPr>
        <w:tc>
          <w:tcPr>
            <w:tcW w:w="1799" w:type="dxa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left="-108" w:right="-108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1,557.4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-32.6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61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-23.8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25,531.0</w:t>
            </w:r>
          </w:p>
        </w:tc>
      </w:tr>
      <w:tr w:rsidR="00120BA0" w:rsidRPr="00120BA0" w:rsidTr="00453E30">
        <w:trPr>
          <w:trHeight w:hRule="exact" w:val="340"/>
          <w:jc w:val="center"/>
        </w:trPr>
        <w:tc>
          <w:tcPr>
            <w:tcW w:w="1799" w:type="dxa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left="-108" w:right="-108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left="-108" w:right="-108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left="-108" w:right="-108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2,980.3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32.7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55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-44.4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54,186.6</w:t>
            </w:r>
          </w:p>
        </w:tc>
      </w:tr>
      <w:tr w:rsidR="00120BA0" w:rsidRPr="00120BA0" w:rsidTr="00453E30">
        <w:trPr>
          <w:trHeight w:hRule="exact" w:val="340"/>
          <w:jc w:val="center"/>
        </w:trPr>
        <w:tc>
          <w:tcPr>
            <w:tcW w:w="1799" w:type="dxa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left="-108" w:right="-108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4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2,102.8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-40.2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76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11.8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27,668.7</w:t>
            </w:r>
          </w:p>
        </w:tc>
      </w:tr>
      <w:tr w:rsidR="00120BA0" w:rsidRPr="00120BA0" w:rsidTr="00453E30">
        <w:trPr>
          <w:trHeight w:hRule="exact" w:val="340"/>
          <w:jc w:val="center"/>
        </w:trPr>
        <w:tc>
          <w:tcPr>
            <w:tcW w:w="1799" w:type="dxa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left="-108" w:right="-108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2017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年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left="-108" w:right="-108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8,743.2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-4.8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484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92.1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18,064.4</w:t>
            </w:r>
          </w:p>
        </w:tc>
      </w:tr>
      <w:tr w:rsidR="00120BA0" w:rsidRPr="00120BA0" w:rsidTr="00453E30">
        <w:trPr>
          <w:trHeight w:hRule="exact" w:val="340"/>
          <w:jc w:val="center"/>
        </w:trPr>
        <w:tc>
          <w:tcPr>
            <w:tcW w:w="1799" w:type="dxa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left="-108" w:right="-108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（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505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.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7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（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96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（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5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,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267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.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5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</w:tr>
      <w:tr w:rsidR="00120BA0" w:rsidRPr="00120BA0" w:rsidTr="00453E30">
        <w:trPr>
          <w:trHeight w:hRule="exact" w:val="340"/>
          <w:jc w:val="center"/>
        </w:trPr>
        <w:tc>
          <w:tcPr>
            <w:tcW w:w="1799" w:type="dxa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left="-108" w:right="-108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1,976.8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-22.3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133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121.7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14,863.3</w:t>
            </w:r>
          </w:p>
        </w:tc>
      </w:tr>
      <w:tr w:rsidR="00120BA0" w:rsidRPr="00120BA0" w:rsidTr="00453E30">
        <w:trPr>
          <w:trHeight w:hRule="exact" w:val="340"/>
          <w:jc w:val="center"/>
        </w:trPr>
        <w:tc>
          <w:tcPr>
            <w:tcW w:w="1799" w:type="dxa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left="-108" w:right="-108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2,215.0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42.2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125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104.9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17,720.3</w:t>
            </w:r>
          </w:p>
        </w:tc>
      </w:tr>
      <w:tr w:rsidR="00120BA0" w:rsidRPr="00120BA0" w:rsidTr="00453E30">
        <w:trPr>
          <w:trHeight w:hRule="exact" w:val="340"/>
          <w:jc w:val="center"/>
        </w:trPr>
        <w:tc>
          <w:tcPr>
            <w:tcW w:w="1799" w:type="dxa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left="-108" w:right="-108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1,902.9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-36.2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124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125.5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15,345.6</w:t>
            </w:r>
          </w:p>
        </w:tc>
      </w:tr>
      <w:tr w:rsidR="00120BA0" w:rsidRPr="00120BA0" w:rsidTr="00453E30">
        <w:trPr>
          <w:trHeight w:hRule="exact" w:val="340"/>
          <w:jc w:val="center"/>
        </w:trPr>
        <w:tc>
          <w:tcPr>
            <w:tcW w:w="1799" w:type="dxa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left="-108" w:right="-108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4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2,648.5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26.0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102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34.2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6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25,965.5</w:t>
            </w:r>
          </w:p>
        </w:tc>
      </w:tr>
      <w:tr w:rsidR="00120BA0" w:rsidRPr="00120BA0" w:rsidTr="00453E30">
        <w:trPr>
          <w:jc w:val="center"/>
        </w:trPr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8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合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    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8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73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,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841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.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8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8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42,5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8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before="50" w:line="28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120BA0" w:rsidRPr="00120BA0" w:rsidTr="00453E30">
        <w:trPr>
          <w:jc w:val="center"/>
        </w:trPr>
        <w:tc>
          <w:tcPr>
            <w:tcW w:w="87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200" w:lineRule="exact"/>
              <w:ind w:left="630" w:hangingChars="350" w:hanging="63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註</w:t>
            </w:r>
            <w:proofErr w:type="gramEnd"/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：1. 括弧內為向投審會申請補辦許可案件</w:t>
            </w:r>
            <w:proofErr w:type="gramStart"/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件</w:t>
            </w:r>
            <w:proofErr w:type="gramEnd"/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數與金額。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 xml:space="preserve">　　2. 合計數字含補報金額與件數。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line="200" w:lineRule="exact"/>
              <w:ind w:left="841" w:hangingChars="467" w:hanging="841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資料來源：中華民國華僑及外國人投資、對外投資、對外技術合作、對大陸間接投資、大陸產業技術引進統計速報，經濟部投資審議委員會。</w:t>
            </w:r>
          </w:p>
        </w:tc>
      </w:tr>
    </w:tbl>
    <w:p w:rsidR="00120BA0" w:rsidRPr="00120BA0" w:rsidRDefault="00120BA0" w:rsidP="00120BA0">
      <w:pPr>
        <w:tabs>
          <w:tab w:val="left" w:pos="567"/>
        </w:tabs>
        <w:spacing w:beforeLines="30" w:before="72" w:line="480" w:lineRule="exact"/>
        <w:ind w:leftChars="279" w:left="670" w:firstLineChars="202" w:firstLine="566"/>
        <w:jc w:val="both"/>
        <w:rPr>
          <w:rFonts w:eastAsia="標楷體"/>
          <w:color w:val="000000" w:themeColor="text1"/>
          <w:sz w:val="28"/>
          <w:szCs w:val="28"/>
        </w:rPr>
      </w:pPr>
      <w:r w:rsidRPr="00120BA0">
        <w:rPr>
          <w:rFonts w:eastAsia="標楷體" w:hint="eastAsia"/>
          <w:color w:val="000000" w:themeColor="text1"/>
          <w:sz w:val="28"/>
          <w:szCs w:val="28"/>
        </w:rPr>
        <w:lastRenderedPageBreak/>
        <w:t>在投資業別方面，</w:t>
      </w:r>
      <w:r w:rsidRPr="00120BA0">
        <w:rPr>
          <w:rFonts w:eastAsia="標楷體" w:hint="eastAsia"/>
          <w:color w:val="000000" w:themeColor="text1"/>
          <w:sz w:val="28"/>
          <w:szCs w:val="28"/>
        </w:rPr>
        <w:t>2017</w:t>
      </w:r>
      <w:r w:rsidRPr="00120BA0">
        <w:rPr>
          <w:rFonts w:eastAsia="標楷體" w:hint="eastAsia"/>
          <w:color w:val="000000" w:themeColor="text1"/>
          <w:sz w:val="28"/>
          <w:szCs w:val="28"/>
        </w:rPr>
        <w:t>年我對中國大陸投資以電子零組件製造業比重最高達</w:t>
      </w:r>
      <w:r w:rsidRPr="00120BA0">
        <w:rPr>
          <w:rFonts w:eastAsia="標楷體" w:hint="eastAsia"/>
          <w:color w:val="000000" w:themeColor="text1"/>
          <w:sz w:val="28"/>
          <w:szCs w:val="28"/>
        </w:rPr>
        <w:t>20.7%</w:t>
      </w:r>
      <w:r w:rsidRPr="00120BA0">
        <w:rPr>
          <w:rFonts w:eastAsia="標楷體" w:hint="eastAsia"/>
          <w:color w:val="000000" w:themeColor="text1"/>
          <w:sz w:val="28"/>
          <w:szCs w:val="28"/>
        </w:rPr>
        <w:t>，其次為非金屬礦物製品製造業，比重為</w:t>
      </w:r>
      <w:r w:rsidRPr="00120BA0">
        <w:rPr>
          <w:rFonts w:eastAsia="標楷體" w:hint="eastAsia"/>
          <w:color w:val="000000" w:themeColor="text1"/>
          <w:sz w:val="28"/>
          <w:szCs w:val="28"/>
        </w:rPr>
        <w:t>12.2%</w:t>
      </w:r>
      <w:r w:rsidRPr="00120BA0">
        <w:rPr>
          <w:rFonts w:eastAsia="標楷體" w:hint="eastAsia"/>
          <w:color w:val="000000" w:themeColor="text1"/>
          <w:sz w:val="28"/>
          <w:szCs w:val="28"/>
        </w:rPr>
        <w:t>。</w:t>
      </w:r>
      <w:r w:rsidRPr="00120BA0">
        <w:rPr>
          <w:rFonts w:eastAsia="標楷體" w:hint="eastAsia"/>
          <w:color w:val="000000" w:themeColor="text1"/>
          <w:sz w:val="28"/>
          <w:szCs w:val="28"/>
        </w:rPr>
        <w:t>2017</w:t>
      </w:r>
      <w:r w:rsidRPr="00120BA0">
        <w:rPr>
          <w:rFonts w:eastAsia="標楷體" w:hint="eastAsia"/>
          <w:color w:val="000000" w:themeColor="text1"/>
          <w:sz w:val="28"/>
          <w:szCs w:val="28"/>
        </w:rPr>
        <w:t>年相關重大投資案件包括：鴻海精密</w:t>
      </w:r>
      <w:r w:rsidRPr="00120BA0">
        <w:rPr>
          <w:rFonts w:eastAsia="標楷體" w:hint="eastAsia"/>
          <w:color w:val="000000" w:themeColor="text1"/>
          <w:sz w:val="28"/>
          <w:szCs w:val="28"/>
        </w:rPr>
        <w:t>(</w:t>
      </w:r>
      <w:r w:rsidRPr="00120BA0">
        <w:rPr>
          <w:rFonts w:eastAsia="標楷體" w:hint="eastAsia"/>
          <w:color w:val="000000" w:themeColor="text1"/>
          <w:sz w:val="28"/>
          <w:szCs w:val="28"/>
        </w:rPr>
        <w:t>股</w:t>
      </w:r>
      <w:r w:rsidRPr="00120BA0">
        <w:rPr>
          <w:rFonts w:eastAsia="標楷體" w:hint="eastAsia"/>
          <w:color w:val="000000" w:themeColor="text1"/>
          <w:sz w:val="28"/>
          <w:szCs w:val="28"/>
        </w:rPr>
        <w:t>)</w:t>
      </w:r>
      <w:r w:rsidRPr="00120BA0">
        <w:rPr>
          <w:rFonts w:eastAsia="標楷體" w:hint="eastAsia"/>
          <w:color w:val="000000" w:themeColor="text1"/>
          <w:sz w:val="28"/>
          <w:szCs w:val="28"/>
        </w:rPr>
        <w:t>公司申請增資</w:t>
      </w:r>
      <w:r w:rsidRPr="00120BA0">
        <w:rPr>
          <w:rFonts w:eastAsia="標楷體"/>
          <w:color w:val="000000" w:themeColor="text1"/>
          <w:sz w:val="28"/>
          <w:szCs w:val="28"/>
        </w:rPr>
        <w:t>南京鴻富夏精密電子有限公司</w:t>
      </w:r>
      <w:r w:rsidRPr="00120BA0">
        <w:rPr>
          <w:rFonts w:eastAsia="標楷體"/>
          <w:color w:val="000000" w:themeColor="text1"/>
          <w:sz w:val="28"/>
          <w:szCs w:val="28"/>
        </w:rPr>
        <w:t xml:space="preserve"> </w:t>
      </w:r>
      <w:r w:rsidRPr="00120BA0">
        <w:rPr>
          <w:rFonts w:eastAsia="標楷體" w:hint="eastAsia"/>
          <w:color w:val="000000" w:themeColor="text1"/>
          <w:sz w:val="28"/>
          <w:szCs w:val="28"/>
        </w:rPr>
        <w:t>1.4</w:t>
      </w:r>
      <w:r w:rsidRPr="00120BA0">
        <w:rPr>
          <w:rFonts w:eastAsia="標楷體" w:hint="eastAsia"/>
          <w:color w:val="000000" w:themeColor="text1"/>
          <w:sz w:val="28"/>
          <w:szCs w:val="28"/>
        </w:rPr>
        <w:t>億美元，從事</w:t>
      </w:r>
      <w:r w:rsidRPr="00120BA0">
        <w:rPr>
          <w:rFonts w:eastAsia="標楷體"/>
          <w:color w:val="000000" w:themeColor="text1"/>
          <w:sz w:val="28"/>
          <w:szCs w:val="28"/>
        </w:rPr>
        <w:t>經營精密電子設備、光電技術及相關設備</w:t>
      </w:r>
      <w:r w:rsidRPr="00120BA0">
        <w:rPr>
          <w:rFonts w:eastAsia="標楷體" w:hint="eastAsia"/>
          <w:color w:val="000000" w:themeColor="text1"/>
          <w:sz w:val="28"/>
          <w:szCs w:val="28"/>
        </w:rPr>
        <w:t>；</w:t>
      </w:r>
      <w:proofErr w:type="gramStart"/>
      <w:r w:rsidRPr="00120BA0">
        <w:rPr>
          <w:rFonts w:eastAsia="標楷體" w:hint="eastAsia"/>
          <w:color w:val="000000" w:themeColor="text1"/>
          <w:sz w:val="28"/>
          <w:szCs w:val="28"/>
        </w:rPr>
        <w:t>緯創資</w:t>
      </w:r>
      <w:proofErr w:type="gramEnd"/>
      <w:r w:rsidRPr="00120BA0">
        <w:rPr>
          <w:rFonts w:eastAsia="標楷體" w:hint="eastAsia"/>
          <w:color w:val="000000" w:themeColor="text1"/>
          <w:sz w:val="28"/>
          <w:szCs w:val="28"/>
        </w:rPr>
        <w:t>通</w:t>
      </w:r>
      <w:r w:rsidRPr="00120BA0">
        <w:rPr>
          <w:rFonts w:eastAsia="標楷體" w:hint="eastAsia"/>
          <w:color w:val="000000" w:themeColor="text1"/>
          <w:sz w:val="28"/>
          <w:szCs w:val="28"/>
        </w:rPr>
        <w:t>(</w:t>
      </w:r>
      <w:r w:rsidRPr="00120BA0">
        <w:rPr>
          <w:rFonts w:eastAsia="標楷體" w:hint="eastAsia"/>
          <w:color w:val="000000" w:themeColor="text1"/>
          <w:sz w:val="28"/>
          <w:szCs w:val="28"/>
        </w:rPr>
        <w:t>股</w:t>
      </w:r>
      <w:r w:rsidRPr="00120BA0">
        <w:rPr>
          <w:rFonts w:eastAsia="標楷體" w:hint="eastAsia"/>
          <w:color w:val="000000" w:themeColor="text1"/>
          <w:sz w:val="28"/>
          <w:szCs w:val="28"/>
        </w:rPr>
        <w:t>)</w:t>
      </w:r>
      <w:r w:rsidRPr="00120BA0">
        <w:rPr>
          <w:rFonts w:eastAsia="標楷體" w:hint="eastAsia"/>
          <w:color w:val="000000" w:themeColor="text1"/>
          <w:sz w:val="28"/>
          <w:szCs w:val="28"/>
        </w:rPr>
        <w:t>公司申請</w:t>
      </w:r>
      <w:proofErr w:type="gramStart"/>
      <w:r w:rsidRPr="00120BA0">
        <w:rPr>
          <w:rFonts w:eastAsia="標楷體" w:hint="eastAsia"/>
          <w:color w:val="000000" w:themeColor="text1"/>
          <w:sz w:val="28"/>
          <w:szCs w:val="28"/>
        </w:rPr>
        <w:t>投資緯創投資</w:t>
      </w:r>
      <w:proofErr w:type="gramEnd"/>
      <w:r w:rsidRPr="00120BA0">
        <w:rPr>
          <w:rFonts w:eastAsia="標楷體" w:hint="eastAsia"/>
          <w:color w:val="000000" w:themeColor="text1"/>
          <w:sz w:val="28"/>
          <w:szCs w:val="28"/>
        </w:rPr>
        <w:t>（江蘇）有限公司</w:t>
      </w:r>
      <w:r w:rsidRPr="00120BA0">
        <w:rPr>
          <w:rFonts w:eastAsia="標楷體"/>
          <w:color w:val="000000" w:themeColor="text1"/>
          <w:sz w:val="28"/>
          <w:szCs w:val="28"/>
        </w:rPr>
        <w:t>2</w:t>
      </w:r>
      <w:r w:rsidRPr="00120BA0">
        <w:rPr>
          <w:rFonts w:eastAsia="標楷體" w:hint="eastAsia"/>
          <w:color w:val="000000" w:themeColor="text1"/>
          <w:sz w:val="28"/>
          <w:szCs w:val="28"/>
        </w:rPr>
        <w:t>億美元，從事</w:t>
      </w:r>
      <w:r w:rsidRPr="00120BA0">
        <w:rPr>
          <w:rFonts w:eastAsia="標楷體"/>
          <w:color w:val="000000" w:themeColor="text1"/>
          <w:sz w:val="28"/>
          <w:szCs w:val="28"/>
        </w:rPr>
        <w:t>經營筆記型電腦、桌上型電腦等產品</w:t>
      </w:r>
      <w:r w:rsidRPr="00120BA0">
        <w:rPr>
          <w:rFonts w:eastAsia="標楷體" w:hint="eastAsia"/>
          <w:color w:val="000000" w:themeColor="text1"/>
          <w:sz w:val="28"/>
          <w:szCs w:val="28"/>
        </w:rPr>
        <w:t>之</w:t>
      </w:r>
      <w:r w:rsidRPr="00120BA0">
        <w:rPr>
          <w:rFonts w:eastAsia="標楷體"/>
          <w:color w:val="000000" w:themeColor="text1"/>
          <w:sz w:val="28"/>
          <w:szCs w:val="28"/>
        </w:rPr>
        <w:t>產銷</w:t>
      </w:r>
      <w:r w:rsidRPr="00120BA0">
        <w:rPr>
          <w:rFonts w:eastAsia="標楷體" w:hint="eastAsia"/>
          <w:color w:val="000000" w:themeColor="text1"/>
          <w:sz w:val="28"/>
          <w:szCs w:val="28"/>
        </w:rPr>
        <w:t>；國泰人壽</w:t>
      </w:r>
      <w:r w:rsidRPr="00120BA0">
        <w:rPr>
          <w:rFonts w:eastAsia="標楷體" w:hint="eastAsia"/>
          <w:color w:val="000000" w:themeColor="text1"/>
          <w:sz w:val="28"/>
          <w:szCs w:val="28"/>
        </w:rPr>
        <w:t>(</w:t>
      </w:r>
      <w:r w:rsidRPr="00120BA0">
        <w:rPr>
          <w:rFonts w:eastAsia="標楷體" w:hint="eastAsia"/>
          <w:color w:val="000000" w:themeColor="text1"/>
          <w:sz w:val="28"/>
          <w:szCs w:val="28"/>
        </w:rPr>
        <w:t>股</w:t>
      </w:r>
      <w:r w:rsidRPr="00120BA0">
        <w:rPr>
          <w:rFonts w:eastAsia="標楷體" w:hint="eastAsia"/>
          <w:color w:val="000000" w:themeColor="text1"/>
          <w:sz w:val="28"/>
          <w:szCs w:val="28"/>
        </w:rPr>
        <w:t>)</w:t>
      </w:r>
      <w:r w:rsidRPr="00120BA0">
        <w:rPr>
          <w:rFonts w:eastAsia="標楷體" w:hint="eastAsia"/>
          <w:color w:val="000000" w:themeColor="text1"/>
          <w:sz w:val="28"/>
          <w:szCs w:val="28"/>
        </w:rPr>
        <w:t>公司申請增資陸家嘴國泰人壽保險有限責任公司</w:t>
      </w:r>
      <w:r w:rsidRPr="00120BA0">
        <w:rPr>
          <w:rFonts w:eastAsia="標楷體" w:hint="eastAsia"/>
          <w:color w:val="000000" w:themeColor="text1"/>
          <w:sz w:val="28"/>
          <w:szCs w:val="28"/>
        </w:rPr>
        <w:t>1.1</w:t>
      </w:r>
      <w:r w:rsidRPr="00120BA0">
        <w:rPr>
          <w:rFonts w:eastAsia="標楷體" w:hint="eastAsia"/>
          <w:color w:val="000000" w:themeColor="text1"/>
          <w:sz w:val="28"/>
          <w:szCs w:val="28"/>
        </w:rPr>
        <w:t>億美元，從事經營人壽保險等業務；和碩聯合科技</w:t>
      </w:r>
      <w:r w:rsidRPr="00120BA0">
        <w:rPr>
          <w:rFonts w:eastAsia="標楷體" w:hint="eastAsia"/>
          <w:color w:val="000000" w:themeColor="text1"/>
          <w:sz w:val="28"/>
          <w:szCs w:val="28"/>
        </w:rPr>
        <w:t>(</w:t>
      </w:r>
      <w:r w:rsidRPr="00120BA0">
        <w:rPr>
          <w:rFonts w:eastAsia="標楷體" w:hint="eastAsia"/>
          <w:color w:val="000000" w:themeColor="text1"/>
          <w:sz w:val="28"/>
          <w:szCs w:val="28"/>
        </w:rPr>
        <w:t>股</w:t>
      </w:r>
      <w:r w:rsidRPr="00120BA0">
        <w:rPr>
          <w:rFonts w:eastAsia="標楷體" w:hint="eastAsia"/>
          <w:color w:val="000000" w:themeColor="text1"/>
          <w:sz w:val="28"/>
          <w:szCs w:val="28"/>
        </w:rPr>
        <w:t>)</w:t>
      </w:r>
      <w:r w:rsidRPr="00120BA0">
        <w:rPr>
          <w:rFonts w:eastAsia="標楷體" w:hint="eastAsia"/>
          <w:color w:val="000000" w:themeColor="text1"/>
          <w:sz w:val="28"/>
          <w:szCs w:val="28"/>
        </w:rPr>
        <w:t>公司申請間接增資</w:t>
      </w:r>
      <w:proofErr w:type="gramStart"/>
      <w:r w:rsidRPr="00120BA0">
        <w:rPr>
          <w:rFonts w:eastAsia="標楷體" w:hint="eastAsia"/>
          <w:color w:val="000000" w:themeColor="text1"/>
          <w:sz w:val="28"/>
          <w:szCs w:val="28"/>
        </w:rPr>
        <w:t>世</w:t>
      </w:r>
      <w:proofErr w:type="gramEnd"/>
      <w:r w:rsidRPr="00120BA0">
        <w:rPr>
          <w:rFonts w:eastAsia="標楷體" w:hint="eastAsia"/>
          <w:color w:val="000000" w:themeColor="text1"/>
          <w:sz w:val="28"/>
          <w:szCs w:val="28"/>
        </w:rPr>
        <w:t>碩電子（昆山）有限公司</w:t>
      </w:r>
      <w:r w:rsidRPr="00120BA0">
        <w:rPr>
          <w:rFonts w:eastAsia="標楷體" w:hint="eastAsia"/>
          <w:color w:val="000000" w:themeColor="text1"/>
          <w:sz w:val="28"/>
          <w:szCs w:val="28"/>
        </w:rPr>
        <w:t>1</w:t>
      </w:r>
      <w:r w:rsidRPr="00120BA0">
        <w:rPr>
          <w:rFonts w:eastAsia="標楷體" w:hint="eastAsia"/>
          <w:color w:val="000000" w:themeColor="text1"/>
          <w:sz w:val="28"/>
          <w:szCs w:val="28"/>
        </w:rPr>
        <w:t>億美元，從事手機、移動通訊手機、便攜式微型電子計算機等產品之產銷業務（表</w:t>
      </w:r>
      <w:r w:rsidRPr="00120BA0">
        <w:rPr>
          <w:rFonts w:eastAsia="標楷體" w:hint="eastAsia"/>
          <w:color w:val="000000" w:themeColor="text1"/>
          <w:sz w:val="28"/>
          <w:szCs w:val="28"/>
        </w:rPr>
        <w:t>2-2</w:t>
      </w:r>
      <w:r w:rsidRPr="00120BA0">
        <w:rPr>
          <w:rFonts w:eastAsia="標楷體" w:hint="eastAsia"/>
          <w:color w:val="000000" w:themeColor="text1"/>
          <w:sz w:val="28"/>
          <w:szCs w:val="28"/>
        </w:rPr>
        <w:t>）。</w:t>
      </w:r>
    </w:p>
    <w:p w:rsidR="00120BA0" w:rsidRPr="00120BA0" w:rsidRDefault="00120BA0" w:rsidP="00120BA0">
      <w:pPr>
        <w:widowControl/>
        <w:snapToGrid w:val="0"/>
        <w:spacing w:beforeLines="100" w:before="240" w:line="440" w:lineRule="exact"/>
        <w:jc w:val="center"/>
        <w:rPr>
          <w:rFonts w:eastAsia="標楷體"/>
          <w:b/>
          <w:color w:val="000000" w:themeColor="text1"/>
          <w:kern w:val="0"/>
          <w:sz w:val="28"/>
          <w:szCs w:val="32"/>
        </w:rPr>
      </w:pPr>
      <w:r w:rsidRPr="00120BA0">
        <w:rPr>
          <w:rFonts w:eastAsia="標楷體"/>
          <w:b/>
          <w:color w:val="000000" w:themeColor="text1"/>
          <w:kern w:val="0"/>
          <w:sz w:val="28"/>
          <w:szCs w:val="32"/>
        </w:rPr>
        <w:t>表</w:t>
      </w:r>
      <w:r w:rsidRPr="00120BA0">
        <w:rPr>
          <w:rFonts w:eastAsia="標楷體"/>
          <w:b/>
          <w:color w:val="000000" w:themeColor="text1"/>
          <w:kern w:val="0"/>
          <w:sz w:val="28"/>
          <w:szCs w:val="32"/>
        </w:rPr>
        <w:t>2-2</w:t>
      </w:r>
      <w:r w:rsidRPr="00120BA0">
        <w:rPr>
          <w:rFonts w:eastAsia="標楷體"/>
          <w:b/>
          <w:color w:val="000000" w:themeColor="text1"/>
          <w:kern w:val="0"/>
          <w:sz w:val="28"/>
          <w:szCs w:val="32"/>
        </w:rPr>
        <w:t xml:space="preserve">　</w:t>
      </w:r>
      <w:r w:rsidRPr="00120BA0">
        <w:rPr>
          <w:rFonts w:eastAsia="標楷體"/>
          <w:b/>
          <w:color w:val="000000" w:themeColor="text1"/>
          <w:kern w:val="0"/>
          <w:sz w:val="28"/>
          <w:szCs w:val="32"/>
        </w:rPr>
        <w:t>2017</w:t>
      </w:r>
      <w:r w:rsidRPr="00120BA0">
        <w:rPr>
          <w:rFonts w:eastAsia="標楷體"/>
          <w:b/>
          <w:color w:val="000000" w:themeColor="text1"/>
          <w:kern w:val="0"/>
          <w:sz w:val="28"/>
          <w:szCs w:val="32"/>
        </w:rPr>
        <w:t>年對中國大陸投資前五大業別</w:t>
      </w:r>
    </w:p>
    <w:p w:rsidR="00120BA0" w:rsidRPr="00120BA0" w:rsidRDefault="00120BA0" w:rsidP="00120BA0">
      <w:pPr>
        <w:widowControl/>
        <w:spacing w:line="240" w:lineRule="exact"/>
        <w:ind w:firstLineChars="2800" w:firstLine="5600"/>
        <w:rPr>
          <w:rFonts w:ascii="標楷體" w:eastAsia="標楷體" w:hAnsi="標楷體"/>
          <w:color w:val="000000" w:themeColor="text1"/>
          <w:kern w:val="0"/>
          <w:sz w:val="20"/>
          <w:szCs w:val="20"/>
        </w:rPr>
      </w:pPr>
      <w:r w:rsidRPr="00120BA0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 xml:space="preserve">      單位：千美元；%</w:t>
      </w:r>
    </w:p>
    <w:tbl>
      <w:tblPr>
        <w:tblW w:w="805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4"/>
        <w:gridCol w:w="672"/>
        <w:gridCol w:w="1439"/>
        <w:gridCol w:w="1559"/>
        <w:gridCol w:w="1247"/>
        <w:gridCol w:w="1271"/>
      </w:tblGrid>
      <w:tr w:rsidR="00120BA0" w:rsidRPr="00120BA0" w:rsidTr="00453E30">
        <w:trPr>
          <w:cantSplit/>
          <w:jc w:val="center"/>
        </w:trPr>
        <w:tc>
          <w:tcPr>
            <w:tcW w:w="18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BA0" w:rsidRPr="00120BA0" w:rsidRDefault="00120BA0" w:rsidP="00120BA0">
            <w:pPr>
              <w:adjustRightInd w:val="0"/>
              <w:snapToGrid w:val="0"/>
              <w:spacing w:line="260" w:lineRule="exac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件數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金額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比重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(%)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0BA0" w:rsidRPr="00120BA0" w:rsidRDefault="00120BA0" w:rsidP="00A9590D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與上年比較</w:t>
            </w:r>
          </w:p>
        </w:tc>
      </w:tr>
      <w:tr w:rsidR="00120BA0" w:rsidRPr="00120BA0" w:rsidTr="00453E30">
        <w:trPr>
          <w:cantSplit/>
          <w:trHeight w:val="361"/>
          <w:jc w:val="center"/>
        </w:trPr>
        <w:tc>
          <w:tcPr>
            <w:tcW w:w="1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金額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年增率</w:t>
            </w:r>
          </w:p>
        </w:tc>
      </w:tr>
      <w:tr w:rsidR="00120BA0" w:rsidRPr="00120BA0" w:rsidTr="00453E30">
        <w:trPr>
          <w:trHeight w:val="663"/>
          <w:jc w:val="center"/>
        </w:trPr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sz w:val="22"/>
                <w:szCs w:val="22"/>
              </w:rPr>
              <w:t>電子零組件製造業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adjustRightInd w:val="0"/>
              <w:snapToGrid w:val="0"/>
              <w:spacing w:line="2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120BA0">
              <w:rPr>
                <w:rFonts w:eastAsia="標楷體"/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adjustRightInd w:val="0"/>
              <w:snapToGrid w:val="0"/>
              <w:spacing w:line="2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sz w:val="22"/>
                <w:szCs w:val="22"/>
              </w:rPr>
              <w:t>1,910,318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adjustRightInd w:val="0"/>
              <w:snapToGrid w:val="0"/>
              <w:spacing w:line="2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20.7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adjustRightInd w:val="0"/>
              <w:snapToGrid w:val="0"/>
              <w:spacing w:line="2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120BA0">
              <w:rPr>
                <w:rFonts w:eastAsia="標楷體"/>
                <w:color w:val="000000" w:themeColor="text1"/>
                <w:sz w:val="22"/>
                <w:szCs w:val="22"/>
              </w:rPr>
              <w:t>337,239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A0" w:rsidRPr="00120BA0" w:rsidRDefault="00120BA0" w:rsidP="00120BA0">
            <w:pPr>
              <w:spacing w:after="120" w:line="360" w:lineRule="exact"/>
              <w:jc w:val="center"/>
              <w:rPr>
                <w:sz w:val="22"/>
                <w:szCs w:val="22"/>
              </w:rPr>
            </w:pPr>
            <w:r w:rsidRPr="00120BA0">
              <w:rPr>
                <w:sz w:val="22"/>
                <w:szCs w:val="22"/>
              </w:rPr>
              <w:t>21.4</w:t>
            </w:r>
          </w:p>
        </w:tc>
      </w:tr>
      <w:tr w:rsidR="00120BA0" w:rsidRPr="00120BA0" w:rsidTr="00453E30">
        <w:trPr>
          <w:trHeight w:val="663"/>
          <w:jc w:val="center"/>
        </w:trPr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非金屬礦物製品</w:t>
            </w:r>
          </w:p>
          <w:p w:rsidR="00120BA0" w:rsidRPr="00120BA0" w:rsidRDefault="00120BA0" w:rsidP="00120BA0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製造業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adjustRightInd w:val="0"/>
              <w:snapToGrid w:val="0"/>
              <w:spacing w:line="2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120BA0">
              <w:rPr>
                <w:rFonts w:eastAsia="標楷體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adjustRightInd w:val="0"/>
              <w:snapToGrid w:val="0"/>
              <w:spacing w:line="2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sz w:val="22"/>
                <w:szCs w:val="22"/>
              </w:rPr>
              <w:t>1,126,135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adjustRightInd w:val="0"/>
              <w:snapToGrid w:val="0"/>
              <w:spacing w:line="2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12.2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adjustRightInd w:val="0"/>
              <w:snapToGrid w:val="0"/>
              <w:spacing w:line="2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120BA0">
              <w:rPr>
                <w:rFonts w:eastAsia="標楷體"/>
                <w:color w:val="000000" w:themeColor="text1"/>
                <w:sz w:val="22"/>
                <w:szCs w:val="22"/>
              </w:rPr>
              <w:t>795,342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A0" w:rsidRPr="00120BA0" w:rsidRDefault="00120BA0" w:rsidP="00120BA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20BA0">
              <w:rPr>
                <w:rFonts w:eastAsia="標楷體"/>
                <w:sz w:val="22"/>
                <w:szCs w:val="22"/>
              </w:rPr>
              <w:t>240.4</w:t>
            </w:r>
          </w:p>
        </w:tc>
      </w:tr>
      <w:tr w:rsidR="00120BA0" w:rsidRPr="00120BA0" w:rsidTr="00453E30">
        <w:trPr>
          <w:trHeight w:val="663"/>
          <w:jc w:val="center"/>
        </w:trPr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sz w:val="22"/>
                <w:szCs w:val="22"/>
              </w:rPr>
              <w:t>金融及保險業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adjustRightInd w:val="0"/>
              <w:snapToGrid w:val="0"/>
              <w:spacing w:line="2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120BA0">
              <w:rPr>
                <w:rFonts w:eastAsia="標楷體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adjustRightInd w:val="0"/>
              <w:snapToGrid w:val="0"/>
              <w:spacing w:line="2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sz w:val="22"/>
                <w:szCs w:val="22"/>
              </w:rPr>
              <w:t>1,073,515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adjustRightInd w:val="0"/>
              <w:snapToGrid w:val="0"/>
              <w:spacing w:line="2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11</w:t>
            </w:r>
            <w:r w:rsidRPr="00120BA0">
              <w:rPr>
                <w:rFonts w:eastAsia="標楷體"/>
                <w:color w:val="000000" w:themeColor="text1"/>
                <w:sz w:val="22"/>
                <w:szCs w:val="22"/>
              </w:rPr>
              <w:t>.</w:t>
            </w: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adjustRightInd w:val="0"/>
              <w:snapToGrid w:val="0"/>
              <w:spacing w:line="2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120BA0">
              <w:rPr>
                <w:rFonts w:eastAsia="標楷體"/>
                <w:color w:val="000000" w:themeColor="text1"/>
                <w:sz w:val="22"/>
                <w:szCs w:val="22"/>
              </w:rPr>
              <w:t>-289,392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A0" w:rsidRPr="00120BA0" w:rsidRDefault="00120BA0" w:rsidP="00120BA0">
            <w:pPr>
              <w:spacing w:after="120" w:line="360" w:lineRule="exact"/>
              <w:jc w:val="center"/>
              <w:rPr>
                <w:sz w:val="22"/>
                <w:szCs w:val="22"/>
              </w:rPr>
            </w:pPr>
            <w:r w:rsidRPr="00120BA0">
              <w:rPr>
                <w:sz w:val="22"/>
                <w:szCs w:val="22"/>
              </w:rPr>
              <w:t>-21.2</w:t>
            </w:r>
          </w:p>
        </w:tc>
      </w:tr>
      <w:tr w:rsidR="00120BA0" w:rsidRPr="00120BA0" w:rsidTr="00453E30">
        <w:trPr>
          <w:jc w:val="center"/>
        </w:trPr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sz w:val="22"/>
                <w:szCs w:val="22"/>
              </w:rPr>
              <w:t>電腦、電子產品及光學製造業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adjustRightInd w:val="0"/>
              <w:snapToGrid w:val="0"/>
              <w:spacing w:line="2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120BA0">
              <w:rPr>
                <w:rFonts w:eastAsia="標楷體"/>
                <w:color w:val="000000" w:themeColor="text1"/>
                <w:sz w:val="22"/>
                <w:szCs w:val="22"/>
              </w:rPr>
              <w:t xml:space="preserve">18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adjustRightInd w:val="0"/>
              <w:snapToGrid w:val="0"/>
              <w:spacing w:line="2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sz w:val="22"/>
                <w:szCs w:val="22"/>
              </w:rPr>
              <w:t>1,070,136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adjustRightInd w:val="0"/>
              <w:snapToGrid w:val="0"/>
              <w:spacing w:line="2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11.6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adjustRightInd w:val="0"/>
              <w:snapToGrid w:val="0"/>
              <w:spacing w:line="2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120BA0">
              <w:rPr>
                <w:rFonts w:eastAsia="標楷體"/>
                <w:color w:val="000000" w:themeColor="text1"/>
                <w:sz w:val="22"/>
                <w:szCs w:val="22"/>
              </w:rPr>
              <w:t>-1,018,433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0BA0" w:rsidRPr="00120BA0" w:rsidRDefault="00120BA0" w:rsidP="00120BA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20BA0">
              <w:rPr>
                <w:rFonts w:eastAsia="標楷體"/>
                <w:sz w:val="22"/>
                <w:szCs w:val="22"/>
              </w:rPr>
              <w:t>-48.</w:t>
            </w:r>
            <w:r w:rsidRPr="00120BA0">
              <w:rPr>
                <w:rFonts w:eastAsia="標楷體" w:hint="eastAsia"/>
                <w:sz w:val="22"/>
                <w:szCs w:val="22"/>
              </w:rPr>
              <w:t>8</w:t>
            </w:r>
          </w:p>
        </w:tc>
      </w:tr>
      <w:tr w:rsidR="00120BA0" w:rsidRPr="00120BA0" w:rsidTr="00453E30">
        <w:trPr>
          <w:trHeight w:val="663"/>
          <w:jc w:val="center"/>
        </w:trPr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sz w:val="22"/>
                <w:szCs w:val="22"/>
              </w:rPr>
              <w:t>批發及零售業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adjustRightInd w:val="0"/>
              <w:snapToGrid w:val="0"/>
              <w:spacing w:line="2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120BA0">
              <w:rPr>
                <w:rFonts w:eastAsia="標楷體"/>
                <w:color w:val="000000" w:themeColor="text1"/>
                <w:sz w:val="22"/>
                <w:szCs w:val="22"/>
              </w:rPr>
              <w:t>183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adjustRightInd w:val="0"/>
              <w:snapToGrid w:val="0"/>
              <w:spacing w:line="2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sz w:val="22"/>
                <w:szCs w:val="22"/>
              </w:rPr>
              <w:t>1,059,867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adjustRightInd w:val="0"/>
              <w:snapToGrid w:val="0"/>
              <w:spacing w:line="2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11.5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adjustRightInd w:val="0"/>
              <w:snapToGrid w:val="0"/>
              <w:spacing w:line="2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120BA0">
              <w:rPr>
                <w:rFonts w:eastAsia="標楷體"/>
                <w:color w:val="000000" w:themeColor="text1"/>
                <w:sz w:val="22"/>
                <w:szCs w:val="22"/>
              </w:rPr>
              <w:t>524,755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20BA0">
              <w:rPr>
                <w:rFonts w:eastAsia="標楷體"/>
                <w:sz w:val="22"/>
                <w:szCs w:val="22"/>
              </w:rPr>
              <w:t>98.</w:t>
            </w:r>
            <w:r w:rsidRPr="00120BA0">
              <w:rPr>
                <w:rFonts w:eastAsia="標楷體" w:hint="eastAsia"/>
                <w:sz w:val="22"/>
                <w:szCs w:val="22"/>
              </w:rPr>
              <w:t>1</w:t>
            </w:r>
          </w:p>
        </w:tc>
      </w:tr>
      <w:tr w:rsidR="00120BA0" w:rsidRPr="00120BA0" w:rsidTr="00453E30">
        <w:trPr>
          <w:jc w:val="center"/>
        </w:trPr>
        <w:tc>
          <w:tcPr>
            <w:tcW w:w="80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資料來源：經濟部投資審議委員會。</w:t>
            </w:r>
          </w:p>
        </w:tc>
      </w:tr>
    </w:tbl>
    <w:p w:rsidR="00120BA0" w:rsidRPr="00120BA0" w:rsidRDefault="00120BA0" w:rsidP="00120BA0">
      <w:pPr>
        <w:widowControl/>
        <w:numPr>
          <w:ilvl w:val="0"/>
          <w:numId w:val="8"/>
        </w:numPr>
        <w:tabs>
          <w:tab w:val="left" w:pos="567"/>
        </w:tabs>
        <w:autoSpaceDE w:val="0"/>
        <w:snapToGrid w:val="0"/>
        <w:spacing w:beforeLines="25" w:before="60" w:line="480" w:lineRule="exact"/>
        <w:ind w:left="669" w:hanging="669"/>
        <w:jc w:val="both"/>
        <w:rPr>
          <w:rFonts w:ascii="標楷體" w:eastAsia="標楷體" w:hAnsi="標楷體" w:cstheme="minorBidi"/>
          <w:b/>
          <w:color w:val="000000" w:themeColor="text1"/>
          <w:sz w:val="28"/>
          <w:szCs w:val="28"/>
        </w:rPr>
      </w:pPr>
      <w:r w:rsidRPr="00120BA0">
        <w:rPr>
          <w:rFonts w:ascii="標楷體" w:eastAsia="標楷體" w:hAnsi="標楷體" w:cstheme="minorBidi" w:hint="eastAsia"/>
          <w:b/>
          <w:color w:val="000000" w:themeColor="text1"/>
          <w:sz w:val="28"/>
          <w:szCs w:val="28"/>
        </w:rPr>
        <w:t>陸資來</w:t>
      </w:r>
      <w:proofErr w:type="gramStart"/>
      <w:r w:rsidRPr="00120BA0">
        <w:rPr>
          <w:rFonts w:ascii="標楷體" w:eastAsia="標楷體" w:hAnsi="標楷體" w:cstheme="minorBidi" w:hint="eastAsia"/>
          <w:b/>
          <w:color w:val="000000" w:themeColor="text1"/>
          <w:sz w:val="28"/>
          <w:szCs w:val="28"/>
        </w:rPr>
        <w:t>臺</w:t>
      </w:r>
      <w:proofErr w:type="gramEnd"/>
      <w:r w:rsidRPr="00120BA0">
        <w:rPr>
          <w:rFonts w:ascii="標楷體" w:eastAsia="標楷體" w:hAnsi="標楷體" w:cstheme="minorBidi" w:hint="eastAsia"/>
          <w:b/>
          <w:color w:val="000000" w:themeColor="text1"/>
          <w:sz w:val="28"/>
          <w:szCs w:val="28"/>
        </w:rPr>
        <w:t>投資</w:t>
      </w:r>
    </w:p>
    <w:p w:rsidR="00120BA0" w:rsidRPr="00120BA0" w:rsidRDefault="00120BA0" w:rsidP="00120BA0">
      <w:pPr>
        <w:tabs>
          <w:tab w:val="left" w:pos="567"/>
        </w:tabs>
        <w:spacing w:beforeLines="30" w:before="72" w:line="480" w:lineRule="exact"/>
        <w:ind w:leftChars="279" w:left="670" w:firstLineChars="202" w:firstLine="566"/>
        <w:jc w:val="both"/>
        <w:rPr>
          <w:rFonts w:eastAsia="標楷體"/>
          <w:color w:val="000000" w:themeColor="text1"/>
          <w:sz w:val="28"/>
          <w:szCs w:val="28"/>
        </w:rPr>
      </w:pPr>
      <w:r w:rsidRPr="00120BA0">
        <w:rPr>
          <w:rFonts w:eastAsia="標楷體" w:hint="eastAsia"/>
          <w:color w:val="000000" w:themeColor="text1"/>
          <w:sz w:val="28"/>
          <w:szCs w:val="28"/>
        </w:rPr>
        <w:t>根據經濟部投審會統計，</w:t>
      </w:r>
      <w:r w:rsidRPr="00120BA0">
        <w:rPr>
          <w:rFonts w:eastAsia="標楷體" w:hint="eastAsia"/>
          <w:color w:val="000000" w:themeColor="text1"/>
          <w:sz w:val="28"/>
          <w:szCs w:val="28"/>
        </w:rPr>
        <w:t>2017</w:t>
      </w:r>
      <w:r w:rsidRPr="00120BA0">
        <w:rPr>
          <w:rFonts w:eastAsia="標楷體" w:hint="eastAsia"/>
          <w:color w:val="000000" w:themeColor="text1"/>
          <w:sz w:val="28"/>
          <w:szCs w:val="28"/>
        </w:rPr>
        <w:t>年核准陸資來</w:t>
      </w:r>
      <w:proofErr w:type="gramStart"/>
      <w:r w:rsidRPr="00120BA0">
        <w:rPr>
          <w:rFonts w:eastAsia="標楷體" w:hint="eastAsia"/>
          <w:color w:val="000000" w:themeColor="text1"/>
          <w:sz w:val="28"/>
          <w:szCs w:val="28"/>
        </w:rPr>
        <w:t>臺</w:t>
      </w:r>
      <w:proofErr w:type="gramEnd"/>
      <w:r w:rsidRPr="00120BA0">
        <w:rPr>
          <w:rFonts w:eastAsia="標楷體" w:hint="eastAsia"/>
          <w:color w:val="000000" w:themeColor="text1"/>
          <w:sz w:val="28"/>
          <w:szCs w:val="28"/>
        </w:rPr>
        <w:t>投（增）資金額為</w:t>
      </w:r>
      <w:r w:rsidRPr="00120BA0">
        <w:rPr>
          <w:rFonts w:eastAsia="標楷體" w:hint="eastAsia"/>
          <w:color w:val="000000" w:themeColor="text1"/>
          <w:sz w:val="28"/>
          <w:szCs w:val="28"/>
        </w:rPr>
        <w:t>2.7</w:t>
      </w:r>
      <w:r w:rsidRPr="00120BA0">
        <w:rPr>
          <w:rFonts w:eastAsia="標楷體" w:hint="eastAsia"/>
          <w:color w:val="000000" w:themeColor="text1"/>
          <w:sz w:val="28"/>
          <w:szCs w:val="28"/>
        </w:rPr>
        <w:t>億美元，較上年增加</w:t>
      </w:r>
      <w:r w:rsidRPr="00120BA0">
        <w:rPr>
          <w:rFonts w:eastAsia="標楷體" w:hint="eastAsia"/>
          <w:color w:val="000000" w:themeColor="text1"/>
          <w:sz w:val="28"/>
          <w:szCs w:val="28"/>
        </w:rPr>
        <w:t>7.3%</w:t>
      </w:r>
      <w:r w:rsidRPr="00120BA0">
        <w:rPr>
          <w:rFonts w:eastAsia="標楷體" w:hint="eastAsia"/>
          <w:color w:val="000000" w:themeColor="text1"/>
          <w:sz w:val="28"/>
          <w:szCs w:val="28"/>
        </w:rPr>
        <w:t>，投資件數為</w:t>
      </w:r>
      <w:r w:rsidRPr="00120BA0">
        <w:rPr>
          <w:rFonts w:eastAsia="標楷體" w:hint="eastAsia"/>
          <w:color w:val="000000" w:themeColor="text1"/>
          <w:sz w:val="28"/>
          <w:szCs w:val="28"/>
        </w:rPr>
        <w:t>140</w:t>
      </w:r>
      <w:r w:rsidRPr="00120BA0">
        <w:rPr>
          <w:rFonts w:eastAsia="標楷體" w:hint="eastAsia"/>
          <w:color w:val="000000" w:themeColor="text1"/>
          <w:sz w:val="28"/>
          <w:szCs w:val="28"/>
        </w:rPr>
        <w:t>件，減少</w:t>
      </w:r>
      <w:r w:rsidRPr="00120BA0">
        <w:rPr>
          <w:rFonts w:eastAsia="標楷體" w:hint="eastAsia"/>
          <w:color w:val="000000" w:themeColor="text1"/>
          <w:sz w:val="28"/>
          <w:szCs w:val="28"/>
        </w:rPr>
        <w:t>11.4%</w:t>
      </w:r>
      <w:r w:rsidRPr="00120BA0">
        <w:rPr>
          <w:rFonts w:eastAsia="標楷體" w:hint="eastAsia"/>
          <w:color w:val="000000" w:themeColor="text1"/>
          <w:sz w:val="28"/>
          <w:szCs w:val="28"/>
        </w:rPr>
        <w:t>（表</w:t>
      </w:r>
      <w:r w:rsidRPr="00120BA0">
        <w:rPr>
          <w:rFonts w:eastAsia="標楷體" w:hint="eastAsia"/>
          <w:color w:val="000000" w:themeColor="text1"/>
          <w:sz w:val="28"/>
          <w:szCs w:val="28"/>
        </w:rPr>
        <w:t>2-3</w:t>
      </w:r>
      <w:r w:rsidRPr="00120BA0">
        <w:rPr>
          <w:rFonts w:eastAsia="標楷體" w:hint="eastAsia"/>
          <w:color w:val="000000" w:themeColor="text1"/>
          <w:sz w:val="28"/>
          <w:szCs w:val="28"/>
        </w:rPr>
        <w:t>）。主要投資案有：</w:t>
      </w:r>
      <w:r w:rsidRPr="00120BA0">
        <w:rPr>
          <w:rFonts w:eastAsia="標楷體"/>
          <w:color w:val="000000" w:themeColor="text1"/>
          <w:sz w:val="28"/>
          <w:szCs w:val="28"/>
        </w:rPr>
        <w:t>大陸</w:t>
      </w:r>
      <w:proofErr w:type="gramStart"/>
      <w:r w:rsidRPr="00120BA0">
        <w:rPr>
          <w:rFonts w:eastAsia="標楷體"/>
          <w:color w:val="000000" w:themeColor="text1"/>
          <w:sz w:val="28"/>
          <w:szCs w:val="28"/>
        </w:rPr>
        <w:t>商擎發通訊</w:t>
      </w:r>
      <w:proofErr w:type="gramEnd"/>
      <w:r w:rsidRPr="00120BA0">
        <w:rPr>
          <w:rFonts w:eastAsia="標楷體"/>
          <w:color w:val="000000" w:themeColor="text1"/>
          <w:sz w:val="28"/>
          <w:szCs w:val="28"/>
        </w:rPr>
        <w:t>科技（合肥）有限公司申請匯入</w:t>
      </w:r>
      <w:r w:rsidRPr="00120BA0">
        <w:rPr>
          <w:rFonts w:eastAsia="標楷體" w:hint="eastAsia"/>
          <w:color w:val="000000" w:themeColor="text1"/>
          <w:sz w:val="28"/>
          <w:szCs w:val="28"/>
        </w:rPr>
        <w:t>456.0</w:t>
      </w:r>
      <w:r w:rsidRPr="00120BA0">
        <w:rPr>
          <w:rFonts w:eastAsia="標楷體"/>
          <w:color w:val="000000" w:themeColor="text1"/>
          <w:sz w:val="28"/>
          <w:szCs w:val="28"/>
        </w:rPr>
        <w:t>萬</w:t>
      </w:r>
      <w:r w:rsidRPr="00120BA0">
        <w:rPr>
          <w:rFonts w:eastAsia="標楷體" w:hint="eastAsia"/>
          <w:color w:val="000000" w:themeColor="text1"/>
          <w:sz w:val="28"/>
          <w:szCs w:val="28"/>
        </w:rPr>
        <w:t>美元</w:t>
      </w:r>
      <w:r w:rsidRPr="00120BA0">
        <w:rPr>
          <w:rFonts w:eastAsia="標楷體"/>
          <w:color w:val="000000" w:themeColor="text1"/>
          <w:sz w:val="28"/>
          <w:szCs w:val="28"/>
        </w:rPr>
        <w:t>，受讓國內股東所持有</w:t>
      </w:r>
      <w:proofErr w:type="gramStart"/>
      <w:r w:rsidRPr="00120BA0">
        <w:rPr>
          <w:rFonts w:eastAsia="標楷體"/>
          <w:color w:val="000000" w:themeColor="text1"/>
          <w:sz w:val="28"/>
          <w:szCs w:val="28"/>
        </w:rPr>
        <w:t>之擎發</w:t>
      </w:r>
      <w:proofErr w:type="gramEnd"/>
      <w:r w:rsidRPr="00120BA0">
        <w:rPr>
          <w:rFonts w:eastAsia="標楷體"/>
          <w:color w:val="000000" w:themeColor="text1"/>
          <w:sz w:val="28"/>
          <w:szCs w:val="28"/>
        </w:rPr>
        <w:t>通訊科技</w:t>
      </w:r>
      <w:r w:rsidRPr="00120BA0">
        <w:rPr>
          <w:rFonts w:eastAsia="標楷體" w:hint="eastAsia"/>
          <w:color w:val="000000" w:themeColor="text1"/>
          <w:sz w:val="28"/>
          <w:szCs w:val="28"/>
        </w:rPr>
        <w:t>(</w:t>
      </w:r>
      <w:r w:rsidRPr="00120BA0">
        <w:rPr>
          <w:rFonts w:eastAsia="標楷體"/>
          <w:color w:val="000000" w:themeColor="text1"/>
          <w:sz w:val="28"/>
          <w:szCs w:val="28"/>
        </w:rPr>
        <w:t>股</w:t>
      </w:r>
      <w:r w:rsidRPr="00120BA0">
        <w:rPr>
          <w:rFonts w:eastAsia="標楷體" w:hint="eastAsia"/>
          <w:color w:val="000000" w:themeColor="text1"/>
          <w:sz w:val="28"/>
          <w:szCs w:val="28"/>
        </w:rPr>
        <w:t>)</w:t>
      </w:r>
      <w:r w:rsidRPr="00120BA0">
        <w:rPr>
          <w:rFonts w:eastAsia="標楷體"/>
          <w:color w:val="000000" w:themeColor="text1"/>
          <w:sz w:val="28"/>
          <w:szCs w:val="28"/>
        </w:rPr>
        <w:t>公司股權，從事經營資訊軟體服務</w:t>
      </w:r>
      <w:r w:rsidRPr="00120BA0">
        <w:rPr>
          <w:rFonts w:eastAsia="標楷體" w:hint="eastAsia"/>
          <w:color w:val="000000" w:themeColor="text1"/>
          <w:sz w:val="28"/>
          <w:szCs w:val="28"/>
        </w:rPr>
        <w:t>；新加坡商</w:t>
      </w:r>
      <w:r w:rsidRPr="00120BA0">
        <w:rPr>
          <w:rFonts w:eastAsia="標楷體" w:hint="eastAsia"/>
          <w:color w:val="000000" w:themeColor="text1"/>
          <w:sz w:val="28"/>
          <w:szCs w:val="28"/>
        </w:rPr>
        <w:t>HAI DI LAO HOLDINGS PTE.LTD</w:t>
      </w:r>
      <w:proofErr w:type="gramStart"/>
      <w:r w:rsidRPr="00120BA0">
        <w:rPr>
          <w:rFonts w:eastAsia="標楷體" w:hint="eastAsia"/>
          <w:color w:val="000000" w:themeColor="text1"/>
          <w:sz w:val="28"/>
          <w:szCs w:val="28"/>
        </w:rPr>
        <w:t>.</w:t>
      </w:r>
      <w:proofErr w:type="gramEnd"/>
      <w:r w:rsidRPr="00120BA0">
        <w:rPr>
          <w:rFonts w:eastAsia="標楷體"/>
          <w:color w:val="000000" w:themeColor="text1"/>
          <w:sz w:val="28"/>
          <w:szCs w:val="28"/>
          <w:vertAlign w:val="superscript"/>
        </w:rPr>
        <w:footnoteReference w:id="9"/>
      </w:r>
      <w:r w:rsidRPr="00120BA0">
        <w:rPr>
          <w:rFonts w:eastAsia="標楷體" w:hint="eastAsia"/>
          <w:color w:val="000000" w:themeColor="text1"/>
          <w:sz w:val="28"/>
          <w:szCs w:val="28"/>
        </w:rPr>
        <w:t>申請匯入</w:t>
      </w:r>
      <w:r w:rsidRPr="00120BA0">
        <w:rPr>
          <w:rFonts w:eastAsia="標楷體" w:hint="eastAsia"/>
          <w:color w:val="000000" w:themeColor="text1"/>
          <w:sz w:val="28"/>
          <w:szCs w:val="28"/>
        </w:rPr>
        <w:t>383.3</w:t>
      </w:r>
      <w:r w:rsidRPr="00120BA0">
        <w:rPr>
          <w:rFonts w:eastAsia="標楷體" w:hint="eastAsia"/>
          <w:color w:val="000000" w:themeColor="text1"/>
          <w:sz w:val="28"/>
          <w:szCs w:val="28"/>
        </w:rPr>
        <w:t>萬美元，投資設立臺灣海底撈餐飲</w:t>
      </w:r>
      <w:r w:rsidRPr="00120BA0">
        <w:rPr>
          <w:rFonts w:eastAsia="標楷體" w:hint="eastAsia"/>
          <w:color w:val="000000" w:themeColor="text1"/>
          <w:sz w:val="28"/>
          <w:szCs w:val="28"/>
        </w:rPr>
        <w:t>(</w:t>
      </w:r>
      <w:r w:rsidRPr="00120BA0">
        <w:rPr>
          <w:rFonts w:eastAsia="標楷體" w:hint="eastAsia"/>
          <w:color w:val="000000" w:themeColor="text1"/>
          <w:sz w:val="28"/>
          <w:szCs w:val="28"/>
        </w:rPr>
        <w:t>股</w:t>
      </w:r>
      <w:r w:rsidRPr="00120BA0">
        <w:rPr>
          <w:rFonts w:eastAsia="標楷體" w:hint="eastAsia"/>
          <w:color w:val="000000" w:themeColor="text1"/>
          <w:sz w:val="28"/>
          <w:szCs w:val="28"/>
        </w:rPr>
        <w:t>)</w:t>
      </w:r>
      <w:r w:rsidRPr="00120BA0">
        <w:rPr>
          <w:rFonts w:eastAsia="標楷體" w:hint="eastAsia"/>
          <w:color w:val="000000" w:themeColor="text1"/>
          <w:sz w:val="28"/>
          <w:szCs w:val="28"/>
        </w:rPr>
        <w:t>公司；</w:t>
      </w:r>
      <w:r w:rsidRPr="00120BA0">
        <w:rPr>
          <w:rFonts w:eastAsia="標楷體" w:hint="eastAsia"/>
          <w:color w:val="000000" w:themeColor="text1"/>
          <w:sz w:val="28"/>
          <w:szCs w:val="28"/>
        </w:rPr>
        <w:lastRenderedPageBreak/>
        <w:t>香港商禾邦電子（香港）有限公司申請匯入</w:t>
      </w:r>
      <w:r w:rsidRPr="00120BA0">
        <w:rPr>
          <w:rFonts w:eastAsia="標楷體" w:hint="eastAsia"/>
          <w:color w:val="000000" w:themeColor="text1"/>
          <w:sz w:val="28"/>
          <w:szCs w:val="28"/>
        </w:rPr>
        <w:t>409.7</w:t>
      </w:r>
      <w:r w:rsidRPr="00120BA0">
        <w:rPr>
          <w:rFonts w:eastAsia="標楷體" w:hint="eastAsia"/>
          <w:color w:val="000000" w:themeColor="text1"/>
          <w:sz w:val="28"/>
          <w:szCs w:val="28"/>
        </w:rPr>
        <w:t>萬美元，投資設立臺灣禾邦電子有限公司，從事電子零組件製造業等業務。</w:t>
      </w:r>
    </w:p>
    <w:p w:rsidR="00120BA0" w:rsidRPr="00120BA0" w:rsidRDefault="00120BA0" w:rsidP="00120BA0">
      <w:pPr>
        <w:tabs>
          <w:tab w:val="left" w:pos="567"/>
        </w:tabs>
        <w:spacing w:beforeLines="30" w:before="72" w:line="480" w:lineRule="exact"/>
        <w:ind w:leftChars="279" w:left="670" w:firstLineChars="202" w:firstLine="566"/>
        <w:jc w:val="both"/>
        <w:rPr>
          <w:rFonts w:eastAsia="標楷體"/>
          <w:color w:val="000000" w:themeColor="text1"/>
          <w:sz w:val="28"/>
          <w:szCs w:val="28"/>
        </w:rPr>
      </w:pPr>
      <w:r w:rsidRPr="00120BA0">
        <w:rPr>
          <w:rFonts w:eastAsia="標楷體" w:hint="eastAsia"/>
          <w:color w:val="000000" w:themeColor="text1"/>
          <w:sz w:val="28"/>
          <w:szCs w:val="28"/>
        </w:rPr>
        <w:t>自</w:t>
      </w:r>
      <w:r w:rsidRPr="00120BA0">
        <w:rPr>
          <w:rFonts w:eastAsia="標楷體" w:hint="eastAsia"/>
          <w:color w:val="000000" w:themeColor="text1"/>
          <w:sz w:val="28"/>
          <w:szCs w:val="28"/>
        </w:rPr>
        <w:t>2009</w:t>
      </w:r>
      <w:r w:rsidRPr="00120BA0">
        <w:rPr>
          <w:rFonts w:eastAsia="標楷體" w:hint="eastAsia"/>
          <w:color w:val="000000" w:themeColor="text1"/>
          <w:sz w:val="28"/>
          <w:szCs w:val="28"/>
        </w:rPr>
        <w:t>年</w:t>
      </w:r>
      <w:r w:rsidRPr="00120BA0">
        <w:rPr>
          <w:rFonts w:eastAsia="標楷體" w:hint="eastAsia"/>
          <w:color w:val="000000" w:themeColor="text1"/>
          <w:sz w:val="28"/>
          <w:szCs w:val="28"/>
        </w:rPr>
        <w:t>6</w:t>
      </w:r>
      <w:r w:rsidRPr="00120BA0">
        <w:rPr>
          <w:rFonts w:eastAsia="標楷體" w:hint="eastAsia"/>
          <w:color w:val="000000" w:themeColor="text1"/>
          <w:sz w:val="28"/>
          <w:szCs w:val="28"/>
        </w:rPr>
        <w:t>月</w:t>
      </w:r>
      <w:r w:rsidRPr="00120BA0">
        <w:rPr>
          <w:rFonts w:eastAsia="標楷體" w:hint="eastAsia"/>
          <w:color w:val="000000" w:themeColor="text1"/>
          <w:sz w:val="28"/>
          <w:szCs w:val="28"/>
        </w:rPr>
        <w:t>30</w:t>
      </w:r>
      <w:r w:rsidRPr="00120BA0">
        <w:rPr>
          <w:rFonts w:eastAsia="標楷體" w:hint="eastAsia"/>
          <w:color w:val="000000" w:themeColor="text1"/>
          <w:sz w:val="28"/>
          <w:szCs w:val="28"/>
        </w:rPr>
        <w:t>日開放陸資來</w:t>
      </w:r>
      <w:proofErr w:type="gramStart"/>
      <w:r w:rsidRPr="00120BA0">
        <w:rPr>
          <w:rFonts w:eastAsia="標楷體" w:hint="eastAsia"/>
          <w:color w:val="000000" w:themeColor="text1"/>
          <w:sz w:val="28"/>
          <w:szCs w:val="28"/>
        </w:rPr>
        <w:t>臺</w:t>
      </w:r>
      <w:proofErr w:type="gramEnd"/>
      <w:r w:rsidRPr="00120BA0">
        <w:rPr>
          <w:rFonts w:eastAsia="標楷體" w:hint="eastAsia"/>
          <w:color w:val="000000" w:themeColor="text1"/>
          <w:sz w:val="28"/>
          <w:szCs w:val="28"/>
        </w:rPr>
        <w:t>至</w:t>
      </w:r>
      <w:r w:rsidRPr="00120BA0">
        <w:rPr>
          <w:rFonts w:eastAsia="標楷體" w:hint="eastAsia"/>
          <w:color w:val="000000" w:themeColor="text1"/>
          <w:sz w:val="28"/>
          <w:szCs w:val="28"/>
        </w:rPr>
        <w:t>2017</w:t>
      </w:r>
      <w:r w:rsidRPr="00120BA0">
        <w:rPr>
          <w:rFonts w:eastAsia="標楷體" w:hint="eastAsia"/>
          <w:color w:val="000000" w:themeColor="text1"/>
          <w:sz w:val="28"/>
          <w:szCs w:val="28"/>
        </w:rPr>
        <w:t>年底，累計核准來</w:t>
      </w:r>
      <w:proofErr w:type="gramStart"/>
      <w:r w:rsidRPr="00120BA0">
        <w:rPr>
          <w:rFonts w:eastAsia="標楷體" w:hint="eastAsia"/>
          <w:color w:val="000000" w:themeColor="text1"/>
          <w:sz w:val="28"/>
          <w:szCs w:val="28"/>
        </w:rPr>
        <w:t>臺</w:t>
      </w:r>
      <w:proofErr w:type="gramEnd"/>
      <w:r w:rsidRPr="00120BA0">
        <w:rPr>
          <w:rFonts w:eastAsia="標楷體" w:hint="eastAsia"/>
          <w:color w:val="000000" w:themeColor="text1"/>
          <w:sz w:val="28"/>
          <w:szCs w:val="28"/>
        </w:rPr>
        <w:t>投資件數</w:t>
      </w:r>
      <w:r w:rsidRPr="00120BA0">
        <w:rPr>
          <w:rFonts w:eastAsia="標楷體" w:hint="eastAsia"/>
          <w:color w:val="000000" w:themeColor="text1"/>
          <w:sz w:val="28"/>
          <w:szCs w:val="28"/>
        </w:rPr>
        <w:t>1,087</w:t>
      </w:r>
      <w:r w:rsidRPr="00120BA0">
        <w:rPr>
          <w:rFonts w:eastAsia="標楷體" w:hint="eastAsia"/>
          <w:color w:val="000000" w:themeColor="text1"/>
          <w:sz w:val="28"/>
          <w:szCs w:val="28"/>
        </w:rPr>
        <w:t>件，核准金額</w:t>
      </w:r>
      <w:r w:rsidRPr="00120BA0">
        <w:rPr>
          <w:rFonts w:eastAsia="標楷體" w:hint="eastAsia"/>
          <w:color w:val="000000" w:themeColor="text1"/>
          <w:sz w:val="28"/>
          <w:szCs w:val="28"/>
        </w:rPr>
        <w:t>19.6</w:t>
      </w:r>
      <w:r w:rsidRPr="00120BA0">
        <w:rPr>
          <w:rFonts w:eastAsia="標楷體" w:hint="eastAsia"/>
          <w:color w:val="000000" w:themeColor="text1"/>
          <w:sz w:val="28"/>
          <w:szCs w:val="28"/>
        </w:rPr>
        <w:t>億美元（表</w:t>
      </w:r>
      <w:r w:rsidRPr="00120BA0">
        <w:rPr>
          <w:rFonts w:eastAsia="標楷體" w:hint="eastAsia"/>
          <w:color w:val="000000" w:themeColor="text1"/>
          <w:sz w:val="28"/>
          <w:szCs w:val="28"/>
        </w:rPr>
        <w:t>2-3</w:t>
      </w:r>
      <w:r w:rsidRPr="00120BA0">
        <w:rPr>
          <w:rFonts w:eastAsia="標楷體" w:hint="eastAsia"/>
          <w:color w:val="000000" w:themeColor="text1"/>
          <w:sz w:val="28"/>
          <w:szCs w:val="28"/>
        </w:rPr>
        <w:t>）。就業別金額觀之，前</w:t>
      </w:r>
      <w:r w:rsidRPr="00120BA0">
        <w:rPr>
          <w:rFonts w:eastAsia="標楷體" w:hint="eastAsia"/>
          <w:color w:val="000000" w:themeColor="text1"/>
          <w:sz w:val="28"/>
          <w:szCs w:val="28"/>
        </w:rPr>
        <w:t>3</w:t>
      </w:r>
      <w:r w:rsidRPr="00120BA0">
        <w:rPr>
          <w:rFonts w:eastAsia="標楷體" w:hint="eastAsia"/>
          <w:color w:val="000000" w:themeColor="text1"/>
          <w:sz w:val="28"/>
          <w:szCs w:val="28"/>
        </w:rPr>
        <w:t>名分別為批發及零售業（比重</w:t>
      </w:r>
      <w:r w:rsidRPr="00120BA0">
        <w:rPr>
          <w:rFonts w:eastAsia="標楷體" w:hint="eastAsia"/>
          <w:color w:val="000000" w:themeColor="text1"/>
          <w:sz w:val="28"/>
          <w:szCs w:val="28"/>
        </w:rPr>
        <w:t>28.2%</w:t>
      </w:r>
      <w:r w:rsidRPr="00120BA0">
        <w:rPr>
          <w:rFonts w:eastAsia="標楷體" w:hint="eastAsia"/>
          <w:color w:val="000000" w:themeColor="text1"/>
          <w:sz w:val="28"/>
          <w:szCs w:val="28"/>
        </w:rPr>
        <w:t>）、銀行業（比重</w:t>
      </w:r>
      <w:r w:rsidRPr="00120BA0">
        <w:rPr>
          <w:rFonts w:eastAsia="標楷體" w:hint="eastAsia"/>
          <w:color w:val="000000" w:themeColor="text1"/>
          <w:sz w:val="28"/>
          <w:szCs w:val="28"/>
        </w:rPr>
        <w:t>10.3%</w:t>
      </w:r>
      <w:r w:rsidRPr="00120BA0">
        <w:rPr>
          <w:rFonts w:eastAsia="標楷體" w:hint="eastAsia"/>
          <w:color w:val="000000" w:themeColor="text1"/>
          <w:sz w:val="28"/>
          <w:szCs w:val="28"/>
        </w:rPr>
        <w:t>）及電子零組件製造業（比重</w:t>
      </w:r>
      <w:r w:rsidRPr="00120BA0">
        <w:rPr>
          <w:rFonts w:eastAsia="標楷體" w:hint="eastAsia"/>
          <w:color w:val="000000" w:themeColor="text1"/>
          <w:sz w:val="28"/>
          <w:szCs w:val="28"/>
        </w:rPr>
        <w:t>9.8%</w:t>
      </w:r>
      <w:r w:rsidRPr="00120BA0">
        <w:rPr>
          <w:rFonts w:eastAsia="標楷體" w:hint="eastAsia"/>
          <w:color w:val="000000" w:themeColor="text1"/>
          <w:sz w:val="28"/>
          <w:szCs w:val="28"/>
        </w:rPr>
        <w:t>）；另</w:t>
      </w:r>
      <w:proofErr w:type="gramStart"/>
      <w:r w:rsidRPr="00120BA0">
        <w:rPr>
          <w:rFonts w:eastAsia="標楷體" w:hint="eastAsia"/>
          <w:color w:val="000000" w:themeColor="text1"/>
          <w:sz w:val="28"/>
          <w:szCs w:val="28"/>
        </w:rPr>
        <w:t>從業別件數</w:t>
      </w:r>
      <w:proofErr w:type="gramEnd"/>
      <w:r w:rsidRPr="00120BA0">
        <w:rPr>
          <w:rFonts w:eastAsia="標楷體" w:hint="eastAsia"/>
          <w:color w:val="000000" w:themeColor="text1"/>
          <w:sz w:val="28"/>
          <w:szCs w:val="28"/>
        </w:rPr>
        <w:t>來看，以批發及零售業</w:t>
      </w:r>
      <w:r w:rsidRPr="00120BA0">
        <w:rPr>
          <w:rFonts w:eastAsia="標楷體" w:hint="eastAsia"/>
          <w:color w:val="000000" w:themeColor="text1"/>
          <w:sz w:val="28"/>
          <w:szCs w:val="28"/>
        </w:rPr>
        <w:t>719</w:t>
      </w:r>
      <w:r w:rsidRPr="00120BA0">
        <w:rPr>
          <w:rFonts w:eastAsia="標楷體" w:hint="eastAsia"/>
          <w:color w:val="000000" w:themeColor="text1"/>
          <w:sz w:val="28"/>
          <w:szCs w:val="28"/>
        </w:rPr>
        <w:t>件最高，占投資總件數</w:t>
      </w:r>
      <w:r w:rsidRPr="00120BA0">
        <w:rPr>
          <w:rFonts w:eastAsia="標楷體" w:hint="eastAsia"/>
          <w:color w:val="000000" w:themeColor="text1"/>
          <w:sz w:val="28"/>
          <w:szCs w:val="28"/>
        </w:rPr>
        <w:t>66.2%</w:t>
      </w:r>
      <w:r w:rsidRPr="00120BA0">
        <w:rPr>
          <w:rFonts w:eastAsia="標楷體" w:hint="eastAsia"/>
          <w:color w:val="000000" w:themeColor="text1"/>
          <w:sz w:val="28"/>
          <w:szCs w:val="28"/>
        </w:rPr>
        <w:t>，其次為資訊軟體服務業</w:t>
      </w:r>
      <w:r w:rsidRPr="00120BA0">
        <w:rPr>
          <w:rFonts w:eastAsia="標楷體" w:hint="eastAsia"/>
          <w:color w:val="000000" w:themeColor="text1"/>
          <w:sz w:val="28"/>
          <w:szCs w:val="28"/>
        </w:rPr>
        <w:t>60</w:t>
      </w:r>
      <w:r w:rsidRPr="00120BA0">
        <w:rPr>
          <w:rFonts w:eastAsia="標楷體" w:hint="eastAsia"/>
          <w:color w:val="000000" w:themeColor="text1"/>
          <w:sz w:val="28"/>
          <w:szCs w:val="28"/>
        </w:rPr>
        <w:t>件及電子零組件製造業</w:t>
      </w:r>
      <w:r w:rsidRPr="00120BA0">
        <w:rPr>
          <w:rFonts w:eastAsia="標楷體" w:hint="eastAsia"/>
          <w:color w:val="000000" w:themeColor="text1"/>
          <w:sz w:val="28"/>
          <w:szCs w:val="28"/>
        </w:rPr>
        <w:t>53</w:t>
      </w:r>
      <w:r w:rsidRPr="00120BA0">
        <w:rPr>
          <w:rFonts w:eastAsia="標楷體" w:hint="eastAsia"/>
          <w:color w:val="000000" w:themeColor="text1"/>
          <w:sz w:val="28"/>
          <w:szCs w:val="28"/>
        </w:rPr>
        <w:t>件，分別占投資總件數比重</w:t>
      </w:r>
      <w:r w:rsidRPr="00120BA0">
        <w:rPr>
          <w:rFonts w:eastAsia="標楷體" w:hint="eastAsia"/>
          <w:color w:val="000000" w:themeColor="text1"/>
          <w:sz w:val="28"/>
          <w:szCs w:val="28"/>
        </w:rPr>
        <w:t>5.5%</w:t>
      </w:r>
      <w:r w:rsidRPr="00120BA0">
        <w:rPr>
          <w:rFonts w:eastAsia="標楷體" w:hint="eastAsia"/>
          <w:color w:val="000000" w:themeColor="text1"/>
          <w:sz w:val="28"/>
          <w:szCs w:val="28"/>
        </w:rPr>
        <w:t>及</w:t>
      </w:r>
      <w:r w:rsidRPr="00120BA0">
        <w:rPr>
          <w:rFonts w:eastAsia="標楷體" w:hint="eastAsia"/>
          <w:color w:val="000000" w:themeColor="text1"/>
          <w:sz w:val="28"/>
          <w:szCs w:val="28"/>
        </w:rPr>
        <w:t>4.9%</w:t>
      </w:r>
      <w:r w:rsidRPr="00120BA0">
        <w:rPr>
          <w:rFonts w:eastAsia="標楷體" w:hint="eastAsia"/>
          <w:color w:val="000000" w:themeColor="text1"/>
          <w:sz w:val="28"/>
          <w:szCs w:val="28"/>
        </w:rPr>
        <w:t>（表</w:t>
      </w:r>
      <w:r w:rsidRPr="00120BA0">
        <w:rPr>
          <w:rFonts w:eastAsia="標楷體" w:hint="eastAsia"/>
          <w:color w:val="000000" w:themeColor="text1"/>
          <w:sz w:val="28"/>
          <w:szCs w:val="28"/>
        </w:rPr>
        <w:t>2-4</w:t>
      </w:r>
      <w:r w:rsidRPr="00120BA0">
        <w:rPr>
          <w:rFonts w:eastAsia="標楷體" w:hint="eastAsia"/>
          <w:color w:val="000000" w:themeColor="text1"/>
          <w:sz w:val="28"/>
          <w:szCs w:val="28"/>
        </w:rPr>
        <w:t>）。</w:t>
      </w:r>
    </w:p>
    <w:p w:rsidR="00120BA0" w:rsidRPr="00120BA0" w:rsidRDefault="00120BA0" w:rsidP="00120BA0">
      <w:pPr>
        <w:widowControl/>
        <w:snapToGrid w:val="0"/>
        <w:spacing w:beforeLines="100" w:before="240" w:line="440" w:lineRule="exact"/>
        <w:jc w:val="center"/>
        <w:rPr>
          <w:rFonts w:eastAsia="標楷體"/>
          <w:b/>
          <w:bCs/>
          <w:color w:val="000000" w:themeColor="text1"/>
          <w:kern w:val="0"/>
          <w:sz w:val="28"/>
          <w:szCs w:val="32"/>
        </w:rPr>
      </w:pPr>
      <w:r w:rsidRPr="00120BA0">
        <w:rPr>
          <w:rFonts w:eastAsia="標楷體"/>
          <w:b/>
          <w:bCs/>
          <w:color w:val="000000" w:themeColor="text1"/>
          <w:kern w:val="0"/>
          <w:sz w:val="28"/>
          <w:szCs w:val="32"/>
        </w:rPr>
        <w:t>表</w:t>
      </w:r>
      <w:r w:rsidRPr="00120BA0">
        <w:rPr>
          <w:rFonts w:eastAsia="標楷體"/>
          <w:b/>
          <w:bCs/>
          <w:color w:val="000000" w:themeColor="text1"/>
          <w:kern w:val="0"/>
          <w:sz w:val="28"/>
          <w:szCs w:val="32"/>
        </w:rPr>
        <w:t>2-3</w:t>
      </w:r>
      <w:r w:rsidRPr="00120BA0">
        <w:rPr>
          <w:rFonts w:eastAsia="標楷體"/>
          <w:b/>
          <w:bCs/>
          <w:color w:val="000000" w:themeColor="text1"/>
          <w:kern w:val="0"/>
          <w:sz w:val="28"/>
          <w:szCs w:val="32"/>
        </w:rPr>
        <w:t xml:space="preserve">　陸資來</w:t>
      </w:r>
      <w:proofErr w:type="gramStart"/>
      <w:r w:rsidRPr="00120BA0">
        <w:rPr>
          <w:rFonts w:eastAsia="標楷體"/>
          <w:b/>
          <w:bCs/>
          <w:color w:val="000000" w:themeColor="text1"/>
          <w:kern w:val="0"/>
          <w:sz w:val="28"/>
          <w:szCs w:val="32"/>
        </w:rPr>
        <w:t>臺</w:t>
      </w:r>
      <w:proofErr w:type="gramEnd"/>
      <w:r w:rsidRPr="00120BA0">
        <w:rPr>
          <w:rFonts w:eastAsia="標楷體"/>
          <w:b/>
          <w:bCs/>
          <w:color w:val="000000" w:themeColor="text1"/>
          <w:kern w:val="0"/>
          <w:sz w:val="28"/>
          <w:szCs w:val="32"/>
        </w:rPr>
        <w:t>投資概況</w:t>
      </w:r>
    </w:p>
    <w:p w:rsidR="00120BA0" w:rsidRPr="00120BA0" w:rsidRDefault="00120BA0" w:rsidP="00120BA0">
      <w:pPr>
        <w:widowControl/>
        <w:jc w:val="right"/>
        <w:rPr>
          <w:rFonts w:ascii="標楷體" w:eastAsia="標楷體" w:hAnsi="標楷體"/>
          <w:color w:val="000000" w:themeColor="text1"/>
          <w:kern w:val="0"/>
          <w:sz w:val="20"/>
          <w:szCs w:val="20"/>
        </w:rPr>
      </w:pPr>
      <w:r w:rsidRPr="00120BA0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單位：千美元；%</w:t>
      </w:r>
    </w:p>
    <w:tbl>
      <w:tblPr>
        <w:tblW w:w="843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1351"/>
        <w:gridCol w:w="1263"/>
        <w:gridCol w:w="1275"/>
        <w:gridCol w:w="1134"/>
        <w:gridCol w:w="1627"/>
      </w:tblGrid>
      <w:tr w:rsidR="00120BA0" w:rsidRPr="00120BA0" w:rsidTr="00453E30">
        <w:trPr>
          <w:trHeight w:val="359"/>
          <w:jc w:val="center"/>
        </w:trPr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="-9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年度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="-9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金額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="-9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年增率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="-9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件數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="-9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年增率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="-9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平均投資金額</w:t>
            </w:r>
          </w:p>
        </w:tc>
      </w:tr>
      <w:tr w:rsidR="00120BA0" w:rsidRPr="00120BA0" w:rsidTr="00453E30">
        <w:trPr>
          <w:trHeight w:val="340"/>
          <w:jc w:val="center"/>
        </w:trPr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="-89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2009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="57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 37,486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1,629.8</w:t>
            </w:r>
          </w:p>
        </w:tc>
      </w:tr>
      <w:tr w:rsidR="00120BA0" w:rsidRPr="00120BA0" w:rsidTr="00453E30">
        <w:trPr>
          <w:trHeight w:val="340"/>
          <w:jc w:val="center"/>
        </w:trPr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="-89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2010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年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="57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 94,345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151.7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 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243.5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1,194.2</w:t>
            </w:r>
          </w:p>
        </w:tc>
      </w:tr>
      <w:tr w:rsidR="00120BA0" w:rsidRPr="00120BA0" w:rsidTr="00453E30">
        <w:trPr>
          <w:trHeight w:val="340"/>
          <w:jc w:val="center"/>
        </w:trPr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="-89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2011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年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="57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43,736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   -53.6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29.0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  428.7</w:t>
            </w:r>
          </w:p>
        </w:tc>
      </w:tr>
      <w:tr w:rsidR="00120BA0" w:rsidRPr="00120BA0" w:rsidTr="00453E30">
        <w:trPr>
          <w:trHeight w:val="340"/>
          <w:jc w:val="center"/>
        </w:trPr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="-89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2012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年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="-89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2013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年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="57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328,067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="57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360,884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650.1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10.0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138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141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35.2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2.2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2,377.2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2,559.5</w:t>
            </w:r>
          </w:p>
        </w:tc>
      </w:tr>
      <w:tr w:rsidR="00120BA0" w:rsidRPr="00120BA0" w:rsidTr="00453E30">
        <w:trPr>
          <w:trHeight w:val="340"/>
          <w:jc w:val="center"/>
        </w:trPr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="-89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2014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年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="57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334,631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-4.3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136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-1.5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2,460.5</w:t>
            </w:r>
          </w:p>
        </w:tc>
      </w:tr>
      <w:tr w:rsidR="00120BA0" w:rsidRPr="00120BA0" w:rsidTr="00453E30">
        <w:trPr>
          <w:trHeight w:val="340"/>
          <w:jc w:val="center"/>
        </w:trPr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="-89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2015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年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="57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244,067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-27.1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25.0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1,435.7</w:t>
            </w:r>
          </w:p>
        </w:tc>
      </w:tr>
      <w:tr w:rsidR="00120BA0" w:rsidRPr="00120BA0" w:rsidTr="00453E30">
        <w:trPr>
          <w:trHeight w:val="340"/>
          <w:jc w:val="center"/>
        </w:trPr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="-89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2016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年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="57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247,628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-7.1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1,567.3</w:t>
            </w:r>
          </w:p>
        </w:tc>
      </w:tr>
      <w:tr w:rsidR="00120BA0" w:rsidRPr="00120BA0" w:rsidTr="00453E30">
        <w:trPr>
          <w:trHeight w:val="340"/>
          <w:jc w:val="center"/>
        </w:trPr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="-89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="-89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="-89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="57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33,900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="57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123,351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="57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55,106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70.0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367.4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41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37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20.6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23.3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-17.4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826.8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3,333.8</w:t>
            </w:r>
          </w:p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1,450.2</w:t>
            </w:r>
          </w:p>
        </w:tc>
      </w:tr>
      <w:tr w:rsidR="00120BA0" w:rsidRPr="00120BA0" w:rsidTr="00453E30">
        <w:trPr>
          <w:trHeight w:val="340"/>
          <w:jc w:val="center"/>
        </w:trPr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="-89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4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="57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35,271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-75.5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-30.0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839.8</w:t>
            </w:r>
          </w:p>
        </w:tc>
      </w:tr>
      <w:tr w:rsidR="00120BA0" w:rsidRPr="00120BA0" w:rsidTr="00453E30">
        <w:trPr>
          <w:trHeight w:val="340"/>
          <w:jc w:val="center"/>
        </w:trPr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="-89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2017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年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="57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265,705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7.3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-11.4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1,897.9</w:t>
            </w:r>
          </w:p>
        </w:tc>
      </w:tr>
      <w:tr w:rsidR="00120BA0" w:rsidRPr="00120BA0" w:rsidTr="00453E30">
        <w:trPr>
          <w:trHeight w:val="340"/>
          <w:jc w:val="center"/>
        </w:trPr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="-89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="57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53,701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58.4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-7.3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1,413.2</w:t>
            </w:r>
          </w:p>
        </w:tc>
      </w:tr>
      <w:tr w:rsidR="00120BA0" w:rsidRPr="00120BA0" w:rsidTr="00453E30">
        <w:trPr>
          <w:trHeight w:val="340"/>
          <w:jc w:val="center"/>
        </w:trPr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="-89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="57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100,382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-18.6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-21.6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3,461.4</w:t>
            </w:r>
          </w:p>
        </w:tc>
      </w:tr>
      <w:tr w:rsidR="00120BA0" w:rsidRPr="00120BA0" w:rsidTr="00453E30">
        <w:trPr>
          <w:trHeight w:val="340"/>
          <w:jc w:val="center"/>
        </w:trPr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="-89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="57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15,723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-71.5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-7.9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449.2</w:t>
            </w:r>
          </w:p>
        </w:tc>
      </w:tr>
      <w:tr w:rsidR="00120BA0" w:rsidRPr="00120BA0" w:rsidTr="00453E30">
        <w:trPr>
          <w:trHeight w:val="340"/>
          <w:jc w:val="center"/>
        </w:trPr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="-89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4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="57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95,899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171.9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-9.5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2,523.7</w:t>
            </w:r>
          </w:p>
        </w:tc>
      </w:tr>
      <w:tr w:rsidR="00120BA0" w:rsidRPr="00120BA0" w:rsidTr="00453E30">
        <w:trPr>
          <w:trHeight w:val="195"/>
          <w:jc w:val="center"/>
        </w:trPr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="-89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合計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="57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,956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,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549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="57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1,0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="57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0BA0" w:rsidRPr="00120BA0" w:rsidRDefault="00120BA0" w:rsidP="00120BA0">
            <w:pPr>
              <w:widowControl/>
              <w:autoSpaceDE w:val="0"/>
              <w:snapToGrid w:val="0"/>
              <w:spacing w:line="400" w:lineRule="exact"/>
              <w:ind w:rightChars="10" w:right="24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1,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800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.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</w:tr>
      <w:tr w:rsidR="00120BA0" w:rsidRPr="00120BA0" w:rsidTr="00453E30">
        <w:trPr>
          <w:trHeight w:val="527"/>
          <w:jc w:val="center"/>
        </w:trPr>
        <w:tc>
          <w:tcPr>
            <w:tcW w:w="843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spacing w:line="100" w:lineRule="atLeas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註</w:t>
            </w:r>
            <w:proofErr w:type="gramEnd"/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：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1. 2009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年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6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月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30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日起開放陸資來</w:t>
            </w:r>
            <w:proofErr w:type="gramStart"/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臺</w:t>
            </w:r>
            <w:proofErr w:type="gramEnd"/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投資。</w:t>
            </w:r>
          </w:p>
          <w:p w:rsidR="00120BA0" w:rsidRPr="00120BA0" w:rsidRDefault="00120BA0" w:rsidP="00120BA0">
            <w:pPr>
              <w:widowControl/>
              <w:spacing w:line="100" w:lineRule="atLeas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 xml:space="preserve">    2.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年</w:t>
            </w:r>
            <w:proofErr w:type="gramStart"/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增率係指</w:t>
            </w:r>
            <w:proofErr w:type="gramEnd"/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較上年或上年同期增減比率。</w:t>
            </w:r>
          </w:p>
          <w:p w:rsidR="00120BA0" w:rsidRPr="00120BA0" w:rsidRDefault="00120BA0" w:rsidP="00120BA0">
            <w:pPr>
              <w:widowControl/>
              <w:spacing w:line="100" w:lineRule="atLeas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資料來源：經濟部投資審議委員會。</w:t>
            </w:r>
          </w:p>
        </w:tc>
      </w:tr>
    </w:tbl>
    <w:p w:rsidR="00120BA0" w:rsidRPr="00120BA0" w:rsidRDefault="00120BA0" w:rsidP="00120BA0">
      <w:pPr>
        <w:widowControl/>
        <w:spacing w:beforeLines="50" w:before="120" w:afterLines="50" w:after="120" w:line="560" w:lineRule="exact"/>
        <w:ind w:left="2127" w:hanging="1985"/>
        <w:jc w:val="center"/>
        <w:rPr>
          <w:rFonts w:eastAsia="標楷體"/>
          <w:b/>
          <w:color w:val="000000" w:themeColor="text1"/>
          <w:kern w:val="0"/>
          <w:sz w:val="28"/>
          <w:szCs w:val="32"/>
        </w:rPr>
      </w:pPr>
      <w:r w:rsidRPr="00120BA0">
        <w:rPr>
          <w:rFonts w:eastAsia="標楷體"/>
          <w:b/>
          <w:color w:val="000000" w:themeColor="text1"/>
          <w:kern w:val="0"/>
          <w:sz w:val="28"/>
          <w:szCs w:val="32"/>
        </w:rPr>
        <w:lastRenderedPageBreak/>
        <w:t>表</w:t>
      </w:r>
      <w:r w:rsidRPr="00120BA0">
        <w:rPr>
          <w:rFonts w:eastAsia="標楷體"/>
          <w:b/>
          <w:color w:val="000000" w:themeColor="text1"/>
          <w:kern w:val="0"/>
          <w:sz w:val="28"/>
          <w:szCs w:val="32"/>
        </w:rPr>
        <w:t>2-4</w:t>
      </w:r>
      <w:r w:rsidRPr="00120BA0">
        <w:rPr>
          <w:rFonts w:eastAsia="標楷體"/>
          <w:b/>
          <w:color w:val="000000" w:themeColor="text1"/>
          <w:kern w:val="0"/>
          <w:sz w:val="28"/>
          <w:szCs w:val="32"/>
        </w:rPr>
        <w:t xml:space="preserve">　陸資來</w:t>
      </w:r>
      <w:proofErr w:type="gramStart"/>
      <w:r w:rsidRPr="00120BA0">
        <w:rPr>
          <w:rFonts w:eastAsia="標楷體"/>
          <w:b/>
          <w:color w:val="000000" w:themeColor="text1"/>
          <w:kern w:val="0"/>
          <w:sz w:val="28"/>
          <w:szCs w:val="32"/>
        </w:rPr>
        <w:t>臺</w:t>
      </w:r>
      <w:proofErr w:type="gramEnd"/>
      <w:r w:rsidRPr="00120BA0">
        <w:rPr>
          <w:rFonts w:eastAsia="標楷體"/>
          <w:b/>
          <w:color w:val="000000" w:themeColor="text1"/>
          <w:kern w:val="0"/>
          <w:sz w:val="28"/>
          <w:szCs w:val="32"/>
        </w:rPr>
        <w:t>投資主要業別（</w:t>
      </w:r>
      <w:r w:rsidRPr="00120BA0">
        <w:rPr>
          <w:rFonts w:eastAsia="標楷體"/>
          <w:b/>
          <w:color w:val="000000" w:themeColor="text1"/>
          <w:kern w:val="0"/>
          <w:sz w:val="28"/>
          <w:szCs w:val="32"/>
        </w:rPr>
        <w:t>2009.6.30~2017.</w:t>
      </w:r>
      <w:r w:rsidRPr="00120BA0">
        <w:rPr>
          <w:rFonts w:eastAsia="標楷體" w:hint="eastAsia"/>
          <w:b/>
          <w:color w:val="000000" w:themeColor="text1"/>
          <w:kern w:val="0"/>
          <w:sz w:val="28"/>
          <w:szCs w:val="32"/>
        </w:rPr>
        <w:t>12</w:t>
      </w:r>
      <w:r w:rsidRPr="00120BA0">
        <w:rPr>
          <w:rFonts w:eastAsia="標楷體"/>
          <w:b/>
          <w:color w:val="000000" w:themeColor="text1"/>
          <w:kern w:val="0"/>
          <w:sz w:val="28"/>
          <w:szCs w:val="32"/>
        </w:rPr>
        <w:t>.3</w:t>
      </w:r>
      <w:r w:rsidRPr="00120BA0">
        <w:rPr>
          <w:rFonts w:eastAsia="標楷體" w:hint="eastAsia"/>
          <w:b/>
          <w:color w:val="000000" w:themeColor="text1"/>
          <w:kern w:val="0"/>
          <w:sz w:val="28"/>
          <w:szCs w:val="32"/>
        </w:rPr>
        <w:t>1</w:t>
      </w:r>
      <w:r w:rsidRPr="00120BA0">
        <w:rPr>
          <w:rFonts w:eastAsia="標楷體"/>
          <w:b/>
          <w:color w:val="000000" w:themeColor="text1"/>
          <w:kern w:val="0"/>
          <w:sz w:val="28"/>
          <w:szCs w:val="32"/>
        </w:rPr>
        <w:t>累計）</w:t>
      </w:r>
    </w:p>
    <w:p w:rsidR="00120BA0" w:rsidRPr="00120BA0" w:rsidRDefault="00120BA0" w:rsidP="00120BA0">
      <w:pPr>
        <w:widowControl/>
        <w:spacing w:line="0" w:lineRule="atLeast"/>
        <w:ind w:firstLineChars="1437" w:firstLine="4024"/>
        <w:rPr>
          <w:rFonts w:ascii="標楷體" w:eastAsia="標楷體" w:hAnsi="標楷體"/>
          <w:color w:val="000000" w:themeColor="text1"/>
          <w:kern w:val="0"/>
          <w:sz w:val="20"/>
          <w:szCs w:val="20"/>
        </w:rPr>
      </w:pPr>
      <w:r w:rsidRPr="00120BA0">
        <w:rPr>
          <w:rFonts w:ascii="標楷體" w:eastAsia="標楷體" w:hAnsi="標楷體" w:hint="eastAsia"/>
          <w:color w:val="000000" w:themeColor="text1"/>
          <w:kern w:val="0"/>
          <w:sz w:val="28"/>
          <w:szCs w:val="20"/>
        </w:rPr>
        <w:t xml:space="preserve">                  </w:t>
      </w:r>
      <w:r w:rsidRPr="00120BA0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單位：千美元；%</w:t>
      </w:r>
    </w:p>
    <w:tbl>
      <w:tblPr>
        <w:tblW w:w="79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4"/>
        <w:gridCol w:w="1050"/>
        <w:gridCol w:w="1168"/>
        <w:gridCol w:w="1069"/>
        <w:gridCol w:w="276"/>
        <w:gridCol w:w="973"/>
        <w:gridCol w:w="14"/>
      </w:tblGrid>
      <w:tr w:rsidR="00120BA0" w:rsidRPr="00120BA0" w:rsidTr="00453E30">
        <w:trPr>
          <w:jc w:val="center"/>
        </w:trPr>
        <w:tc>
          <w:tcPr>
            <w:tcW w:w="339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業      別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0"/>
              </w:rPr>
            </w:pPr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件數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金額</w:t>
            </w:r>
          </w:p>
        </w:tc>
      </w:tr>
      <w:tr w:rsidR="00120BA0" w:rsidRPr="00120BA0" w:rsidTr="00453E30">
        <w:trPr>
          <w:gridAfter w:val="1"/>
          <w:wAfter w:w="14" w:type="dxa"/>
          <w:trHeight w:val="207"/>
          <w:jc w:val="center"/>
        </w:trPr>
        <w:tc>
          <w:tcPr>
            <w:tcW w:w="339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比重</w:t>
            </w:r>
          </w:p>
        </w:tc>
        <w:tc>
          <w:tcPr>
            <w:tcW w:w="106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ind w:firstLineChars="100" w:firstLine="20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比重</w:t>
            </w:r>
          </w:p>
        </w:tc>
      </w:tr>
      <w:tr w:rsidR="00120BA0" w:rsidRPr="00120BA0" w:rsidTr="00453E30">
        <w:trPr>
          <w:gridAfter w:val="1"/>
          <w:wAfter w:w="14" w:type="dxa"/>
          <w:trHeight w:val="96"/>
          <w:jc w:val="center"/>
        </w:trPr>
        <w:tc>
          <w:tcPr>
            <w:tcW w:w="3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20BA0" w:rsidRPr="00120BA0" w:rsidRDefault="00120BA0" w:rsidP="00120BA0">
            <w:pPr>
              <w:adjustRightInd w:val="0"/>
              <w:snapToGrid w:val="0"/>
              <w:spacing w:before="100" w:beforeAutospacing="1" w:after="100" w:afterAutospacing="1" w:line="360" w:lineRule="exact"/>
              <w:rPr>
                <w:rFonts w:eastAsia="標楷體"/>
                <w:color w:val="000000" w:themeColor="text1"/>
                <w:sz w:val="20"/>
              </w:rPr>
            </w:pPr>
            <w:r w:rsidRPr="00120BA0">
              <w:rPr>
                <w:rFonts w:eastAsia="標楷體"/>
                <w:color w:val="000000" w:themeColor="text1"/>
                <w:sz w:val="20"/>
              </w:rPr>
              <w:t>1.</w:t>
            </w:r>
            <w:r w:rsidRPr="00120BA0">
              <w:rPr>
                <w:rFonts w:eastAsia="標楷體"/>
                <w:color w:val="000000" w:themeColor="text1"/>
                <w:sz w:val="20"/>
              </w:rPr>
              <w:t>批發及零售業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719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66.2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551,651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28.2</w:t>
            </w:r>
          </w:p>
        </w:tc>
      </w:tr>
      <w:tr w:rsidR="00120BA0" w:rsidRPr="00120BA0" w:rsidTr="00453E30">
        <w:trPr>
          <w:gridAfter w:val="1"/>
          <w:wAfter w:w="14" w:type="dxa"/>
          <w:trHeight w:val="96"/>
          <w:jc w:val="center"/>
        </w:trPr>
        <w:tc>
          <w:tcPr>
            <w:tcW w:w="33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  <w:sz w:val="20"/>
              </w:rPr>
            </w:pPr>
            <w:r w:rsidRPr="00120BA0">
              <w:rPr>
                <w:rFonts w:eastAsia="標楷體"/>
                <w:color w:val="000000" w:themeColor="text1"/>
                <w:sz w:val="20"/>
              </w:rPr>
              <w:t>2.</w:t>
            </w:r>
            <w:r w:rsidRPr="00120BA0">
              <w:rPr>
                <w:rFonts w:eastAsia="標楷體"/>
                <w:color w:val="000000" w:themeColor="text1"/>
                <w:sz w:val="20"/>
              </w:rPr>
              <w:t>銀行業</w:t>
            </w:r>
            <w:r w:rsidRPr="00120BA0">
              <w:rPr>
                <w:rFonts w:eastAsia="標楷體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0.3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201,441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10.3</w:t>
            </w:r>
          </w:p>
        </w:tc>
      </w:tr>
      <w:tr w:rsidR="00120BA0" w:rsidRPr="00120BA0" w:rsidTr="00453E30">
        <w:trPr>
          <w:gridAfter w:val="1"/>
          <w:wAfter w:w="14" w:type="dxa"/>
          <w:trHeight w:val="96"/>
          <w:jc w:val="center"/>
        </w:trPr>
        <w:tc>
          <w:tcPr>
            <w:tcW w:w="3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  <w:sz w:val="20"/>
              </w:rPr>
            </w:pPr>
            <w:r w:rsidRPr="00120BA0">
              <w:rPr>
                <w:rFonts w:eastAsia="標楷體"/>
                <w:color w:val="000000" w:themeColor="text1"/>
                <w:sz w:val="20"/>
              </w:rPr>
              <w:t>3.</w:t>
            </w:r>
            <w:r w:rsidRPr="00120BA0">
              <w:rPr>
                <w:rFonts w:eastAsia="標楷體"/>
                <w:color w:val="000000" w:themeColor="text1"/>
                <w:sz w:val="20"/>
              </w:rPr>
              <w:t>電子零組件製造業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4.9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191,332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9.8</w:t>
            </w:r>
          </w:p>
        </w:tc>
      </w:tr>
      <w:tr w:rsidR="00120BA0" w:rsidRPr="00120BA0" w:rsidTr="00453E30">
        <w:trPr>
          <w:gridAfter w:val="1"/>
          <w:wAfter w:w="14" w:type="dxa"/>
          <w:trHeight w:val="96"/>
          <w:jc w:val="center"/>
        </w:trPr>
        <w:tc>
          <w:tcPr>
            <w:tcW w:w="3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  <w:sz w:val="20"/>
              </w:rPr>
            </w:pPr>
            <w:r w:rsidRPr="00120BA0">
              <w:rPr>
                <w:rFonts w:eastAsia="標楷體"/>
                <w:color w:val="000000" w:themeColor="text1"/>
                <w:sz w:val="20"/>
              </w:rPr>
              <w:t>4.</w:t>
            </w:r>
            <w:r w:rsidRPr="00120BA0">
              <w:rPr>
                <w:rFonts w:eastAsia="標楷體"/>
                <w:color w:val="000000" w:themeColor="text1"/>
                <w:sz w:val="20"/>
              </w:rPr>
              <w:t>港埠業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0.1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139,108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7.1</w:t>
            </w:r>
          </w:p>
        </w:tc>
      </w:tr>
      <w:tr w:rsidR="00120BA0" w:rsidRPr="00120BA0" w:rsidTr="00453E30">
        <w:trPr>
          <w:gridAfter w:val="1"/>
          <w:wAfter w:w="14" w:type="dxa"/>
          <w:trHeight w:val="96"/>
          <w:jc w:val="center"/>
        </w:trPr>
        <w:tc>
          <w:tcPr>
            <w:tcW w:w="3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  <w:sz w:val="20"/>
              </w:rPr>
            </w:pPr>
            <w:r w:rsidRPr="00120BA0">
              <w:rPr>
                <w:rFonts w:eastAsia="標楷體"/>
                <w:color w:val="000000" w:themeColor="text1"/>
                <w:sz w:val="20"/>
              </w:rPr>
              <w:t>5.</w:t>
            </w:r>
            <w:r w:rsidRPr="00120BA0">
              <w:rPr>
                <w:rFonts w:eastAsia="標楷體"/>
                <w:color w:val="000000" w:themeColor="text1"/>
                <w:sz w:val="20"/>
              </w:rPr>
              <w:t>機械設備製造業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2.8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110,691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5.7</w:t>
            </w:r>
          </w:p>
        </w:tc>
      </w:tr>
      <w:tr w:rsidR="00120BA0" w:rsidRPr="00120BA0" w:rsidTr="00453E30">
        <w:trPr>
          <w:gridAfter w:val="1"/>
          <w:wAfter w:w="14" w:type="dxa"/>
          <w:trHeight w:val="96"/>
          <w:jc w:val="center"/>
        </w:trPr>
        <w:tc>
          <w:tcPr>
            <w:tcW w:w="3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  <w:sz w:val="20"/>
              </w:rPr>
            </w:pPr>
            <w:r w:rsidRPr="00120BA0">
              <w:rPr>
                <w:rFonts w:eastAsia="標楷體"/>
                <w:color w:val="000000" w:themeColor="text1"/>
                <w:sz w:val="20"/>
              </w:rPr>
              <w:t>6.</w:t>
            </w:r>
            <w:r w:rsidRPr="00120BA0">
              <w:rPr>
                <w:rFonts w:eastAsia="標楷體"/>
                <w:color w:val="000000" w:themeColor="text1"/>
                <w:sz w:val="20"/>
              </w:rPr>
              <w:t>電腦、電子產品及光學製品製造業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2.9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107,435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5.5</w:t>
            </w:r>
          </w:p>
        </w:tc>
      </w:tr>
      <w:tr w:rsidR="00120BA0" w:rsidRPr="00120BA0" w:rsidTr="00453E30">
        <w:trPr>
          <w:gridAfter w:val="1"/>
          <w:wAfter w:w="14" w:type="dxa"/>
          <w:trHeight w:val="96"/>
          <w:jc w:val="center"/>
        </w:trPr>
        <w:tc>
          <w:tcPr>
            <w:tcW w:w="3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  <w:sz w:val="20"/>
              </w:rPr>
            </w:pPr>
            <w:r w:rsidRPr="00120BA0">
              <w:rPr>
                <w:rFonts w:eastAsia="標楷體"/>
                <w:color w:val="000000" w:themeColor="text1"/>
                <w:sz w:val="20"/>
              </w:rPr>
              <w:t>7.</w:t>
            </w:r>
            <w:r w:rsidRPr="00120BA0">
              <w:rPr>
                <w:rFonts w:eastAsia="標楷體"/>
                <w:color w:val="000000" w:themeColor="text1"/>
                <w:sz w:val="20"/>
              </w:rPr>
              <w:t>電力設備製造業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0.6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106,131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5.4</w:t>
            </w:r>
          </w:p>
        </w:tc>
      </w:tr>
      <w:tr w:rsidR="00120BA0" w:rsidRPr="00120BA0" w:rsidTr="00453E30">
        <w:trPr>
          <w:gridAfter w:val="1"/>
          <w:wAfter w:w="14" w:type="dxa"/>
          <w:trHeight w:val="405"/>
          <w:jc w:val="center"/>
        </w:trPr>
        <w:tc>
          <w:tcPr>
            <w:tcW w:w="3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  <w:sz w:val="20"/>
              </w:rPr>
            </w:pPr>
            <w:r w:rsidRPr="00120BA0">
              <w:rPr>
                <w:rFonts w:eastAsia="標楷體"/>
                <w:color w:val="000000" w:themeColor="text1"/>
                <w:sz w:val="20"/>
              </w:rPr>
              <w:t>8.</w:t>
            </w:r>
            <w:r w:rsidRPr="00120BA0">
              <w:rPr>
                <w:rFonts w:eastAsia="標楷體"/>
                <w:color w:val="000000" w:themeColor="text1"/>
                <w:sz w:val="20"/>
              </w:rPr>
              <w:t>住宿服務業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89,723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4.6</w:t>
            </w:r>
          </w:p>
        </w:tc>
      </w:tr>
      <w:tr w:rsidR="00120BA0" w:rsidRPr="00120BA0" w:rsidTr="00453E30">
        <w:trPr>
          <w:gridAfter w:val="1"/>
          <w:wAfter w:w="14" w:type="dxa"/>
          <w:trHeight w:val="96"/>
          <w:jc w:val="center"/>
        </w:trPr>
        <w:tc>
          <w:tcPr>
            <w:tcW w:w="3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  <w:sz w:val="20"/>
              </w:rPr>
            </w:pPr>
            <w:r w:rsidRPr="00120BA0">
              <w:rPr>
                <w:rFonts w:eastAsia="標楷體"/>
                <w:color w:val="000000" w:themeColor="text1"/>
                <w:sz w:val="20"/>
              </w:rPr>
              <w:t>9.</w:t>
            </w:r>
            <w:r w:rsidRPr="00120BA0">
              <w:rPr>
                <w:rFonts w:ascii="標楷體" w:eastAsia="標楷體" w:hAnsi="標楷體" w:cs="新細明體" w:hint="eastAsia"/>
                <w:kern w:val="0"/>
                <w:sz w:val="20"/>
              </w:rPr>
              <w:t>研究發展服務業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0.8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89,317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4.6</w:t>
            </w:r>
          </w:p>
        </w:tc>
      </w:tr>
      <w:tr w:rsidR="00120BA0" w:rsidRPr="00120BA0" w:rsidTr="00453E30">
        <w:trPr>
          <w:gridAfter w:val="1"/>
          <w:wAfter w:w="14" w:type="dxa"/>
          <w:trHeight w:val="96"/>
          <w:jc w:val="center"/>
        </w:trPr>
        <w:tc>
          <w:tcPr>
            <w:tcW w:w="3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  <w:sz w:val="20"/>
              </w:rPr>
            </w:pPr>
            <w:r w:rsidRPr="00120BA0">
              <w:rPr>
                <w:rFonts w:eastAsia="標楷體"/>
                <w:color w:val="000000" w:themeColor="text1"/>
                <w:sz w:val="20"/>
              </w:rPr>
              <w:t>10.</w:t>
            </w:r>
            <w:r w:rsidRPr="00120BA0">
              <w:rPr>
                <w:rFonts w:eastAsia="標楷體"/>
                <w:color w:val="000000" w:themeColor="text1"/>
                <w:sz w:val="20"/>
              </w:rPr>
              <w:t>資訊軟體服務業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5.5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87,697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4.5</w:t>
            </w:r>
          </w:p>
        </w:tc>
      </w:tr>
      <w:tr w:rsidR="00120BA0" w:rsidRPr="00120BA0" w:rsidTr="00453E30">
        <w:trPr>
          <w:gridAfter w:val="1"/>
          <w:wAfter w:w="14" w:type="dxa"/>
          <w:trHeight w:val="337"/>
          <w:jc w:val="center"/>
        </w:trPr>
        <w:tc>
          <w:tcPr>
            <w:tcW w:w="3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合計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918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sz w:val="22"/>
                <w:szCs w:val="22"/>
              </w:rPr>
              <w:t>84.</w:t>
            </w: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ind w:rightChars="50" w:right="120"/>
              <w:jc w:val="righ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sz w:val="22"/>
                <w:szCs w:val="22"/>
              </w:rPr>
              <w:t>1,6</w:t>
            </w: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74</w:t>
            </w:r>
            <w:r w:rsidRPr="00120BA0">
              <w:rPr>
                <w:rFonts w:eastAsia="標楷體"/>
                <w:color w:val="000000" w:themeColor="text1"/>
                <w:sz w:val="22"/>
                <w:szCs w:val="22"/>
              </w:rPr>
              <w:t>,</w:t>
            </w: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526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20BA0" w:rsidRPr="00120BA0" w:rsidRDefault="00120BA0" w:rsidP="00120BA0">
            <w:pPr>
              <w:adjustRightInd w:val="0"/>
              <w:snapToGrid w:val="0"/>
              <w:spacing w:line="360" w:lineRule="exact"/>
              <w:ind w:rightChars="50" w:right="12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sz w:val="22"/>
                <w:szCs w:val="22"/>
              </w:rPr>
              <w:t>8</w:t>
            </w: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5</w:t>
            </w:r>
            <w:r w:rsidRPr="00120BA0">
              <w:rPr>
                <w:rFonts w:eastAsia="標楷體"/>
                <w:color w:val="000000" w:themeColor="text1"/>
                <w:sz w:val="22"/>
                <w:szCs w:val="22"/>
              </w:rPr>
              <w:t>.</w:t>
            </w:r>
            <w:r w:rsidRPr="00120BA0">
              <w:rPr>
                <w:rFonts w:eastAsia="標楷體" w:hint="eastAsia"/>
                <w:color w:val="000000" w:themeColor="text1"/>
                <w:sz w:val="22"/>
                <w:szCs w:val="22"/>
              </w:rPr>
              <w:t>7</w:t>
            </w:r>
          </w:p>
        </w:tc>
      </w:tr>
    </w:tbl>
    <w:p w:rsidR="00120BA0" w:rsidRPr="00120BA0" w:rsidRDefault="00120BA0" w:rsidP="00120BA0">
      <w:pPr>
        <w:widowControl/>
        <w:spacing w:afterLines="50" w:after="120" w:line="100" w:lineRule="atLeast"/>
        <w:ind w:firstLineChars="142" w:firstLine="284"/>
        <w:rPr>
          <w:rFonts w:ascii="標楷體" w:eastAsia="標楷體" w:hAnsi="標楷體"/>
          <w:color w:val="000000" w:themeColor="text1"/>
          <w:kern w:val="0"/>
          <w:sz w:val="20"/>
          <w:szCs w:val="20"/>
        </w:rPr>
      </w:pPr>
      <w:r w:rsidRPr="00120BA0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資料來源：經濟部投資審議委員會。</w:t>
      </w:r>
    </w:p>
    <w:p w:rsidR="00120BA0" w:rsidRPr="00120BA0" w:rsidRDefault="00120BA0" w:rsidP="00120BA0">
      <w:pPr>
        <w:keepNext/>
        <w:spacing w:beforeLines="50" w:before="120" w:line="480" w:lineRule="exact"/>
        <w:outlineLvl w:val="1"/>
        <w:rPr>
          <w:rFonts w:ascii="標楷體" w:eastAsia="標楷體" w:hAnsi="標楷體"/>
          <w:b/>
          <w:bCs/>
          <w:color w:val="000000" w:themeColor="text1"/>
          <w:kern w:val="0"/>
          <w:sz w:val="28"/>
          <w:szCs w:val="32"/>
        </w:rPr>
      </w:pPr>
      <w:bookmarkStart w:id="15" w:name="_Toc489971719"/>
      <w:r w:rsidRPr="00120BA0">
        <w:rPr>
          <w:rFonts w:ascii="標楷體" w:eastAsia="標楷體" w:hAnsi="標楷體" w:hint="eastAsia"/>
          <w:b/>
          <w:bCs/>
          <w:color w:val="000000" w:themeColor="text1"/>
          <w:sz w:val="28"/>
          <w:szCs w:val="32"/>
        </w:rPr>
        <w:t>二、雙邊貿易</w:t>
      </w:r>
      <w:bookmarkEnd w:id="15"/>
    </w:p>
    <w:p w:rsidR="00120BA0" w:rsidRPr="00120BA0" w:rsidRDefault="00120BA0" w:rsidP="00120BA0">
      <w:pPr>
        <w:spacing w:line="460" w:lineRule="exact"/>
        <w:ind w:firstLineChars="236" w:firstLine="661"/>
        <w:jc w:val="both"/>
        <w:rPr>
          <w:rFonts w:eastAsia="標楷體"/>
          <w:color w:val="000000" w:themeColor="text1"/>
          <w:kern w:val="0"/>
          <w:sz w:val="28"/>
          <w:szCs w:val="32"/>
        </w:rPr>
      </w:pPr>
      <w:r w:rsidRPr="00120BA0">
        <w:rPr>
          <w:rFonts w:ascii="標楷體" w:eastAsia="標楷體" w:hAnsi="標楷體" w:hint="eastAsia"/>
          <w:kern w:val="0"/>
          <w:sz w:val="28"/>
          <w:szCs w:val="32"/>
        </w:rPr>
        <w:t>受</w:t>
      </w:r>
      <w:r w:rsidR="00F810C2">
        <w:rPr>
          <w:rFonts w:ascii="標楷體" w:eastAsia="標楷體" w:hAnsi="標楷體" w:hint="eastAsia"/>
          <w:kern w:val="0"/>
          <w:sz w:val="28"/>
          <w:szCs w:val="32"/>
        </w:rPr>
        <w:t>惠於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2017</w:t>
      </w:r>
      <w:r w:rsidRPr="00120BA0">
        <w:rPr>
          <w:rFonts w:ascii="標楷體" w:eastAsia="標楷體" w:hAnsi="標楷體" w:hint="eastAsia"/>
          <w:kern w:val="0"/>
          <w:sz w:val="28"/>
          <w:szCs w:val="32"/>
        </w:rPr>
        <w:t>年全球貿易反彈</w:t>
      </w:r>
      <w:r w:rsidRPr="00120BA0">
        <w:rPr>
          <w:rFonts w:eastAsia="標楷體"/>
          <w:color w:val="000000" w:themeColor="text1"/>
          <w:kern w:val="0"/>
          <w:sz w:val="28"/>
          <w:szCs w:val="32"/>
        </w:rPr>
        <w:t>，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中國大陸外貿強勁成長，帶動我對陸出口擴增。據財政部海關資料顯示，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2017</w:t>
      </w:r>
      <w:r w:rsidRPr="00120BA0">
        <w:rPr>
          <w:rFonts w:eastAsia="標楷體"/>
          <w:color w:val="000000" w:themeColor="text1"/>
          <w:kern w:val="0"/>
          <w:sz w:val="28"/>
          <w:szCs w:val="32"/>
        </w:rPr>
        <w:t>年對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中國</w:t>
      </w:r>
      <w:r w:rsidRPr="00120BA0">
        <w:rPr>
          <w:rFonts w:eastAsia="標楷體"/>
          <w:color w:val="000000" w:themeColor="text1"/>
          <w:kern w:val="0"/>
          <w:sz w:val="28"/>
          <w:szCs w:val="32"/>
        </w:rPr>
        <w:t>大陸出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口金額為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890.0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億美元（占我出口總額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28.0%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），</w:t>
      </w:r>
      <w:r w:rsidRPr="00120BA0">
        <w:rPr>
          <w:rFonts w:eastAsia="標楷體"/>
          <w:color w:val="000000" w:themeColor="text1"/>
          <w:kern w:val="0"/>
          <w:sz w:val="28"/>
          <w:szCs w:val="32"/>
        </w:rPr>
        <w:t>較上年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增加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20.5</w:t>
      </w:r>
      <w:r w:rsidRPr="00120BA0">
        <w:rPr>
          <w:rFonts w:eastAsia="標楷體"/>
          <w:color w:val="000000" w:themeColor="text1"/>
          <w:kern w:val="0"/>
          <w:sz w:val="28"/>
          <w:szCs w:val="32"/>
        </w:rPr>
        <w:t>%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。在進口方面，自中國大陸進口金額為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500.5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億美元（占我進口總額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19.3%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），增加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13.8</w:t>
      </w:r>
      <w:r w:rsidRPr="00120BA0">
        <w:rPr>
          <w:rFonts w:eastAsia="標楷體"/>
          <w:color w:val="000000" w:themeColor="text1"/>
          <w:kern w:val="0"/>
          <w:sz w:val="28"/>
          <w:szCs w:val="32"/>
        </w:rPr>
        <w:t>%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。</w:t>
      </w:r>
      <w:r w:rsidR="00A9590D">
        <w:rPr>
          <w:rFonts w:eastAsia="標楷體" w:hint="eastAsia"/>
          <w:color w:val="000000" w:themeColor="text1"/>
          <w:kern w:val="0"/>
          <w:sz w:val="28"/>
          <w:szCs w:val="32"/>
        </w:rPr>
        <w:t>合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計對中國大陸貿易總額為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1,390.5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億美元，占我整體對外貿易總額之比重達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24.1%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，貿易出超為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389.5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億美元，較上年成長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30.3%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（表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2-5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）。另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2017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年對中國大陸及香港出口金額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1,302.8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億美元（占我出口總額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41.0%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），較上年增加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16.0%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；自中國大陸及香港進口金額為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515.6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億美元（占我進口總額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19.9%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），較上年增加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13.8%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（表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2-5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）。</w:t>
      </w:r>
    </w:p>
    <w:p w:rsidR="00120BA0" w:rsidRPr="00120BA0" w:rsidRDefault="00120BA0" w:rsidP="00120BA0">
      <w:pPr>
        <w:widowControl/>
        <w:autoSpaceDE w:val="0"/>
        <w:snapToGrid w:val="0"/>
        <w:spacing w:beforeLines="25" w:before="60" w:line="480" w:lineRule="exact"/>
        <w:ind w:leftChars="236" w:left="566" w:firstLineChars="200" w:firstLine="561"/>
        <w:jc w:val="center"/>
        <w:rPr>
          <w:rFonts w:ascii="標楷體" w:eastAsia="標楷體" w:hAnsi="標楷體"/>
          <w:b/>
          <w:color w:val="000000" w:themeColor="text1"/>
          <w:kern w:val="0"/>
          <w:sz w:val="28"/>
          <w:szCs w:val="32"/>
        </w:rPr>
      </w:pPr>
    </w:p>
    <w:p w:rsidR="00120BA0" w:rsidRPr="00120BA0" w:rsidRDefault="00120BA0" w:rsidP="00120BA0">
      <w:pPr>
        <w:widowControl/>
        <w:autoSpaceDE w:val="0"/>
        <w:snapToGrid w:val="0"/>
        <w:spacing w:beforeLines="25" w:before="60" w:line="480" w:lineRule="exact"/>
        <w:ind w:leftChars="236" w:left="566" w:firstLineChars="200" w:firstLine="561"/>
        <w:jc w:val="center"/>
        <w:rPr>
          <w:rFonts w:ascii="標楷體" w:eastAsia="標楷體" w:hAnsi="標楷體"/>
          <w:b/>
          <w:color w:val="000000" w:themeColor="text1"/>
          <w:kern w:val="0"/>
          <w:sz w:val="28"/>
          <w:szCs w:val="32"/>
        </w:rPr>
      </w:pPr>
    </w:p>
    <w:p w:rsidR="00120BA0" w:rsidRDefault="00120BA0" w:rsidP="00120BA0">
      <w:pPr>
        <w:widowControl/>
        <w:autoSpaceDE w:val="0"/>
        <w:snapToGrid w:val="0"/>
        <w:spacing w:beforeLines="25" w:before="60" w:line="480" w:lineRule="exact"/>
        <w:ind w:leftChars="236" w:left="566" w:firstLineChars="200" w:firstLine="561"/>
        <w:jc w:val="center"/>
        <w:rPr>
          <w:rFonts w:ascii="標楷體" w:eastAsia="標楷體" w:hAnsi="標楷體"/>
          <w:b/>
          <w:color w:val="000000" w:themeColor="text1"/>
          <w:kern w:val="0"/>
          <w:sz w:val="28"/>
          <w:szCs w:val="32"/>
        </w:rPr>
      </w:pPr>
    </w:p>
    <w:p w:rsidR="00FE48BD" w:rsidRDefault="00FE48BD" w:rsidP="00120BA0">
      <w:pPr>
        <w:widowControl/>
        <w:autoSpaceDE w:val="0"/>
        <w:snapToGrid w:val="0"/>
        <w:spacing w:beforeLines="25" w:before="60" w:line="480" w:lineRule="exact"/>
        <w:ind w:leftChars="236" w:left="566" w:firstLineChars="200" w:firstLine="561"/>
        <w:jc w:val="center"/>
        <w:rPr>
          <w:rFonts w:ascii="標楷體" w:eastAsia="標楷體" w:hAnsi="標楷體"/>
          <w:b/>
          <w:color w:val="000000" w:themeColor="text1"/>
          <w:kern w:val="0"/>
          <w:sz w:val="28"/>
          <w:szCs w:val="32"/>
        </w:rPr>
      </w:pPr>
    </w:p>
    <w:p w:rsidR="00FE48BD" w:rsidRPr="00120BA0" w:rsidRDefault="00FE48BD" w:rsidP="00120BA0">
      <w:pPr>
        <w:widowControl/>
        <w:autoSpaceDE w:val="0"/>
        <w:snapToGrid w:val="0"/>
        <w:spacing w:beforeLines="25" w:before="60" w:line="480" w:lineRule="exact"/>
        <w:ind w:leftChars="236" w:left="566" w:firstLineChars="200" w:firstLine="561"/>
        <w:jc w:val="center"/>
        <w:rPr>
          <w:rFonts w:ascii="標楷體" w:eastAsia="標楷體" w:hAnsi="標楷體"/>
          <w:b/>
          <w:color w:val="000000" w:themeColor="text1"/>
          <w:kern w:val="0"/>
          <w:sz w:val="28"/>
          <w:szCs w:val="32"/>
        </w:rPr>
      </w:pPr>
    </w:p>
    <w:p w:rsidR="00120BA0" w:rsidRPr="00120BA0" w:rsidRDefault="00120BA0" w:rsidP="00120BA0">
      <w:pPr>
        <w:widowControl/>
        <w:autoSpaceDE w:val="0"/>
        <w:snapToGrid w:val="0"/>
        <w:spacing w:beforeLines="25" w:before="60" w:line="480" w:lineRule="exact"/>
        <w:ind w:leftChars="236" w:left="566" w:firstLineChars="200" w:firstLine="561"/>
        <w:jc w:val="center"/>
        <w:rPr>
          <w:rFonts w:eastAsia="標楷體"/>
          <w:b/>
          <w:color w:val="000000" w:themeColor="text1"/>
          <w:kern w:val="0"/>
          <w:sz w:val="28"/>
          <w:szCs w:val="32"/>
        </w:rPr>
      </w:pPr>
      <w:r w:rsidRPr="00120BA0">
        <w:rPr>
          <w:rFonts w:eastAsia="標楷體" w:hint="eastAsia"/>
          <w:b/>
          <w:color w:val="000000" w:themeColor="text1"/>
          <w:kern w:val="0"/>
          <w:sz w:val="28"/>
          <w:szCs w:val="32"/>
        </w:rPr>
        <w:lastRenderedPageBreak/>
        <w:t xml:space="preserve"> </w:t>
      </w:r>
      <w:r w:rsidRPr="00120BA0">
        <w:rPr>
          <w:rFonts w:eastAsia="標楷體"/>
          <w:b/>
          <w:color w:val="000000" w:themeColor="text1"/>
          <w:kern w:val="0"/>
          <w:sz w:val="28"/>
          <w:szCs w:val="32"/>
        </w:rPr>
        <w:t>表</w:t>
      </w:r>
      <w:r w:rsidRPr="00120BA0">
        <w:rPr>
          <w:rFonts w:eastAsia="標楷體"/>
          <w:b/>
          <w:color w:val="000000" w:themeColor="text1"/>
          <w:kern w:val="0"/>
          <w:sz w:val="28"/>
          <w:szCs w:val="32"/>
        </w:rPr>
        <w:t xml:space="preserve">2-5 </w:t>
      </w:r>
      <w:r w:rsidRPr="00120BA0">
        <w:rPr>
          <w:rFonts w:eastAsia="標楷體"/>
          <w:b/>
          <w:color w:val="000000" w:themeColor="text1"/>
          <w:kern w:val="0"/>
          <w:sz w:val="28"/>
          <w:szCs w:val="32"/>
        </w:rPr>
        <w:t>我國對中國大陸及香港貿易統計</w:t>
      </w:r>
    </w:p>
    <w:p w:rsidR="00120BA0" w:rsidRPr="00120BA0" w:rsidRDefault="00120BA0" w:rsidP="00120BA0">
      <w:pPr>
        <w:widowControl/>
        <w:snapToGrid w:val="0"/>
        <w:ind w:right="-426"/>
        <w:jc w:val="right"/>
        <w:rPr>
          <w:rFonts w:ascii="標楷體" w:eastAsia="標楷體" w:hAnsi="標楷體"/>
          <w:color w:val="000000" w:themeColor="text1"/>
          <w:kern w:val="0"/>
          <w:sz w:val="20"/>
          <w:szCs w:val="20"/>
        </w:rPr>
      </w:pPr>
      <w:r w:rsidRPr="00120BA0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單位：百萬美元；%</w:t>
      </w:r>
    </w:p>
    <w:tbl>
      <w:tblPr>
        <w:tblW w:w="930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4"/>
        <w:gridCol w:w="850"/>
        <w:gridCol w:w="667"/>
        <w:gridCol w:w="759"/>
        <w:gridCol w:w="679"/>
        <w:gridCol w:w="850"/>
        <w:gridCol w:w="904"/>
        <w:gridCol w:w="730"/>
        <w:gridCol w:w="851"/>
        <w:gridCol w:w="853"/>
        <w:gridCol w:w="770"/>
      </w:tblGrid>
      <w:tr w:rsidR="00120BA0" w:rsidRPr="00120BA0" w:rsidTr="00453E30">
        <w:trPr>
          <w:jc w:val="center"/>
        </w:trPr>
        <w:tc>
          <w:tcPr>
            <w:tcW w:w="1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年  季</w:t>
            </w:r>
          </w:p>
        </w:tc>
        <w:tc>
          <w:tcPr>
            <w:tcW w:w="3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中國大陸</w:t>
            </w:r>
          </w:p>
        </w:tc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香港</w:t>
            </w:r>
          </w:p>
        </w:tc>
      </w:tr>
      <w:tr w:rsidR="00120BA0" w:rsidRPr="00120BA0" w:rsidTr="00453E30">
        <w:trPr>
          <w:jc w:val="center"/>
        </w:trPr>
        <w:tc>
          <w:tcPr>
            <w:tcW w:w="1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出口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進口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出（入）超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出口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進口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出（入）超</w:t>
            </w:r>
          </w:p>
        </w:tc>
      </w:tr>
      <w:tr w:rsidR="00120BA0" w:rsidRPr="00120BA0" w:rsidTr="00453E30">
        <w:trPr>
          <w:jc w:val="center"/>
        </w:trPr>
        <w:tc>
          <w:tcPr>
            <w:tcW w:w="13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金額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年增率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金額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年增率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金額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年增率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金額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年增率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20BA0" w:rsidRPr="00120BA0" w:rsidTr="00453E30">
        <w:trPr>
          <w:jc w:val="center"/>
        </w:trPr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 xml:space="preserve">76,935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41.8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 xml:space="preserve">35,946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47.2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 xml:space="preserve">40,989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 xml:space="preserve">37,807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 xml:space="preserve">1,628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45.0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 xml:space="preserve">36,179 </w:t>
            </w:r>
          </w:p>
        </w:tc>
      </w:tr>
      <w:tr w:rsidR="00120BA0" w:rsidRPr="00120BA0" w:rsidTr="00453E30">
        <w:trPr>
          <w:jc w:val="center"/>
        </w:trPr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83,965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9.1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43,607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40,358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40,088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6.0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1,676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3.0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38,413</w:t>
            </w:r>
          </w:p>
        </w:tc>
      </w:tr>
      <w:tr w:rsidR="00120BA0" w:rsidRPr="00120BA0" w:rsidTr="00453E30">
        <w:trPr>
          <w:jc w:val="center"/>
        </w:trPr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80,729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-3.8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40,910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39,819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37,937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2,659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58.7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35,278</w:t>
            </w:r>
          </w:p>
        </w:tc>
      </w:tr>
      <w:tr w:rsidR="00120BA0" w:rsidRPr="00120BA0" w:rsidTr="00453E30">
        <w:trPr>
          <w:jc w:val="center"/>
        </w:trPr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81,790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1.3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42,591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39,198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39,436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1,658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-37.6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37,777</w:t>
            </w:r>
          </w:p>
        </w:tc>
      </w:tr>
      <w:tr w:rsidR="00120BA0" w:rsidRPr="00120BA0" w:rsidTr="00453E30">
        <w:trPr>
          <w:jc w:val="center"/>
        </w:trPr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82,146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0.4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48,043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34,102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42,542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7.9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1,685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1.6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40,857</w:t>
            </w:r>
          </w:p>
        </w:tc>
      </w:tr>
      <w:tr w:rsidR="00120BA0" w:rsidRPr="00120BA0" w:rsidTr="00453E30">
        <w:trPr>
          <w:jc w:val="center"/>
        </w:trPr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73,410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-13.3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44,193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-8.0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27,029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39,130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-10.5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1,436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-14.8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36,637</w:t>
            </w:r>
          </w:p>
        </w:tc>
      </w:tr>
      <w:tr w:rsidR="00120BA0" w:rsidRPr="00120BA0" w:rsidTr="00453E30">
        <w:trPr>
          <w:jc w:val="center"/>
        </w:trPr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73,898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0.7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43,997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29,901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38,399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-1.9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1,331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-9.3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37,068</w:t>
            </w:r>
          </w:p>
        </w:tc>
      </w:tr>
      <w:tr w:rsidR="00120BA0" w:rsidRPr="00120BA0" w:rsidTr="00453E30">
        <w:trPr>
          <w:jc w:val="center"/>
        </w:trPr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15,396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-16.7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9,968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-9.7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5,431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8,233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-14.1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298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-20.0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7,935</w:t>
            </w:r>
          </w:p>
        </w:tc>
      </w:tr>
      <w:tr w:rsidR="00120BA0" w:rsidRPr="00120BA0" w:rsidTr="00453E30">
        <w:trPr>
          <w:jc w:val="center"/>
        </w:trPr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17,418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-8.9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10,996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-3.3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6,421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9,286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-25.8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8,985</w:t>
            </w:r>
          </w:p>
        </w:tc>
      </w:tr>
      <w:tr w:rsidR="00120BA0" w:rsidRPr="00120BA0" w:rsidTr="00453E30">
        <w:trPr>
          <w:jc w:val="center"/>
        </w:trPr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18,774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5.1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11,179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7,600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10,164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-18.6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9,859</w:t>
            </w:r>
          </w:p>
        </w:tc>
      </w:tr>
      <w:tr w:rsidR="00120BA0" w:rsidRPr="00120BA0" w:rsidTr="00453E30">
        <w:trPr>
          <w:jc w:val="center"/>
        </w:trPr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22,310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28.8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11,854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10,456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10,716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37.7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10,289</w:t>
            </w:r>
          </w:p>
        </w:tc>
      </w:tr>
      <w:tr w:rsidR="00120BA0" w:rsidRPr="00120BA0" w:rsidTr="00453E30">
        <w:trPr>
          <w:jc w:val="center"/>
        </w:trPr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88,996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20.5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50,045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13.8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38,951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41,284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1,516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13.9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39,768</w:t>
            </w:r>
          </w:p>
        </w:tc>
      </w:tr>
      <w:tr w:rsidR="00120BA0" w:rsidRPr="00120BA0" w:rsidTr="00453E30">
        <w:trPr>
          <w:jc w:val="center"/>
        </w:trPr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19,544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27.0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11,036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10.8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8,508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9,270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372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24.7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8,898</w:t>
            </w:r>
          </w:p>
        </w:tc>
      </w:tr>
      <w:tr w:rsidR="00120BA0" w:rsidRPr="00120BA0" w:rsidTr="00453E30">
        <w:trPr>
          <w:jc w:val="center"/>
        </w:trPr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20,445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17.4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12,090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8,355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9,546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34.0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9,143</w:t>
            </w:r>
          </w:p>
        </w:tc>
      </w:tr>
      <w:tr w:rsidR="00120BA0" w:rsidRPr="00120BA0" w:rsidTr="00453E30">
        <w:trPr>
          <w:jc w:val="center"/>
        </w:trPr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23,324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24.3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13,079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17.0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10,245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10,944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7.7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371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21.7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10,573</w:t>
            </w:r>
          </w:p>
        </w:tc>
      </w:tr>
      <w:tr w:rsidR="00120BA0" w:rsidRPr="00120BA0" w:rsidTr="00453E30">
        <w:trPr>
          <w:jc w:val="center"/>
        </w:trPr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25,705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15.2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13,837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16.7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11,868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11,523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-13.3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26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11,153</w:t>
            </w:r>
          </w:p>
        </w:tc>
      </w:tr>
    </w:tbl>
    <w:p w:rsidR="00120BA0" w:rsidRPr="00120BA0" w:rsidRDefault="00120BA0" w:rsidP="00120BA0">
      <w:pPr>
        <w:widowControl/>
        <w:spacing w:line="320" w:lineRule="exact"/>
        <w:ind w:leftChars="-236" w:left="-566" w:firstLineChars="70" w:firstLine="140"/>
        <w:rPr>
          <w:rFonts w:ascii="標楷體" w:eastAsia="標楷體" w:hAnsi="標楷體"/>
          <w:color w:val="000000" w:themeColor="text1"/>
          <w:kern w:val="0"/>
          <w:sz w:val="20"/>
          <w:szCs w:val="20"/>
        </w:rPr>
      </w:pPr>
      <w:proofErr w:type="gramStart"/>
      <w:r w:rsidRPr="00120BA0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註</w:t>
      </w:r>
      <w:proofErr w:type="gramEnd"/>
      <w:r w:rsidRPr="00120BA0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：年</w:t>
      </w:r>
      <w:proofErr w:type="gramStart"/>
      <w:r w:rsidRPr="00120BA0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增率係指</w:t>
      </w:r>
      <w:proofErr w:type="gramEnd"/>
      <w:r w:rsidRPr="00120BA0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較上年或上年同期增減比率。</w:t>
      </w:r>
    </w:p>
    <w:p w:rsidR="00120BA0" w:rsidRPr="00120BA0" w:rsidRDefault="00120BA0" w:rsidP="00120BA0">
      <w:pPr>
        <w:widowControl/>
        <w:spacing w:line="320" w:lineRule="exact"/>
        <w:ind w:leftChars="-178" w:left="-141" w:hangingChars="143" w:hanging="286"/>
        <w:rPr>
          <w:rFonts w:ascii="標楷體" w:eastAsia="標楷體" w:hAnsi="標楷體"/>
          <w:color w:val="000000" w:themeColor="text1"/>
          <w:kern w:val="0"/>
          <w:sz w:val="20"/>
          <w:szCs w:val="20"/>
        </w:rPr>
      </w:pPr>
      <w:r w:rsidRPr="00120BA0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資料來源：財政部海關。</w:t>
      </w:r>
    </w:p>
    <w:p w:rsidR="00120BA0" w:rsidRPr="00120BA0" w:rsidRDefault="00120BA0" w:rsidP="00120BA0">
      <w:pPr>
        <w:widowControl/>
        <w:numPr>
          <w:ilvl w:val="0"/>
          <w:numId w:val="9"/>
        </w:numPr>
        <w:tabs>
          <w:tab w:val="left" w:pos="567"/>
        </w:tabs>
        <w:autoSpaceDE w:val="0"/>
        <w:snapToGrid w:val="0"/>
        <w:spacing w:beforeLines="25" w:before="60" w:line="480" w:lineRule="exact"/>
        <w:ind w:left="669" w:hanging="669"/>
        <w:jc w:val="both"/>
        <w:rPr>
          <w:rFonts w:ascii="標楷體" w:eastAsia="標楷體" w:hAnsi="標楷體" w:cstheme="minorBidi"/>
          <w:b/>
          <w:color w:val="000000" w:themeColor="text1"/>
          <w:sz w:val="28"/>
          <w:szCs w:val="28"/>
        </w:rPr>
      </w:pPr>
      <w:r w:rsidRPr="00120BA0">
        <w:rPr>
          <w:rFonts w:ascii="標楷體" w:eastAsia="標楷體" w:hAnsi="標楷體" w:cstheme="minorBidi" w:hint="eastAsia"/>
          <w:b/>
          <w:color w:val="000000" w:themeColor="text1"/>
          <w:sz w:val="28"/>
          <w:szCs w:val="28"/>
        </w:rPr>
        <w:t>主要出口產品</w:t>
      </w:r>
    </w:p>
    <w:p w:rsidR="00120BA0" w:rsidRPr="00120BA0" w:rsidRDefault="00120BA0" w:rsidP="00120BA0">
      <w:pPr>
        <w:widowControl/>
        <w:autoSpaceDE w:val="0"/>
        <w:snapToGrid w:val="0"/>
        <w:spacing w:beforeLines="25" w:before="60" w:line="430" w:lineRule="exact"/>
        <w:ind w:left="567" w:firstLineChars="202" w:firstLine="566"/>
        <w:jc w:val="both"/>
        <w:rPr>
          <w:rFonts w:eastAsia="標楷體"/>
          <w:color w:val="000000" w:themeColor="text1"/>
          <w:kern w:val="0"/>
          <w:sz w:val="28"/>
          <w:szCs w:val="32"/>
        </w:rPr>
      </w:pP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檢視</w:t>
      </w:r>
      <w:r w:rsidRPr="00120BA0">
        <w:rPr>
          <w:rFonts w:eastAsia="標楷體"/>
          <w:color w:val="000000" w:themeColor="text1"/>
          <w:kern w:val="0"/>
          <w:sz w:val="28"/>
          <w:szCs w:val="32"/>
        </w:rPr>
        <w:t>2017</w:t>
      </w:r>
      <w:r w:rsidRPr="00120BA0">
        <w:rPr>
          <w:rFonts w:eastAsia="標楷體"/>
          <w:color w:val="000000" w:themeColor="text1"/>
          <w:kern w:val="0"/>
          <w:sz w:val="28"/>
          <w:szCs w:val="32"/>
        </w:rPr>
        <w:t>年我對中國大陸出口前</w:t>
      </w:r>
      <w:r w:rsidRPr="00120BA0">
        <w:rPr>
          <w:rFonts w:eastAsia="標楷體"/>
          <w:color w:val="000000" w:themeColor="text1"/>
          <w:kern w:val="0"/>
          <w:sz w:val="28"/>
          <w:szCs w:val="32"/>
        </w:rPr>
        <w:t>10</w:t>
      </w:r>
      <w:r w:rsidRPr="00120BA0">
        <w:rPr>
          <w:rFonts w:eastAsia="標楷體"/>
          <w:color w:val="000000" w:themeColor="text1"/>
          <w:kern w:val="0"/>
          <w:sz w:val="28"/>
          <w:szCs w:val="32"/>
        </w:rPr>
        <w:t>項產品（約占出口比重</w:t>
      </w:r>
      <w:proofErr w:type="gramStart"/>
      <w:r w:rsidRPr="00120BA0">
        <w:rPr>
          <w:rFonts w:eastAsia="標楷體"/>
          <w:color w:val="000000" w:themeColor="text1"/>
          <w:kern w:val="0"/>
          <w:sz w:val="28"/>
          <w:szCs w:val="32"/>
        </w:rPr>
        <w:t>9</w:t>
      </w:r>
      <w:r w:rsidRPr="00120BA0">
        <w:rPr>
          <w:rFonts w:eastAsia="標楷體"/>
          <w:color w:val="000000" w:themeColor="text1"/>
          <w:kern w:val="0"/>
          <w:sz w:val="28"/>
          <w:szCs w:val="32"/>
        </w:rPr>
        <w:t>成</w:t>
      </w:r>
      <w:proofErr w:type="gramEnd"/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5</w:t>
      </w:r>
      <w:r w:rsidRPr="00120BA0">
        <w:rPr>
          <w:rFonts w:eastAsia="標楷體"/>
          <w:color w:val="000000" w:themeColor="text1"/>
          <w:kern w:val="0"/>
          <w:sz w:val="28"/>
          <w:szCs w:val="32"/>
        </w:rPr>
        <w:t>）之變動趨勢，說明如下：</w:t>
      </w:r>
    </w:p>
    <w:p w:rsidR="00120BA0" w:rsidRPr="00120BA0" w:rsidRDefault="00120BA0" w:rsidP="00120BA0">
      <w:pPr>
        <w:widowControl/>
        <w:tabs>
          <w:tab w:val="left" w:pos="567"/>
        </w:tabs>
        <w:autoSpaceDE w:val="0"/>
        <w:snapToGrid w:val="0"/>
        <w:spacing w:beforeLines="25" w:before="60" w:line="480" w:lineRule="exact"/>
        <w:ind w:left="330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120BA0">
        <w:rPr>
          <w:rFonts w:eastAsia="標楷體"/>
          <w:b/>
          <w:color w:val="000000" w:themeColor="text1"/>
          <w:sz w:val="28"/>
          <w:szCs w:val="28"/>
        </w:rPr>
        <w:t>1.</w:t>
      </w:r>
      <w:r w:rsidRPr="00120BA0">
        <w:rPr>
          <w:rFonts w:eastAsia="標楷體"/>
          <w:b/>
          <w:color w:val="000000" w:themeColor="text1"/>
          <w:sz w:val="28"/>
          <w:szCs w:val="28"/>
        </w:rPr>
        <w:t>出口比重方面</w:t>
      </w:r>
    </w:p>
    <w:p w:rsidR="00120BA0" w:rsidRPr="00120BA0" w:rsidRDefault="00120BA0" w:rsidP="00120BA0">
      <w:pPr>
        <w:widowControl/>
        <w:autoSpaceDE w:val="0"/>
        <w:snapToGrid w:val="0"/>
        <w:spacing w:beforeLines="25" w:before="60" w:line="480" w:lineRule="exact"/>
        <w:ind w:leftChars="236" w:left="566" w:firstLineChars="202" w:firstLine="566"/>
        <w:jc w:val="both"/>
        <w:rPr>
          <w:rFonts w:eastAsia="標楷體"/>
          <w:color w:val="000000" w:themeColor="text1"/>
          <w:sz w:val="28"/>
          <w:szCs w:val="32"/>
        </w:rPr>
      </w:pPr>
      <w:r w:rsidRPr="00120BA0">
        <w:rPr>
          <w:rFonts w:eastAsia="標楷體" w:hint="eastAsia"/>
          <w:color w:val="000000" w:themeColor="text1"/>
          <w:sz w:val="28"/>
          <w:szCs w:val="32"/>
        </w:rPr>
        <w:t>2017</w:t>
      </w:r>
      <w:r w:rsidRPr="00120BA0">
        <w:rPr>
          <w:rFonts w:eastAsia="標楷體" w:hint="eastAsia"/>
          <w:color w:val="000000" w:themeColor="text1"/>
          <w:sz w:val="28"/>
          <w:szCs w:val="32"/>
        </w:rPr>
        <w:t>年我對中國大陸出口以電子產品占首位，比重達</w:t>
      </w:r>
      <w:r w:rsidRPr="00120BA0">
        <w:rPr>
          <w:rFonts w:eastAsia="標楷體" w:hint="eastAsia"/>
          <w:color w:val="000000" w:themeColor="text1"/>
          <w:sz w:val="28"/>
          <w:szCs w:val="32"/>
        </w:rPr>
        <w:t>37.0%</w:t>
      </w:r>
      <w:r w:rsidRPr="00120BA0">
        <w:rPr>
          <w:rFonts w:eastAsia="標楷體" w:hint="eastAsia"/>
          <w:color w:val="000000" w:themeColor="text1"/>
          <w:sz w:val="28"/>
          <w:szCs w:val="32"/>
        </w:rPr>
        <w:t>，其次為光學器材、化學品、塑橡膠製品及機械，所占比重分別為</w:t>
      </w:r>
      <w:r w:rsidRPr="00120BA0">
        <w:rPr>
          <w:rFonts w:eastAsia="標楷體" w:hint="eastAsia"/>
          <w:color w:val="000000" w:themeColor="text1"/>
          <w:sz w:val="28"/>
          <w:szCs w:val="32"/>
        </w:rPr>
        <w:t>10.4%</w:t>
      </w:r>
      <w:r w:rsidRPr="00120BA0">
        <w:rPr>
          <w:rFonts w:eastAsia="標楷體" w:hint="eastAsia"/>
          <w:color w:val="000000" w:themeColor="text1"/>
          <w:sz w:val="28"/>
          <w:szCs w:val="32"/>
        </w:rPr>
        <w:t>、</w:t>
      </w:r>
      <w:r w:rsidRPr="00120BA0">
        <w:rPr>
          <w:rFonts w:eastAsia="標楷體" w:hint="eastAsia"/>
          <w:color w:val="000000" w:themeColor="text1"/>
          <w:sz w:val="28"/>
          <w:szCs w:val="32"/>
        </w:rPr>
        <w:t>9.7%</w:t>
      </w:r>
      <w:r w:rsidRPr="00120BA0">
        <w:rPr>
          <w:rFonts w:eastAsia="標楷體" w:hint="eastAsia"/>
          <w:color w:val="000000" w:themeColor="text1"/>
          <w:sz w:val="28"/>
          <w:szCs w:val="32"/>
        </w:rPr>
        <w:t>、</w:t>
      </w:r>
      <w:r w:rsidRPr="00120BA0">
        <w:rPr>
          <w:rFonts w:eastAsia="標楷體" w:hint="eastAsia"/>
          <w:color w:val="000000" w:themeColor="text1"/>
          <w:sz w:val="28"/>
          <w:szCs w:val="32"/>
        </w:rPr>
        <w:t>8.7%</w:t>
      </w:r>
      <w:r w:rsidRPr="00120BA0">
        <w:rPr>
          <w:rFonts w:eastAsia="標楷體" w:hint="eastAsia"/>
          <w:color w:val="000000" w:themeColor="text1"/>
          <w:sz w:val="28"/>
          <w:szCs w:val="32"/>
        </w:rPr>
        <w:t>及</w:t>
      </w:r>
      <w:r w:rsidRPr="00120BA0">
        <w:rPr>
          <w:rFonts w:eastAsia="標楷體" w:hint="eastAsia"/>
          <w:color w:val="000000" w:themeColor="text1"/>
          <w:sz w:val="28"/>
          <w:szCs w:val="32"/>
        </w:rPr>
        <w:t>8.7%</w:t>
      </w:r>
      <w:r w:rsidRPr="00120BA0">
        <w:rPr>
          <w:rFonts w:eastAsia="標楷體" w:hint="eastAsia"/>
          <w:color w:val="000000" w:themeColor="text1"/>
          <w:sz w:val="28"/>
          <w:szCs w:val="32"/>
        </w:rPr>
        <w:t>，上述產品占我對陸出口比重達</w:t>
      </w:r>
      <w:r w:rsidRPr="00120BA0">
        <w:rPr>
          <w:rFonts w:eastAsia="標楷體" w:hint="eastAsia"/>
          <w:color w:val="000000" w:themeColor="text1"/>
          <w:sz w:val="28"/>
          <w:szCs w:val="32"/>
        </w:rPr>
        <w:t>74.5%</w:t>
      </w:r>
      <w:r w:rsidRPr="00120BA0">
        <w:rPr>
          <w:rFonts w:eastAsia="標楷體" w:hint="eastAsia"/>
          <w:color w:val="000000" w:themeColor="text1"/>
          <w:sz w:val="28"/>
          <w:szCs w:val="32"/>
        </w:rPr>
        <w:t>。若與</w:t>
      </w:r>
      <w:r w:rsidRPr="00120BA0">
        <w:rPr>
          <w:rFonts w:eastAsia="標楷體" w:hint="eastAsia"/>
          <w:color w:val="000000" w:themeColor="text1"/>
          <w:sz w:val="28"/>
          <w:szCs w:val="32"/>
        </w:rPr>
        <w:t>2016</w:t>
      </w:r>
      <w:r w:rsidRPr="00120BA0">
        <w:rPr>
          <w:rFonts w:eastAsia="標楷體" w:hint="eastAsia"/>
          <w:color w:val="000000" w:themeColor="text1"/>
          <w:sz w:val="28"/>
          <w:szCs w:val="32"/>
        </w:rPr>
        <w:t>年相較，我對中國大陸主要出口產品除電子產品、機械、光學器材增加外</w:t>
      </w:r>
      <w:r w:rsidRPr="00120BA0">
        <w:rPr>
          <w:rFonts w:eastAsia="標楷體" w:hint="eastAsia"/>
          <w:color w:val="000000" w:themeColor="text1"/>
          <w:sz w:val="28"/>
          <w:szCs w:val="32"/>
        </w:rPr>
        <w:t>(</w:t>
      </w:r>
      <w:r w:rsidRPr="00120BA0">
        <w:rPr>
          <w:rFonts w:eastAsia="標楷體" w:hint="eastAsia"/>
          <w:color w:val="000000" w:themeColor="text1"/>
          <w:sz w:val="28"/>
          <w:szCs w:val="32"/>
        </w:rPr>
        <w:t>分別增加</w:t>
      </w:r>
      <w:r w:rsidRPr="00120BA0">
        <w:rPr>
          <w:rFonts w:eastAsia="標楷體" w:hint="eastAsia"/>
          <w:color w:val="000000" w:themeColor="text1"/>
          <w:sz w:val="28"/>
          <w:szCs w:val="32"/>
        </w:rPr>
        <w:t>1.8</w:t>
      </w:r>
      <w:r w:rsidRPr="00120BA0">
        <w:rPr>
          <w:rFonts w:eastAsia="標楷體" w:hint="eastAsia"/>
          <w:color w:val="000000" w:themeColor="text1"/>
          <w:sz w:val="28"/>
          <w:szCs w:val="32"/>
        </w:rPr>
        <w:t>、</w:t>
      </w:r>
      <w:r w:rsidRPr="00120BA0">
        <w:rPr>
          <w:rFonts w:eastAsia="標楷體" w:hint="eastAsia"/>
          <w:color w:val="000000" w:themeColor="text1"/>
          <w:sz w:val="28"/>
          <w:szCs w:val="32"/>
        </w:rPr>
        <w:t>1.6</w:t>
      </w:r>
      <w:r w:rsidRPr="00120BA0">
        <w:rPr>
          <w:rFonts w:eastAsia="標楷體" w:hint="eastAsia"/>
          <w:color w:val="000000" w:themeColor="text1"/>
          <w:sz w:val="28"/>
          <w:szCs w:val="32"/>
        </w:rPr>
        <w:t>、</w:t>
      </w:r>
      <w:r w:rsidRPr="00120BA0">
        <w:rPr>
          <w:rFonts w:eastAsia="標楷體" w:hint="eastAsia"/>
          <w:color w:val="000000" w:themeColor="text1"/>
          <w:sz w:val="28"/>
          <w:szCs w:val="32"/>
        </w:rPr>
        <w:t>0.4</w:t>
      </w:r>
      <w:r w:rsidRPr="00120BA0">
        <w:rPr>
          <w:rFonts w:eastAsia="標楷體" w:hint="eastAsia"/>
          <w:color w:val="000000" w:themeColor="text1"/>
          <w:sz w:val="28"/>
          <w:szCs w:val="32"/>
        </w:rPr>
        <w:t>個百分點</w:t>
      </w:r>
      <w:r w:rsidRPr="00120BA0">
        <w:rPr>
          <w:rFonts w:eastAsia="標楷體" w:hint="eastAsia"/>
          <w:color w:val="000000" w:themeColor="text1"/>
          <w:sz w:val="28"/>
          <w:szCs w:val="32"/>
        </w:rPr>
        <w:t>)</w:t>
      </w:r>
      <w:r w:rsidRPr="00120BA0">
        <w:rPr>
          <w:rFonts w:eastAsia="標楷體" w:hint="eastAsia"/>
          <w:color w:val="000000" w:themeColor="text1"/>
          <w:sz w:val="28"/>
          <w:szCs w:val="32"/>
        </w:rPr>
        <w:t>，其餘均縮減。上述出口產品比重提升主要是中國大陸對積體電路、面板與機械設備需求強勁所致。</w:t>
      </w:r>
    </w:p>
    <w:p w:rsidR="00120BA0" w:rsidRPr="00120BA0" w:rsidRDefault="00120BA0" w:rsidP="00120BA0">
      <w:pPr>
        <w:widowControl/>
        <w:tabs>
          <w:tab w:val="left" w:pos="567"/>
        </w:tabs>
        <w:autoSpaceDE w:val="0"/>
        <w:snapToGrid w:val="0"/>
        <w:spacing w:beforeLines="25" w:before="60" w:line="480" w:lineRule="exact"/>
        <w:ind w:left="33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20B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2.成長率方面</w:t>
      </w:r>
    </w:p>
    <w:p w:rsidR="00120BA0" w:rsidRPr="00120BA0" w:rsidRDefault="00120BA0" w:rsidP="00120BA0">
      <w:pPr>
        <w:widowControl/>
        <w:autoSpaceDE w:val="0"/>
        <w:snapToGrid w:val="0"/>
        <w:spacing w:beforeLines="25" w:before="60" w:line="480" w:lineRule="exact"/>
        <w:ind w:leftChars="235" w:left="564" w:firstLineChars="202" w:firstLine="566"/>
        <w:jc w:val="both"/>
        <w:rPr>
          <w:rFonts w:eastAsia="標楷體"/>
          <w:color w:val="000000" w:themeColor="text1"/>
          <w:sz w:val="28"/>
          <w:szCs w:val="32"/>
        </w:rPr>
      </w:pPr>
      <w:r w:rsidRPr="00120BA0">
        <w:rPr>
          <w:rFonts w:ascii="標楷體" w:eastAsia="標楷體" w:hAnsi="標楷體" w:cs="MS Gothic" w:hint="eastAsia"/>
          <w:color w:val="000000" w:themeColor="text1"/>
          <w:sz w:val="28"/>
          <w:szCs w:val="32"/>
        </w:rPr>
        <w:t>2</w:t>
      </w:r>
      <w:r w:rsidRPr="00120BA0">
        <w:rPr>
          <w:rFonts w:eastAsia="標楷體"/>
          <w:color w:val="000000" w:themeColor="text1"/>
          <w:sz w:val="28"/>
          <w:szCs w:val="32"/>
        </w:rPr>
        <w:t>017</w:t>
      </w:r>
      <w:r w:rsidRPr="00120BA0">
        <w:rPr>
          <w:rFonts w:eastAsia="標楷體"/>
          <w:color w:val="000000" w:themeColor="text1"/>
          <w:sz w:val="28"/>
          <w:szCs w:val="32"/>
        </w:rPr>
        <w:t>年前</w:t>
      </w:r>
      <w:r w:rsidRPr="00120BA0">
        <w:rPr>
          <w:rFonts w:eastAsia="標楷體"/>
          <w:color w:val="000000" w:themeColor="text1"/>
          <w:sz w:val="28"/>
          <w:szCs w:val="32"/>
        </w:rPr>
        <w:t>10</w:t>
      </w:r>
      <w:r w:rsidRPr="00120BA0">
        <w:rPr>
          <w:rFonts w:eastAsia="標楷體"/>
          <w:color w:val="000000" w:themeColor="text1"/>
          <w:sz w:val="28"/>
          <w:szCs w:val="32"/>
        </w:rPr>
        <w:t>項出口產品中，</w:t>
      </w:r>
      <w:proofErr w:type="gramStart"/>
      <w:r w:rsidRPr="00120BA0">
        <w:rPr>
          <w:rFonts w:eastAsia="標楷體" w:hint="eastAsia"/>
          <w:color w:val="000000" w:themeColor="text1"/>
          <w:sz w:val="28"/>
          <w:szCs w:val="32"/>
        </w:rPr>
        <w:t>除礦產品</w:t>
      </w:r>
      <w:proofErr w:type="gramEnd"/>
      <w:r w:rsidRPr="00120BA0">
        <w:rPr>
          <w:rFonts w:eastAsia="標楷體" w:hint="eastAsia"/>
          <w:color w:val="000000" w:themeColor="text1"/>
          <w:sz w:val="28"/>
          <w:szCs w:val="32"/>
        </w:rPr>
        <w:t>小幅衰退外，其餘皆呈現</w:t>
      </w:r>
      <w:r w:rsidRPr="00120BA0">
        <w:rPr>
          <w:rFonts w:eastAsia="標楷體"/>
          <w:color w:val="000000" w:themeColor="text1"/>
          <w:sz w:val="28"/>
          <w:szCs w:val="32"/>
        </w:rPr>
        <w:t>成長態勢。其中，機械成長</w:t>
      </w:r>
      <w:r w:rsidRPr="00120BA0">
        <w:rPr>
          <w:rFonts w:eastAsia="標楷體" w:hint="eastAsia"/>
          <w:color w:val="000000" w:themeColor="text1"/>
          <w:sz w:val="28"/>
          <w:szCs w:val="32"/>
        </w:rPr>
        <w:t>47</w:t>
      </w:r>
      <w:r w:rsidRPr="00120BA0">
        <w:rPr>
          <w:rFonts w:eastAsia="標楷體"/>
          <w:color w:val="000000" w:themeColor="text1"/>
          <w:sz w:val="28"/>
          <w:szCs w:val="32"/>
        </w:rPr>
        <w:t>.</w:t>
      </w:r>
      <w:r w:rsidRPr="00120BA0">
        <w:rPr>
          <w:rFonts w:eastAsia="標楷體" w:hint="eastAsia"/>
          <w:color w:val="000000" w:themeColor="text1"/>
          <w:sz w:val="28"/>
          <w:szCs w:val="32"/>
        </w:rPr>
        <w:t>9</w:t>
      </w:r>
      <w:r w:rsidRPr="00120BA0">
        <w:rPr>
          <w:rFonts w:eastAsia="標楷體"/>
          <w:color w:val="000000" w:themeColor="text1"/>
          <w:sz w:val="28"/>
          <w:szCs w:val="32"/>
        </w:rPr>
        <w:t>%</w:t>
      </w:r>
      <w:r w:rsidRPr="00120BA0">
        <w:rPr>
          <w:rFonts w:eastAsia="標楷體"/>
          <w:color w:val="000000" w:themeColor="text1"/>
          <w:sz w:val="28"/>
          <w:szCs w:val="32"/>
        </w:rPr>
        <w:t>最大</w:t>
      </w:r>
      <w:r w:rsidRPr="00120BA0">
        <w:rPr>
          <w:rFonts w:eastAsia="標楷體" w:hint="eastAsia"/>
          <w:color w:val="000000" w:themeColor="text1"/>
          <w:sz w:val="28"/>
          <w:szCs w:val="32"/>
        </w:rPr>
        <w:t>，</w:t>
      </w:r>
      <w:r w:rsidRPr="00120BA0">
        <w:rPr>
          <w:rFonts w:eastAsia="標楷體"/>
          <w:color w:val="000000" w:themeColor="text1"/>
          <w:sz w:val="28"/>
          <w:szCs w:val="32"/>
        </w:rPr>
        <w:t>主</w:t>
      </w:r>
      <w:r w:rsidRPr="00120BA0">
        <w:rPr>
          <w:rFonts w:eastAsia="標楷體" w:hint="eastAsia"/>
          <w:color w:val="000000" w:themeColor="text1"/>
          <w:sz w:val="28"/>
          <w:szCs w:val="32"/>
        </w:rPr>
        <w:t>因</w:t>
      </w:r>
      <w:r w:rsidRPr="00120BA0">
        <w:rPr>
          <w:rFonts w:eastAsia="標楷體"/>
          <w:color w:val="000000" w:themeColor="text1"/>
          <w:sz w:val="28"/>
          <w:szCs w:val="32"/>
        </w:rPr>
        <w:t>是中國大陸</w:t>
      </w:r>
      <w:r w:rsidRPr="00120BA0">
        <w:rPr>
          <w:rFonts w:eastAsia="標楷體" w:hint="eastAsia"/>
          <w:color w:val="000000" w:themeColor="text1"/>
          <w:sz w:val="28"/>
          <w:szCs w:val="32"/>
        </w:rPr>
        <w:t>擴大</w:t>
      </w:r>
      <w:r w:rsidRPr="00120BA0">
        <w:rPr>
          <w:rFonts w:eastAsia="標楷體"/>
          <w:color w:val="000000" w:themeColor="text1"/>
          <w:sz w:val="28"/>
          <w:szCs w:val="32"/>
        </w:rPr>
        <w:t>對我</w:t>
      </w:r>
      <w:r w:rsidRPr="00120BA0">
        <w:rPr>
          <w:rFonts w:eastAsia="標楷體" w:hint="eastAsia"/>
          <w:color w:val="000000" w:themeColor="text1"/>
          <w:sz w:val="28"/>
          <w:szCs w:val="32"/>
        </w:rPr>
        <w:t>半</w:t>
      </w:r>
      <w:r w:rsidRPr="00120BA0">
        <w:rPr>
          <w:rFonts w:eastAsia="標楷體" w:hint="eastAsia"/>
          <w:color w:val="000000" w:themeColor="text1"/>
          <w:sz w:val="28"/>
          <w:szCs w:val="32"/>
        </w:rPr>
        <w:lastRenderedPageBreak/>
        <w:t>導體</w:t>
      </w:r>
      <w:r w:rsidRPr="00120BA0">
        <w:rPr>
          <w:rFonts w:eastAsia="標楷體"/>
          <w:color w:val="000000" w:themeColor="text1"/>
          <w:sz w:val="28"/>
          <w:szCs w:val="32"/>
        </w:rPr>
        <w:t>機械</w:t>
      </w:r>
      <w:r w:rsidRPr="00120BA0">
        <w:rPr>
          <w:rFonts w:eastAsia="標楷體" w:hint="eastAsia"/>
          <w:color w:val="000000" w:themeColor="text1"/>
          <w:sz w:val="28"/>
          <w:szCs w:val="32"/>
        </w:rPr>
        <w:t>及金屬加工工具機</w:t>
      </w:r>
      <w:r w:rsidRPr="00120BA0">
        <w:rPr>
          <w:rFonts w:eastAsia="標楷體"/>
          <w:color w:val="000000" w:themeColor="text1"/>
          <w:sz w:val="28"/>
          <w:szCs w:val="32"/>
        </w:rPr>
        <w:t>採購</w:t>
      </w:r>
      <w:r w:rsidRPr="00120BA0">
        <w:rPr>
          <w:rFonts w:eastAsia="標楷體" w:hint="eastAsia"/>
          <w:color w:val="000000" w:themeColor="text1"/>
          <w:sz w:val="28"/>
          <w:szCs w:val="32"/>
        </w:rPr>
        <w:t>；</w:t>
      </w:r>
      <w:r w:rsidRPr="00120BA0">
        <w:rPr>
          <w:rFonts w:eastAsia="標楷體"/>
          <w:color w:val="000000" w:themeColor="text1"/>
          <w:sz w:val="28"/>
          <w:szCs w:val="32"/>
        </w:rPr>
        <w:t>其次為</w:t>
      </w:r>
      <w:r w:rsidRPr="00120BA0">
        <w:rPr>
          <w:rFonts w:eastAsia="標楷體" w:hint="eastAsia"/>
          <w:color w:val="000000" w:themeColor="text1"/>
          <w:sz w:val="28"/>
          <w:szCs w:val="32"/>
        </w:rPr>
        <w:t>基本金屬、電子產品、塑橡膠製品、化學品，分別</w:t>
      </w:r>
      <w:r w:rsidRPr="00120BA0">
        <w:rPr>
          <w:rFonts w:eastAsia="標楷體"/>
          <w:color w:val="000000" w:themeColor="text1"/>
          <w:sz w:val="28"/>
          <w:szCs w:val="32"/>
        </w:rPr>
        <w:t>成長</w:t>
      </w:r>
      <w:r w:rsidRPr="00120BA0">
        <w:rPr>
          <w:rFonts w:eastAsia="標楷體" w:hint="eastAsia"/>
          <w:color w:val="000000" w:themeColor="text1"/>
          <w:sz w:val="28"/>
          <w:szCs w:val="32"/>
        </w:rPr>
        <w:t>29.2</w:t>
      </w:r>
      <w:r w:rsidRPr="00120BA0">
        <w:rPr>
          <w:rFonts w:eastAsia="標楷體"/>
          <w:color w:val="000000" w:themeColor="text1"/>
          <w:sz w:val="28"/>
          <w:szCs w:val="32"/>
        </w:rPr>
        <w:t>%</w:t>
      </w:r>
      <w:r w:rsidRPr="00120BA0">
        <w:rPr>
          <w:rFonts w:eastAsia="標楷體" w:hint="eastAsia"/>
          <w:color w:val="000000" w:themeColor="text1"/>
          <w:sz w:val="28"/>
          <w:szCs w:val="32"/>
        </w:rPr>
        <w:t>、</w:t>
      </w:r>
      <w:r w:rsidRPr="00120BA0">
        <w:rPr>
          <w:rFonts w:eastAsia="標楷體" w:hint="eastAsia"/>
          <w:color w:val="000000" w:themeColor="text1"/>
          <w:sz w:val="28"/>
          <w:szCs w:val="32"/>
        </w:rPr>
        <w:t>21.7</w:t>
      </w:r>
      <w:r w:rsidRPr="00120BA0">
        <w:rPr>
          <w:rFonts w:eastAsia="標楷體"/>
          <w:color w:val="000000" w:themeColor="text1"/>
          <w:sz w:val="28"/>
          <w:szCs w:val="32"/>
        </w:rPr>
        <w:t>%</w:t>
      </w:r>
      <w:r w:rsidRPr="00120BA0">
        <w:rPr>
          <w:rFonts w:eastAsia="標楷體" w:hint="eastAsia"/>
          <w:color w:val="000000" w:themeColor="text1"/>
          <w:sz w:val="28"/>
          <w:szCs w:val="32"/>
        </w:rPr>
        <w:t>、</w:t>
      </w:r>
      <w:r w:rsidRPr="00120BA0">
        <w:rPr>
          <w:rFonts w:eastAsia="標楷體" w:hint="eastAsia"/>
          <w:color w:val="000000" w:themeColor="text1"/>
          <w:sz w:val="28"/>
          <w:szCs w:val="32"/>
        </w:rPr>
        <w:t>19.9</w:t>
      </w:r>
      <w:r w:rsidRPr="00120BA0">
        <w:rPr>
          <w:rFonts w:eastAsia="標楷體"/>
          <w:color w:val="000000" w:themeColor="text1"/>
          <w:sz w:val="28"/>
          <w:szCs w:val="32"/>
        </w:rPr>
        <w:t>%</w:t>
      </w:r>
      <w:r w:rsidRPr="00120BA0">
        <w:rPr>
          <w:rFonts w:eastAsia="標楷體" w:hint="eastAsia"/>
          <w:color w:val="000000" w:themeColor="text1"/>
          <w:sz w:val="28"/>
          <w:szCs w:val="32"/>
        </w:rPr>
        <w:t>、</w:t>
      </w:r>
      <w:r w:rsidRPr="00120BA0">
        <w:rPr>
          <w:rFonts w:eastAsia="標楷體" w:hint="eastAsia"/>
          <w:color w:val="000000" w:themeColor="text1"/>
          <w:sz w:val="28"/>
          <w:szCs w:val="32"/>
        </w:rPr>
        <w:t>14.8</w:t>
      </w:r>
      <w:r w:rsidRPr="00120BA0">
        <w:rPr>
          <w:rFonts w:eastAsia="標楷體"/>
          <w:color w:val="000000" w:themeColor="text1"/>
          <w:sz w:val="28"/>
          <w:szCs w:val="32"/>
        </w:rPr>
        <w:t>%</w:t>
      </w:r>
      <w:r w:rsidRPr="00120BA0">
        <w:rPr>
          <w:rFonts w:eastAsia="標楷體" w:hint="eastAsia"/>
          <w:color w:val="000000" w:themeColor="text1"/>
          <w:sz w:val="28"/>
          <w:szCs w:val="32"/>
        </w:rPr>
        <w:t>，主要是受惠於景氣復甦益趨廣泛，全球貿易反彈，中國大陸外貿強勁成長，帶動臺灣相關出口成長</w:t>
      </w:r>
      <w:r w:rsidRPr="00120BA0">
        <w:rPr>
          <w:rFonts w:eastAsia="標楷體"/>
          <w:color w:val="000000" w:themeColor="text1"/>
          <w:sz w:val="28"/>
          <w:szCs w:val="32"/>
        </w:rPr>
        <w:t>。（表</w:t>
      </w:r>
      <w:r w:rsidRPr="00120BA0">
        <w:rPr>
          <w:rFonts w:eastAsia="標楷體"/>
          <w:color w:val="000000" w:themeColor="text1"/>
          <w:sz w:val="28"/>
          <w:szCs w:val="32"/>
        </w:rPr>
        <w:t>2-6</w:t>
      </w:r>
      <w:r w:rsidRPr="00120BA0">
        <w:rPr>
          <w:rFonts w:eastAsia="標楷體"/>
          <w:color w:val="000000" w:themeColor="text1"/>
          <w:sz w:val="28"/>
          <w:szCs w:val="32"/>
        </w:rPr>
        <w:t>）</w:t>
      </w:r>
      <w:r w:rsidRPr="00120BA0">
        <w:rPr>
          <w:rFonts w:ascii="標楷體" w:eastAsia="標楷體" w:hAnsi="標楷體" w:cs="MS Gothic" w:hint="eastAsia"/>
          <w:color w:val="000000" w:themeColor="text1"/>
          <w:sz w:val="28"/>
          <w:szCs w:val="32"/>
        </w:rPr>
        <w:t>。</w:t>
      </w:r>
    </w:p>
    <w:p w:rsidR="00120BA0" w:rsidRPr="00120BA0" w:rsidRDefault="00120BA0" w:rsidP="008B034E">
      <w:pPr>
        <w:widowControl/>
        <w:numPr>
          <w:ilvl w:val="0"/>
          <w:numId w:val="9"/>
        </w:numPr>
        <w:tabs>
          <w:tab w:val="left" w:pos="567"/>
        </w:tabs>
        <w:autoSpaceDE w:val="0"/>
        <w:snapToGrid w:val="0"/>
        <w:spacing w:before="100" w:beforeAutospacing="1" w:line="480" w:lineRule="exact"/>
        <w:ind w:left="669" w:hanging="669"/>
        <w:jc w:val="both"/>
        <w:rPr>
          <w:rFonts w:ascii="標楷體" w:eastAsia="標楷體" w:hAnsi="標楷體" w:cstheme="minorBidi"/>
          <w:b/>
          <w:color w:val="000000" w:themeColor="text1"/>
          <w:sz w:val="28"/>
          <w:szCs w:val="28"/>
        </w:rPr>
      </w:pPr>
      <w:r w:rsidRPr="00120BA0">
        <w:rPr>
          <w:rFonts w:ascii="標楷體" w:eastAsia="標楷體" w:hAnsi="標楷體" w:cstheme="minorBidi" w:hint="eastAsia"/>
          <w:b/>
          <w:color w:val="000000" w:themeColor="text1"/>
          <w:sz w:val="28"/>
          <w:szCs w:val="28"/>
        </w:rPr>
        <w:t>主要進口產品</w:t>
      </w:r>
    </w:p>
    <w:p w:rsidR="00120BA0" w:rsidRPr="00120BA0" w:rsidRDefault="00120BA0" w:rsidP="008B034E">
      <w:pPr>
        <w:widowControl/>
        <w:autoSpaceDE w:val="0"/>
        <w:snapToGrid w:val="0"/>
        <w:spacing w:before="100" w:beforeAutospacing="1" w:line="480" w:lineRule="exact"/>
        <w:ind w:left="567" w:firstLineChars="202" w:firstLine="566"/>
        <w:jc w:val="both"/>
        <w:rPr>
          <w:rFonts w:eastAsia="標楷體"/>
          <w:color w:val="000000" w:themeColor="text1"/>
          <w:kern w:val="0"/>
          <w:sz w:val="28"/>
          <w:szCs w:val="32"/>
        </w:rPr>
      </w:pPr>
      <w:r w:rsidRPr="00120BA0">
        <w:rPr>
          <w:rFonts w:eastAsia="標楷體"/>
          <w:color w:val="000000" w:themeColor="text1"/>
          <w:kern w:val="0"/>
          <w:sz w:val="28"/>
          <w:szCs w:val="32"/>
        </w:rPr>
        <w:t>檢視</w:t>
      </w:r>
      <w:r w:rsidRPr="00120BA0">
        <w:rPr>
          <w:rFonts w:eastAsia="標楷體"/>
          <w:color w:val="000000" w:themeColor="text1"/>
          <w:kern w:val="0"/>
          <w:sz w:val="28"/>
          <w:szCs w:val="32"/>
        </w:rPr>
        <w:t>2017</w:t>
      </w:r>
      <w:r w:rsidRPr="00120BA0">
        <w:rPr>
          <w:rFonts w:eastAsia="標楷體"/>
          <w:color w:val="000000" w:themeColor="text1"/>
          <w:kern w:val="0"/>
          <w:sz w:val="28"/>
          <w:szCs w:val="32"/>
        </w:rPr>
        <w:t>年我自中國大陸進口前</w:t>
      </w:r>
      <w:r w:rsidRPr="00120BA0">
        <w:rPr>
          <w:rFonts w:eastAsia="標楷體"/>
          <w:color w:val="000000" w:themeColor="text1"/>
          <w:kern w:val="0"/>
          <w:sz w:val="28"/>
          <w:szCs w:val="32"/>
        </w:rPr>
        <w:t>10</w:t>
      </w:r>
      <w:r w:rsidRPr="00120BA0">
        <w:rPr>
          <w:rFonts w:eastAsia="標楷體"/>
          <w:color w:val="000000" w:themeColor="text1"/>
          <w:kern w:val="0"/>
          <w:sz w:val="28"/>
          <w:szCs w:val="32"/>
        </w:rPr>
        <w:t>項產品（約占進口比重</w:t>
      </w:r>
      <w:proofErr w:type="gramStart"/>
      <w:r w:rsidRPr="00120BA0">
        <w:rPr>
          <w:rFonts w:eastAsia="標楷體"/>
          <w:color w:val="000000" w:themeColor="text1"/>
          <w:kern w:val="0"/>
          <w:sz w:val="28"/>
          <w:szCs w:val="32"/>
        </w:rPr>
        <w:t>8</w:t>
      </w:r>
      <w:r w:rsidRPr="00120BA0">
        <w:rPr>
          <w:rFonts w:eastAsia="標楷體"/>
          <w:color w:val="000000" w:themeColor="text1"/>
          <w:kern w:val="0"/>
          <w:sz w:val="28"/>
          <w:szCs w:val="32"/>
        </w:rPr>
        <w:t>成</w:t>
      </w:r>
      <w:proofErr w:type="gramEnd"/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6</w:t>
      </w:r>
      <w:r w:rsidRPr="00120BA0">
        <w:rPr>
          <w:rFonts w:eastAsia="標楷體"/>
          <w:color w:val="000000" w:themeColor="text1"/>
          <w:kern w:val="0"/>
          <w:sz w:val="28"/>
          <w:szCs w:val="32"/>
        </w:rPr>
        <w:t>）之變動趨勢，說明如下：</w:t>
      </w:r>
    </w:p>
    <w:p w:rsidR="00120BA0" w:rsidRPr="00120BA0" w:rsidRDefault="00120BA0" w:rsidP="008B034E">
      <w:pPr>
        <w:widowControl/>
        <w:tabs>
          <w:tab w:val="left" w:pos="567"/>
        </w:tabs>
        <w:autoSpaceDE w:val="0"/>
        <w:snapToGrid w:val="0"/>
        <w:spacing w:before="100" w:beforeAutospacing="1" w:line="480" w:lineRule="exact"/>
        <w:ind w:left="33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20B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1.進口比重方面</w:t>
      </w:r>
    </w:p>
    <w:p w:rsidR="00120BA0" w:rsidRPr="00120BA0" w:rsidRDefault="00120BA0" w:rsidP="00120BA0">
      <w:pPr>
        <w:widowControl/>
        <w:autoSpaceDE w:val="0"/>
        <w:snapToGrid w:val="0"/>
        <w:spacing w:beforeLines="25" w:before="60" w:line="480" w:lineRule="exact"/>
        <w:ind w:leftChars="235" w:left="564" w:firstLineChars="202" w:firstLine="566"/>
        <w:jc w:val="both"/>
        <w:rPr>
          <w:rFonts w:eastAsia="標楷體"/>
          <w:color w:val="000000" w:themeColor="text1"/>
          <w:sz w:val="28"/>
          <w:szCs w:val="32"/>
        </w:rPr>
      </w:pPr>
      <w:r w:rsidRPr="00120BA0">
        <w:rPr>
          <w:rFonts w:eastAsia="標楷體" w:hint="eastAsia"/>
          <w:color w:val="000000" w:themeColor="text1"/>
          <w:sz w:val="28"/>
          <w:szCs w:val="32"/>
        </w:rPr>
        <w:t>2017</w:t>
      </w:r>
      <w:r w:rsidRPr="00120BA0">
        <w:rPr>
          <w:rFonts w:eastAsia="標楷體" w:hint="eastAsia"/>
          <w:color w:val="000000" w:themeColor="text1"/>
          <w:sz w:val="28"/>
          <w:szCs w:val="32"/>
        </w:rPr>
        <w:t>年進口以電子產品占首位，比重達</w:t>
      </w:r>
      <w:r w:rsidRPr="00120BA0">
        <w:rPr>
          <w:rFonts w:eastAsia="標楷體" w:hint="eastAsia"/>
          <w:color w:val="000000" w:themeColor="text1"/>
          <w:sz w:val="28"/>
          <w:szCs w:val="32"/>
        </w:rPr>
        <w:t>24.1%</w:t>
      </w:r>
      <w:r w:rsidRPr="00120BA0">
        <w:rPr>
          <w:rFonts w:eastAsia="標楷體" w:hint="eastAsia"/>
          <w:color w:val="000000" w:themeColor="text1"/>
          <w:sz w:val="28"/>
          <w:szCs w:val="32"/>
        </w:rPr>
        <w:t>，較上年增加</w:t>
      </w:r>
      <w:r w:rsidRPr="00120BA0">
        <w:rPr>
          <w:rFonts w:eastAsia="標楷體" w:hint="eastAsia"/>
          <w:color w:val="000000" w:themeColor="text1"/>
          <w:sz w:val="28"/>
          <w:szCs w:val="32"/>
        </w:rPr>
        <w:t>3.1</w:t>
      </w:r>
      <w:r w:rsidRPr="00120BA0">
        <w:rPr>
          <w:rFonts w:eastAsia="標楷體" w:hint="eastAsia"/>
          <w:color w:val="000000" w:themeColor="text1"/>
          <w:sz w:val="28"/>
          <w:szCs w:val="32"/>
        </w:rPr>
        <w:t>個百分點，資通產品居次，比重為</w:t>
      </w:r>
      <w:r w:rsidRPr="00120BA0">
        <w:rPr>
          <w:rFonts w:eastAsia="標楷體" w:hint="eastAsia"/>
          <w:color w:val="000000" w:themeColor="text1"/>
          <w:sz w:val="28"/>
          <w:szCs w:val="32"/>
        </w:rPr>
        <w:t>21.3%</w:t>
      </w:r>
      <w:r w:rsidRPr="00120BA0">
        <w:rPr>
          <w:rFonts w:eastAsia="標楷體" w:hint="eastAsia"/>
          <w:color w:val="000000" w:themeColor="text1"/>
          <w:sz w:val="28"/>
          <w:szCs w:val="32"/>
        </w:rPr>
        <w:t>，較上年增加</w:t>
      </w:r>
      <w:r w:rsidRPr="00120BA0">
        <w:rPr>
          <w:rFonts w:eastAsia="標楷體" w:hint="eastAsia"/>
          <w:color w:val="000000" w:themeColor="text1"/>
          <w:sz w:val="28"/>
          <w:szCs w:val="32"/>
        </w:rPr>
        <w:t>1.7</w:t>
      </w:r>
      <w:r w:rsidRPr="00120BA0">
        <w:rPr>
          <w:rFonts w:eastAsia="標楷體" w:hint="eastAsia"/>
          <w:color w:val="000000" w:themeColor="text1"/>
          <w:sz w:val="28"/>
          <w:szCs w:val="32"/>
        </w:rPr>
        <w:t>個百分點，其次為基本金屬、化學品，所占比重分別為</w:t>
      </w:r>
      <w:r w:rsidRPr="00120BA0">
        <w:rPr>
          <w:rFonts w:eastAsia="標楷體" w:hint="eastAsia"/>
          <w:color w:val="000000" w:themeColor="text1"/>
          <w:sz w:val="28"/>
          <w:szCs w:val="32"/>
        </w:rPr>
        <w:t>9.2%</w:t>
      </w:r>
      <w:r w:rsidRPr="00120BA0">
        <w:rPr>
          <w:rFonts w:eastAsia="標楷體" w:hint="eastAsia"/>
          <w:color w:val="000000" w:themeColor="text1"/>
          <w:sz w:val="28"/>
          <w:szCs w:val="32"/>
        </w:rPr>
        <w:t>、</w:t>
      </w:r>
      <w:r w:rsidRPr="00120BA0">
        <w:rPr>
          <w:rFonts w:eastAsia="標楷體" w:hint="eastAsia"/>
          <w:color w:val="000000" w:themeColor="text1"/>
          <w:sz w:val="28"/>
          <w:szCs w:val="32"/>
        </w:rPr>
        <w:t>8.7%</w:t>
      </w:r>
      <w:r w:rsidRPr="00120BA0">
        <w:rPr>
          <w:rFonts w:eastAsia="標楷體" w:hint="eastAsia"/>
          <w:color w:val="000000" w:themeColor="text1"/>
          <w:sz w:val="28"/>
          <w:szCs w:val="32"/>
        </w:rPr>
        <w:t>，惟較上年分別減少</w:t>
      </w:r>
      <w:r w:rsidRPr="00120BA0">
        <w:rPr>
          <w:rFonts w:eastAsia="標楷體" w:hint="eastAsia"/>
          <w:color w:val="000000" w:themeColor="text1"/>
          <w:sz w:val="28"/>
          <w:szCs w:val="32"/>
        </w:rPr>
        <w:t>0.1</w:t>
      </w:r>
      <w:r w:rsidRPr="00120BA0">
        <w:rPr>
          <w:rFonts w:eastAsia="標楷體" w:hint="eastAsia"/>
          <w:color w:val="000000" w:themeColor="text1"/>
          <w:sz w:val="28"/>
          <w:szCs w:val="32"/>
        </w:rPr>
        <w:t>及</w:t>
      </w:r>
      <w:r w:rsidRPr="00120BA0">
        <w:rPr>
          <w:rFonts w:eastAsia="標楷體" w:hint="eastAsia"/>
          <w:color w:val="000000" w:themeColor="text1"/>
          <w:sz w:val="28"/>
          <w:szCs w:val="32"/>
        </w:rPr>
        <w:t>1.3</w:t>
      </w:r>
      <w:r w:rsidRPr="00120BA0">
        <w:rPr>
          <w:rFonts w:eastAsia="標楷體" w:hint="eastAsia"/>
          <w:color w:val="000000" w:themeColor="text1"/>
          <w:sz w:val="28"/>
          <w:szCs w:val="32"/>
        </w:rPr>
        <w:t>個百分點。其中，電子產品及資通產品進口合計近</w:t>
      </w:r>
      <w:proofErr w:type="gramStart"/>
      <w:r w:rsidRPr="00120BA0">
        <w:rPr>
          <w:rFonts w:eastAsia="標楷體" w:hint="eastAsia"/>
          <w:color w:val="000000" w:themeColor="text1"/>
          <w:sz w:val="28"/>
          <w:szCs w:val="32"/>
        </w:rPr>
        <w:t>5</w:t>
      </w:r>
      <w:r w:rsidRPr="00120BA0">
        <w:rPr>
          <w:rFonts w:eastAsia="標楷體" w:hint="eastAsia"/>
          <w:color w:val="000000" w:themeColor="text1"/>
          <w:sz w:val="28"/>
          <w:szCs w:val="32"/>
        </w:rPr>
        <w:t>成</w:t>
      </w:r>
      <w:proofErr w:type="gramEnd"/>
      <w:r w:rsidRPr="00120BA0">
        <w:rPr>
          <w:rFonts w:eastAsia="標楷體" w:hint="eastAsia"/>
          <w:color w:val="000000" w:themeColor="text1"/>
          <w:sz w:val="28"/>
          <w:szCs w:val="32"/>
        </w:rPr>
        <w:t>，且比重明顯回升，主要是受惠於全球景氣復甦力道增強，行動裝置與消費性電子產品需求熱絡，帶動出口衍生需求擴增所致。</w:t>
      </w:r>
    </w:p>
    <w:p w:rsidR="00120BA0" w:rsidRPr="00120BA0" w:rsidRDefault="00120BA0" w:rsidP="00120BA0">
      <w:pPr>
        <w:widowControl/>
        <w:tabs>
          <w:tab w:val="left" w:pos="567"/>
        </w:tabs>
        <w:autoSpaceDE w:val="0"/>
        <w:snapToGrid w:val="0"/>
        <w:spacing w:before="100" w:beforeAutospacing="1" w:line="380" w:lineRule="exact"/>
        <w:ind w:left="33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20B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2.成長率方面</w:t>
      </w:r>
    </w:p>
    <w:p w:rsidR="00120BA0" w:rsidRPr="00120BA0" w:rsidRDefault="00120BA0" w:rsidP="00120BA0">
      <w:pPr>
        <w:widowControl/>
        <w:autoSpaceDE w:val="0"/>
        <w:snapToGrid w:val="0"/>
        <w:spacing w:beforeLines="25" w:before="60" w:line="480" w:lineRule="exact"/>
        <w:ind w:leftChars="235" w:left="564" w:firstLineChars="202" w:firstLine="566"/>
        <w:jc w:val="both"/>
        <w:rPr>
          <w:rFonts w:eastAsia="標楷體"/>
          <w:color w:val="000000" w:themeColor="text1"/>
          <w:sz w:val="28"/>
          <w:szCs w:val="32"/>
        </w:rPr>
      </w:pPr>
      <w:r w:rsidRPr="00120BA0">
        <w:rPr>
          <w:rFonts w:eastAsia="標楷體" w:hint="eastAsia"/>
          <w:color w:val="000000" w:themeColor="text1"/>
          <w:sz w:val="28"/>
          <w:szCs w:val="32"/>
        </w:rPr>
        <w:t>2017</w:t>
      </w:r>
      <w:r w:rsidRPr="00120BA0">
        <w:rPr>
          <w:rFonts w:eastAsia="標楷體" w:hint="eastAsia"/>
          <w:color w:val="000000" w:themeColor="text1"/>
          <w:sz w:val="28"/>
          <w:szCs w:val="32"/>
        </w:rPr>
        <w:t>年前</w:t>
      </w:r>
      <w:r w:rsidRPr="00120BA0">
        <w:rPr>
          <w:rFonts w:eastAsia="標楷體" w:hint="eastAsia"/>
          <w:color w:val="000000" w:themeColor="text1"/>
          <w:sz w:val="28"/>
          <w:szCs w:val="32"/>
        </w:rPr>
        <w:t>10</w:t>
      </w:r>
      <w:r w:rsidRPr="00120BA0">
        <w:rPr>
          <w:rFonts w:eastAsia="標楷體" w:hint="eastAsia"/>
          <w:color w:val="000000" w:themeColor="text1"/>
          <w:sz w:val="28"/>
          <w:szCs w:val="32"/>
        </w:rPr>
        <w:t>項進口產品中，除運輸設備、光學器材及化學品分別較上年減少</w:t>
      </w:r>
      <w:r w:rsidRPr="00120BA0">
        <w:rPr>
          <w:rFonts w:eastAsia="標楷體" w:hint="eastAsia"/>
          <w:color w:val="000000" w:themeColor="text1"/>
          <w:sz w:val="28"/>
          <w:szCs w:val="32"/>
        </w:rPr>
        <w:t>5.3</w:t>
      </w:r>
      <w:r w:rsidR="00024DE4" w:rsidRPr="00120BA0">
        <w:rPr>
          <w:rFonts w:eastAsia="標楷體" w:hint="eastAsia"/>
          <w:color w:val="000000" w:themeColor="text1"/>
          <w:kern w:val="0"/>
          <w:sz w:val="28"/>
          <w:szCs w:val="32"/>
        </w:rPr>
        <w:t>%</w:t>
      </w:r>
      <w:r w:rsidRPr="00120BA0">
        <w:rPr>
          <w:rFonts w:eastAsia="標楷體" w:hint="eastAsia"/>
          <w:color w:val="000000" w:themeColor="text1"/>
          <w:sz w:val="28"/>
          <w:szCs w:val="32"/>
        </w:rPr>
        <w:t>、</w:t>
      </w:r>
      <w:r w:rsidRPr="00120BA0">
        <w:rPr>
          <w:rFonts w:eastAsia="標楷體" w:hint="eastAsia"/>
          <w:color w:val="000000" w:themeColor="text1"/>
          <w:sz w:val="28"/>
          <w:szCs w:val="32"/>
        </w:rPr>
        <w:t>4.2</w:t>
      </w:r>
      <w:r w:rsidR="00024DE4" w:rsidRPr="00120BA0">
        <w:rPr>
          <w:rFonts w:eastAsia="標楷體" w:hint="eastAsia"/>
          <w:color w:val="000000" w:themeColor="text1"/>
          <w:kern w:val="0"/>
          <w:sz w:val="28"/>
          <w:szCs w:val="32"/>
        </w:rPr>
        <w:t>%</w:t>
      </w:r>
      <w:r w:rsidRPr="00120BA0">
        <w:rPr>
          <w:rFonts w:eastAsia="標楷體" w:hint="eastAsia"/>
          <w:color w:val="000000" w:themeColor="text1"/>
          <w:sz w:val="28"/>
          <w:szCs w:val="32"/>
        </w:rPr>
        <w:t>、</w:t>
      </w:r>
      <w:r w:rsidRPr="00120BA0">
        <w:rPr>
          <w:rFonts w:eastAsia="標楷體" w:hint="eastAsia"/>
          <w:color w:val="000000" w:themeColor="text1"/>
          <w:sz w:val="28"/>
          <w:szCs w:val="32"/>
        </w:rPr>
        <w:t>0.7</w:t>
      </w:r>
      <w:r w:rsidR="00024DE4" w:rsidRPr="00120BA0">
        <w:rPr>
          <w:rFonts w:eastAsia="標楷體" w:hint="eastAsia"/>
          <w:color w:val="000000" w:themeColor="text1"/>
          <w:kern w:val="0"/>
          <w:sz w:val="28"/>
          <w:szCs w:val="32"/>
        </w:rPr>
        <w:t>%</w:t>
      </w:r>
      <w:r w:rsidRPr="00120BA0">
        <w:rPr>
          <w:rFonts w:eastAsia="標楷體" w:hint="eastAsia"/>
          <w:color w:val="000000" w:themeColor="text1"/>
          <w:sz w:val="28"/>
          <w:szCs w:val="32"/>
        </w:rPr>
        <w:t>外，其餘均出現成長。其中，電子產品成長</w:t>
      </w:r>
      <w:r w:rsidRPr="00120BA0">
        <w:rPr>
          <w:rFonts w:eastAsia="標楷體" w:hint="eastAsia"/>
          <w:color w:val="000000" w:themeColor="text1"/>
          <w:sz w:val="28"/>
          <w:szCs w:val="32"/>
        </w:rPr>
        <w:t>30.5%</w:t>
      </w:r>
      <w:r w:rsidRPr="00120BA0">
        <w:rPr>
          <w:rFonts w:eastAsia="標楷體" w:hint="eastAsia"/>
          <w:color w:val="000000" w:themeColor="text1"/>
          <w:sz w:val="28"/>
          <w:szCs w:val="32"/>
        </w:rPr>
        <w:t>增幅最大，其次為資通產品及基本金屬分別成長</w:t>
      </w:r>
      <w:r w:rsidRPr="00120BA0">
        <w:rPr>
          <w:rFonts w:eastAsia="標楷體" w:hint="eastAsia"/>
          <w:color w:val="000000" w:themeColor="text1"/>
          <w:sz w:val="28"/>
          <w:szCs w:val="32"/>
        </w:rPr>
        <w:t>23.2%</w:t>
      </w:r>
      <w:r w:rsidRPr="00120BA0">
        <w:rPr>
          <w:rFonts w:eastAsia="標楷體" w:hint="eastAsia"/>
          <w:color w:val="000000" w:themeColor="text1"/>
          <w:sz w:val="28"/>
          <w:szCs w:val="32"/>
        </w:rPr>
        <w:t>與</w:t>
      </w:r>
      <w:r w:rsidRPr="00120BA0">
        <w:rPr>
          <w:rFonts w:eastAsia="標楷體" w:hint="eastAsia"/>
          <w:color w:val="000000" w:themeColor="text1"/>
          <w:sz w:val="28"/>
          <w:szCs w:val="32"/>
        </w:rPr>
        <w:t>12.5%</w:t>
      </w:r>
      <w:r w:rsidRPr="00120BA0">
        <w:rPr>
          <w:rFonts w:eastAsia="標楷體" w:hint="eastAsia"/>
          <w:color w:val="000000" w:themeColor="text1"/>
          <w:sz w:val="28"/>
          <w:szCs w:val="32"/>
        </w:rPr>
        <w:t>，電機產品及塑膠製品亦成長近</w:t>
      </w:r>
      <w:proofErr w:type="gramStart"/>
      <w:r w:rsidRPr="00120BA0">
        <w:rPr>
          <w:rFonts w:eastAsia="標楷體" w:hint="eastAsia"/>
          <w:color w:val="000000" w:themeColor="text1"/>
          <w:sz w:val="28"/>
          <w:szCs w:val="32"/>
        </w:rPr>
        <w:t>1</w:t>
      </w:r>
      <w:r w:rsidRPr="00120BA0">
        <w:rPr>
          <w:rFonts w:eastAsia="標楷體" w:hint="eastAsia"/>
          <w:color w:val="000000" w:themeColor="text1"/>
          <w:sz w:val="28"/>
          <w:szCs w:val="32"/>
        </w:rPr>
        <w:t>成</w:t>
      </w:r>
      <w:proofErr w:type="gramEnd"/>
      <w:r w:rsidRPr="00120BA0">
        <w:rPr>
          <w:rFonts w:eastAsia="標楷體" w:hint="eastAsia"/>
          <w:color w:val="000000" w:themeColor="text1"/>
          <w:sz w:val="28"/>
          <w:szCs w:val="32"/>
        </w:rPr>
        <w:t>，主要是受惠於全球景氣廣泛復甦，中國大陸出口強勁成長，對臺灣衍生需求增加。</w:t>
      </w:r>
    </w:p>
    <w:p w:rsidR="00120BA0" w:rsidRPr="00120BA0" w:rsidRDefault="00120BA0" w:rsidP="00120BA0">
      <w:pPr>
        <w:keepNext/>
        <w:spacing w:before="100" w:beforeAutospacing="1" w:line="380" w:lineRule="exact"/>
        <w:jc w:val="both"/>
        <w:outlineLvl w:val="1"/>
        <w:rPr>
          <w:rFonts w:ascii="標楷體" w:eastAsia="標楷體" w:hAnsi="標楷體"/>
          <w:b/>
          <w:bCs/>
          <w:color w:val="000000" w:themeColor="text1"/>
          <w:sz w:val="28"/>
          <w:szCs w:val="32"/>
        </w:rPr>
      </w:pPr>
      <w:bookmarkStart w:id="16" w:name="_Toc489971720"/>
      <w:r w:rsidRPr="00120BA0">
        <w:rPr>
          <w:rFonts w:ascii="標楷體" w:eastAsia="標楷體" w:hAnsi="標楷體" w:hint="eastAsia"/>
          <w:b/>
          <w:bCs/>
          <w:color w:val="000000" w:themeColor="text1"/>
          <w:sz w:val="28"/>
          <w:szCs w:val="32"/>
        </w:rPr>
        <w:t>三、陸客來</w:t>
      </w:r>
      <w:proofErr w:type="gramStart"/>
      <w:r w:rsidRPr="00120BA0">
        <w:rPr>
          <w:rFonts w:ascii="標楷體" w:eastAsia="標楷體" w:hAnsi="標楷體" w:hint="eastAsia"/>
          <w:b/>
          <w:bCs/>
          <w:color w:val="000000" w:themeColor="text1"/>
          <w:sz w:val="28"/>
          <w:szCs w:val="32"/>
        </w:rPr>
        <w:t>臺</w:t>
      </w:r>
      <w:bookmarkEnd w:id="16"/>
      <w:proofErr w:type="gramEnd"/>
    </w:p>
    <w:p w:rsidR="00120BA0" w:rsidRPr="00120BA0" w:rsidRDefault="00120BA0" w:rsidP="00120BA0">
      <w:pPr>
        <w:spacing w:before="100" w:beforeAutospacing="1" w:line="480" w:lineRule="exact"/>
        <w:ind w:firstLineChars="236" w:firstLine="661"/>
        <w:jc w:val="both"/>
        <w:rPr>
          <w:rFonts w:eastAsia="標楷體"/>
          <w:color w:val="000000" w:themeColor="text1"/>
          <w:kern w:val="0"/>
          <w:sz w:val="28"/>
          <w:szCs w:val="32"/>
        </w:rPr>
        <w:sectPr w:rsidR="00120BA0" w:rsidRPr="00120BA0" w:rsidSect="00453E30">
          <w:footerReference w:type="even" r:id="rId26"/>
          <w:pgSz w:w="11906" w:h="16838"/>
          <w:pgMar w:top="1440" w:right="1418" w:bottom="1440" w:left="1559" w:header="851" w:footer="992" w:gutter="0"/>
          <w:pgNumType w:start="1"/>
          <w:cols w:space="425"/>
          <w:docGrid w:linePitch="360"/>
        </w:sectPr>
      </w:pPr>
      <w:r w:rsidRPr="00120BA0">
        <w:rPr>
          <w:rFonts w:eastAsia="標楷體"/>
          <w:color w:val="000000" w:themeColor="text1"/>
          <w:kern w:val="0"/>
          <w:sz w:val="28"/>
          <w:szCs w:val="32"/>
        </w:rPr>
        <w:t>受兩岸關係減緩影響，陸客來</w:t>
      </w:r>
      <w:proofErr w:type="gramStart"/>
      <w:r w:rsidRPr="00120BA0">
        <w:rPr>
          <w:rFonts w:eastAsia="標楷體"/>
          <w:color w:val="000000" w:themeColor="text1"/>
          <w:kern w:val="0"/>
          <w:sz w:val="28"/>
          <w:szCs w:val="32"/>
        </w:rPr>
        <w:t>臺</w:t>
      </w:r>
      <w:proofErr w:type="gramEnd"/>
      <w:r w:rsidRPr="00120BA0">
        <w:rPr>
          <w:rFonts w:eastAsia="標楷體"/>
          <w:color w:val="000000" w:themeColor="text1"/>
          <w:kern w:val="0"/>
          <w:sz w:val="28"/>
          <w:szCs w:val="32"/>
        </w:rPr>
        <w:t>旅遊人數出現大減。根據內政部移民署資料顯示，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2017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年</w:t>
      </w:r>
      <w:r w:rsidRPr="00120BA0">
        <w:rPr>
          <w:rFonts w:eastAsia="標楷體"/>
          <w:color w:val="000000" w:themeColor="text1"/>
          <w:kern w:val="0"/>
          <w:sz w:val="28"/>
          <w:szCs w:val="32"/>
        </w:rPr>
        <w:t>陸客來</w:t>
      </w:r>
      <w:proofErr w:type="gramStart"/>
      <w:r w:rsidRPr="00120BA0">
        <w:rPr>
          <w:rFonts w:eastAsia="標楷體"/>
          <w:color w:val="000000" w:themeColor="text1"/>
          <w:kern w:val="0"/>
          <w:sz w:val="28"/>
          <w:szCs w:val="32"/>
        </w:rPr>
        <w:t>臺</w:t>
      </w:r>
      <w:proofErr w:type="gramEnd"/>
      <w:r w:rsidRPr="00120BA0">
        <w:rPr>
          <w:rFonts w:eastAsia="標楷體"/>
          <w:color w:val="000000" w:themeColor="text1"/>
          <w:kern w:val="0"/>
          <w:sz w:val="28"/>
          <w:szCs w:val="32"/>
        </w:rPr>
        <w:t>旅遊人數</w:t>
      </w:r>
      <w:r w:rsidRPr="00120BA0">
        <w:rPr>
          <w:rFonts w:eastAsia="標楷體"/>
          <w:color w:val="000000" w:themeColor="text1"/>
          <w:kern w:val="0"/>
          <w:sz w:val="28"/>
          <w:szCs w:val="32"/>
        </w:rPr>
        <w:t>(</w:t>
      </w:r>
      <w:r w:rsidRPr="00120BA0">
        <w:rPr>
          <w:rFonts w:eastAsia="標楷體"/>
          <w:color w:val="000000" w:themeColor="text1"/>
          <w:kern w:val="0"/>
          <w:sz w:val="28"/>
          <w:szCs w:val="32"/>
        </w:rPr>
        <w:t>含團體旅遊及自由行</w:t>
      </w:r>
      <w:r w:rsidRPr="00120BA0">
        <w:rPr>
          <w:rFonts w:eastAsia="標楷體"/>
          <w:color w:val="000000" w:themeColor="text1"/>
          <w:kern w:val="0"/>
          <w:sz w:val="28"/>
          <w:szCs w:val="32"/>
        </w:rPr>
        <w:t>)</w:t>
      </w:r>
      <w:r w:rsidRPr="00120BA0">
        <w:rPr>
          <w:rFonts w:eastAsia="標楷體"/>
          <w:color w:val="000000" w:themeColor="text1"/>
          <w:kern w:val="0"/>
          <w:sz w:val="28"/>
          <w:szCs w:val="32"/>
        </w:rPr>
        <w:t>為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189.7</w:t>
      </w:r>
      <w:r w:rsidRPr="00120BA0">
        <w:rPr>
          <w:rFonts w:eastAsia="標楷體"/>
          <w:color w:val="000000" w:themeColor="text1"/>
          <w:kern w:val="0"/>
          <w:sz w:val="28"/>
          <w:szCs w:val="32"/>
        </w:rPr>
        <w:t>萬人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，較上年減少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28.6</w:t>
      </w:r>
      <w:r w:rsidR="00A9590D" w:rsidRPr="00120BA0">
        <w:rPr>
          <w:rFonts w:eastAsia="標楷體" w:hint="eastAsia"/>
          <w:color w:val="000000" w:themeColor="text1"/>
          <w:kern w:val="0"/>
          <w:sz w:val="28"/>
          <w:szCs w:val="32"/>
        </w:rPr>
        <w:t>%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，惟</w:t>
      </w:r>
      <w:r w:rsidRPr="00120BA0">
        <w:rPr>
          <w:rFonts w:eastAsia="標楷體"/>
          <w:color w:val="000000" w:themeColor="text1"/>
          <w:kern w:val="0"/>
          <w:sz w:val="28"/>
          <w:szCs w:val="32"/>
        </w:rPr>
        <w:t>第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4</w:t>
      </w:r>
      <w:r w:rsidRPr="00120BA0">
        <w:rPr>
          <w:rFonts w:eastAsia="標楷體"/>
          <w:color w:val="000000" w:themeColor="text1"/>
          <w:kern w:val="0"/>
          <w:sz w:val="28"/>
          <w:szCs w:val="32"/>
        </w:rPr>
        <w:t>季來</w:t>
      </w:r>
      <w:proofErr w:type="gramStart"/>
      <w:r w:rsidRPr="00120BA0">
        <w:rPr>
          <w:rFonts w:eastAsia="標楷體"/>
          <w:color w:val="000000" w:themeColor="text1"/>
          <w:kern w:val="0"/>
          <w:sz w:val="28"/>
          <w:szCs w:val="32"/>
        </w:rPr>
        <w:t>臺</w:t>
      </w:r>
      <w:proofErr w:type="gramEnd"/>
      <w:r w:rsidRPr="00120BA0">
        <w:rPr>
          <w:rFonts w:eastAsia="標楷體"/>
          <w:color w:val="000000" w:themeColor="text1"/>
          <w:kern w:val="0"/>
          <w:sz w:val="28"/>
          <w:szCs w:val="32"/>
        </w:rPr>
        <w:t>旅遊人數</w:t>
      </w:r>
      <w:r w:rsidRPr="00120BA0">
        <w:rPr>
          <w:rFonts w:eastAsia="標楷體"/>
          <w:color w:val="000000" w:themeColor="text1"/>
          <w:kern w:val="0"/>
          <w:sz w:val="28"/>
          <w:szCs w:val="32"/>
        </w:rPr>
        <w:t>(</w:t>
      </w:r>
      <w:r w:rsidRPr="00120BA0">
        <w:rPr>
          <w:rFonts w:eastAsia="標楷體"/>
          <w:color w:val="000000" w:themeColor="text1"/>
          <w:kern w:val="0"/>
          <w:sz w:val="28"/>
          <w:szCs w:val="32"/>
        </w:rPr>
        <w:t>含團體旅遊及自由行</w:t>
      </w:r>
      <w:r w:rsidRPr="00120BA0">
        <w:rPr>
          <w:rFonts w:eastAsia="標楷體"/>
          <w:color w:val="000000" w:themeColor="text1"/>
          <w:kern w:val="0"/>
          <w:sz w:val="28"/>
          <w:szCs w:val="32"/>
        </w:rPr>
        <w:t>)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52</w:t>
      </w:r>
      <w:r w:rsidRPr="00120BA0">
        <w:rPr>
          <w:rFonts w:eastAsia="標楷體"/>
          <w:color w:val="000000" w:themeColor="text1"/>
          <w:kern w:val="0"/>
          <w:sz w:val="28"/>
          <w:szCs w:val="32"/>
        </w:rPr>
        <w:t>.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9</w:t>
      </w:r>
      <w:r w:rsidRPr="00120BA0">
        <w:rPr>
          <w:rFonts w:eastAsia="標楷體"/>
          <w:color w:val="000000" w:themeColor="text1"/>
          <w:kern w:val="0"/>
          <w:sz w:val="28"/>
          <w:szCs w:val="32"/>
        </w:rPr>
        <w:t>萬人，較上年同季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增加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20</w:t>
      </w:r>
      <w:r w:rsidRPr="00120BA0">
        <w:rPr>
          <w:rFonts w:eastAsia="標楷體"/>
          <w:color w:val="000000" w:themeColor="text1"/>
          <w:kern w:val="0"/>
          <w:sz w:val="28"/>
          <w:szCs w:val="32"/>
        </w:rPr>
        <w:t>.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6</w:t>
      </w:r>
      <w:r w:rsidRPr="00120BA0">
        <w:rPr>
          <w:rFonts w:eastAsia="標楷體"/>
          <w:color w:val="000000" w:themeColor="text1"/>
          <w:kern w:val="0"/>
          <w:sz w:val="28"/>
          <w:szCs w:val="32"/>
        </w:rPr>
        <w:t>%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，亦較第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3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季增加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3.6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萬人，漸有回溫現象</w:t>
      </w:r>
      <w:r w:rsidRPr="00120BA0">
        <w:rPr>
          <w:rFonts w:eastAsia="標楷體"/>
          <w:color w:val="000000" w:themeColor="text1"/>
          <w:kern w:val="0"/>
          <w:sz w:val="28"/>
          <w:szCs w:val="32"/>
        </w:rPr>
        <w:t>。</w:t>
      </w:r>
      <w:r w:rsidRPr="00120BA0">
        <w:rPr>
          <w:rFonts w:eastAsia="標楷體"/>
          <w:color w:val="000000" w:themeColor="text1"/>
          <w:kern w:val="0"/>
          <w:sz w:val="28"/>
          <w:szCs w:val="32"/>
        </w:rPr>
        <w:lastRenderedPageBreak/>
        <w:t>其中團體旅遊人數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較第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3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季增加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3.9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萬人，成長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18</w:t>
      </w:r>
      <w:r w:rsidRPr="00120BA0">
        <w:rPr>
          <w:rFonts w:eastAsia="標楷體"/>
          <w:color w:val="000000" w:themeColor="text1"/>
          <w:kern w:val="0"/>
          <w:sz w:val="28"/>
          <w:szCs w:val="32"/>
        </w:rPr>
        <w:t>.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4</w:t>
      </w:r>
      <w:r w:rsidRPr="00120BA0">
        <w:rPr>
          <w:rFonts w:eastAsia="標楷體"/>
          <w:color w:val="000000" w:themeColor="text1"/>
          <w:kern w:val="0"/>
          <w:sz w:val="28"/>
          <w:szCs w:val="32"/>
        </w:rPr>
        <w:t>%</w:t>
      </w:r>
      <w:r w:rsidRPr="00120BA0">
        <w:rPr>
          <w:rFonts w:eastAsia="標楷體"/>
          <w:color w:val="000000" w:themeColor="text1"/>
          <w:kern w:val="0"/>
          <w:sz w:val="28"/>
          <w:szCs w:val="32"/>
        </w:rPr>
        <w:t>；自由行人數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則較第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3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季微減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0.3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萬人，減幅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1.1%</w:t>
      </w:r>
      <w:r w:rsidRPr="00120BA0">
        <w:rPr>
          <w:rFonts w:eastAsia="標楷體"/>
          <w:color w:val="000000" w:themeColor="text1"/>
          <w:kern w:val="0"/>
          <w:sz w:val="28"/>
          <w:szCs w:val="32"/>
        </w:rPr>
        <w:t>。雖然</w:t>
      </w:r>
      <w:proofErr w:type="gramStart"/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第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4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季陸客</w:t>
      </w:r>
      <w:proofErr w:type="gramEnd"/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來</w:t>
      </w:r>
      <w:proofErr w:type="gramStart"/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臺</w:t>
      </w:r>
      <w:proofErr w:type="gramEnd"/>
      <w:r w:rsidRPr="00120BA0">
        <w:rPr>
          <w:rFonts w:eastAsia="標楷體"/>
          <w:color w:val="000000" w:themeColor="text1"/>
          <w:kern w:val="0"/>
          <w:sz w:val="28"/>
          <w:szCs w:val="32"/>
        </w:rPr>
        <w:t>人次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已較第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3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季</w:t>
      </w:r>
      <w:r w:rsidRPr="00120BA0">
        <w:rPr>
          <w:rFonts w:eastAsia="標楷體"/>
          <w:color w:val="000000" w:themeColor="text1"/>
          <w:kern w:val="0"/>
          <w:sz w:val="28"/>
          <w:szCs w:val="32"/>
        </w:rPr>
        <w:t>增加，</w:t>
      </w:r>
      <w:r w:rsidRPr="00120BA0">
        <w:rPr>
          <w:rFonts w:eastAsia="標楷體" w:hint="eastAsia"/>
          <w:color w:val="000000" w:themeColor="text1"/>
          <w:kern w:val="0"/>
          <w:sz w:val="28"/>
          <w:szCs w:val="32"/>
        </w:rPr>
        <w:t>惟後續走勢仍待觀察</w:t>
      </w:r>
      <w:r w:rsidRPr="00120BA0">
        <w:rPr>
          <w:rFonts w:eastAsia="標楷體"/>
          <w:color w:val="000000" w:themeColor="text1"/>
          <w:kern w:val="0"/>
          <w:sz w:val="28"/>
          <w:szCs w:val="32"/>
        </w:rPr>
        <w:t>。</w:t>
      </w:r>
    </w:p>
    <w:p w:rsidR="00120BA0" w:rsidRPr="00120BA0" w:rsidRDefault="00120BA0" w:rsidP="00120BA0">
      <w:pPr>
        <w:pageBreakBefore/>
        <w:widowControl/>
        <w:spacing w:line="300" w:lineRule="exact"/>
        <w:jc w:val="center"/>
        <w:rPr>
          <w:rFonts w:eastAsia="標楷體"/>
          <w:b/>
          <w:color w:val="000000" w:themeColor="text1"/>
          <w:kern w:val="0"/>
          <w:sz w:val="28"/>
          <w:szCs w:val="32"/>
        </w:rPr>
      </w:pPr>
      <w:r w:rsidRPr="00120BA0">
        <w:rPr>
          <w:rFonts w:eastAsia="標楷體"/>
          <w:b/>
          <w:color w:val="000000" w:themeColor="text1"/>
          <w:kern w:val="0"/>
          <w:sz w:val="28"/>
          <w:szCs w:val="32"/>
        </w:rPr>
        <w:lastRenderedPageBreak/>
        <w:t>表</w:t>
      </w:r>
      <w:r w:rsidRPr="00120BA0">
        <w:rPr>
          <w:rFonts w:eastAsia="標楷體"/>
          <w:b/>
          <w:color w:val="000000" w:themeColor="text1"/>
          <w:kern w:val="0"/>
          <w:sz w:val="28"/>
          <w:szCs w:val="32"/>
        </w:rPr>
        <w:t>2-6</w:t>
      </w:r>
      <w:r w:rsidRPr="00120BA0">
        <w:rPr>
          <w:rFonts w:eastAsia="標楷體"/>
          <w:b/>
          <w:color w:val="000000" w:themeColor="text1"/>
          <w:kern w:val="0"/>
          <w:sz w:val="28"/>
          <w:szCs w:val="32"/>
        </w:rPr>
        <w:t xml:space="preserve">　臺灣對中國大陸主要出口貨品</w:t>
      </w:r>
    </w:p>
    <w:p w:rsidR="00120BA0" w:rsidRPr="00120BA0" w:rsidRDefault="00120BA0" w:rsidP="00120BA0">
      <w:pPr>
        <w:widowControl/>
        <w:spacing w:line="260" w:lineRule="exact"/>
        <w:ind w:rightChars="-59" w:right="-142"/>
        <w:jc w:val="right"/>
        <w:rPr>
          <w:rFonts w:ascii="標楷體" w:eastAsia="標楷體" w:hAnsi="標楷體"/>
          <w:color w:val="000000" w:themeColor="text1"/>
          <w:kern w:val="0"/>
          <w:sz w:val="20"/>
          <w:szCs w:val="22"/>
        </w:rPr>
      </w:pPr>
      <w:r w:rsidRPr="00120BA0">
        <w:rPr>
          <w:rFonts w:ascii="標楷體" w:eastAsia="標楷體" w:hAnsi="標楷體" w:hint="eastAsia"/>
          <w:color w:val="000000" w:themeColor="text1"/>
          <w:kern w:val="0"/>
          <w:sz w:val="20"/>
          <w:szCs w:val="22"/>
        </w:rPr>
        <w:t>單位：百萬美元；%</w:t>
      </w:r>
    </w:p>
    <w:tbl>
      <w:tblPr>
        <w:tblW w:w="8946" w:type="dxa"/>
        <w:tblInd w:w="-2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453"/>
        <w:gridCol w:w="1453"/>
        <w:gridCol w:w="1453"/>
        <w:gridCol w:w="1453"/>
        <w:gridCol w:w="1454"/>
      </w:tblGrid>
      <w:tr w:rsidR="00120BA0" w:rsidRPr="00120BA0" w:rsidTr="00453E30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20"/>
                <w:szCs w:val="22"/>
              </w:rPr>
            </w:pPr>
            <w:r w:rsidRPr="00120BA0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0"/>
                <w:szCs w:val="22"/>
              </w:rPr>
              <w:t>年  季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總計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礦產品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化學品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120BA0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塑</w:t>
            </w:r>
            <w:proofErr w:type="gramEnd"/>
            <w:r w:rsidRPr="00120BA0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橡膠製品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紡織品</w:t>
            </w:r>
          </w:p>
        </w:tc>
      </w:tr>
      <w:tr w:rsidR="00120BA0" w:rsidRPr="00120BA0" w:rsidTr="00453E30">
        <w:tc>
          <w:tcPr>
            <w:tcW w:w="8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2"/>
              </w:rPr>
            </w:pPr>
            <w:r w:rsidRPr="00120BA0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2"/>
              </w:rPr>
              <w:t>金額</w:t>
            </w:r>
          </w:p>
        </w:tc>
      </w:tr>
      <w:tr w:rsidR="00120BA0" w:rsidRPr="00120BA0" w:rsidTr="00453E30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2016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73,898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1,306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7,556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6,490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1,849</w:t>
            </w:r>
          </w:p>
        </w:tc>
      </w:tr>
      <w:tr w:rsidR="00120BA0" w:rsidRPr="00120BA0" w:rsidTr="00453E30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15,396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375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1,675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1,400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424</w:t>
            </w:r>
          </w:p>
        </w:tc>
      </w:tr>
      <w:tr w:rsidR="00120BA0" w:rsidRPr="00120BA0" w:rsidTr="00453E30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17,418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1,994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1,558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493</w:t>
            </w:r>
          </w:p>
        </w:tc>
      </w:tr>
      <w:tr w:rsidR="00120BA0" w:rsidRPr="00120BA0" w:rsidTr="00453E30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18,774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1,773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1,586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433</w:t>
            </w:r>
          </w:p>
        </w:tc>
      </w:tr>
      <w:tr w:rsidR="00120BA0" w:rsidRPr="00120BA0" w:rsidTr="00453E30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4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22,310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2,114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1,946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499</w:t>
            </w:r>
          </w:p>
        </w:tc>
      </w:tr>
      <w:tr w:rsidR="00120BA0" w:rsidRPr="00120BA0" w:rsidTr="00453E30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2017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88,996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1,221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8,659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7,779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1,940</w:t>
            </w:r>
          </w:p>
        </w:tc>
      </w:tr>
      <w:tr w:rsidR="00120BA0" w:rsidRPr="00120BA0" w:rsidTr="00453E30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   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19,544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2,140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1,778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430</w:t>
            </w:r>
          </w:p>
        </w:tc>
      </w:tr>
      <w:tr w:rsidR="00120BA0" w:rsidRPr="00120BA0" w:rsidTr="00453E30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20,445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282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1,905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1,771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502</w:t>
            </w:r>
          </w:p>
        </w:tc>
      </w:tr>
      <w:tr w:rsidR="00120BA0" w:rsidRPr="00120BA0" w:rsidTr="00453E30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,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324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326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,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206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986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48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120BA0" w:rsidRPr="00120BA0" w:rsidTr="00453E30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季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25,705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296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2,412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2,253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50" w:right="36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526</w:t>
            </w:r>
          </w:p>
        </w:tc>
      </w:tr>
      <w:tr w:rsidR="00120BA0" w:rsidRPr="00120BA0" w:rsidTr="00453E30">
        <w:tc>
          <w:tcPr>
            <w:tcW w:w="8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年增率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2"/>
              </w:rPr>
              <w:t>/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占比</w:t>
            </w:r>
          </w:p>
        </w:tc>
      </w:tr>
      <w:tr w:rsidR="00120BA0" w:rsidRPr="00120BA0" w:rsidTr="00453E30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2016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0.7/93.0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-12.1/1.8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-6.7/10.2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-6.8/8.8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-10.1/2.5</w:t>
            </w:r>
          </w:p>
        </w:tc>
      </w:tr>
      <w:tr w:rsidR="00120BA0" w:rsidRPr="00120BA0" w:rsidTr="00453E30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2017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20.5/95.2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-6.6/1.4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14.8/9.7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19.9/8.7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4.9/2.2</w:t>
            </w:r>
          </w:p>
        </w:tc>
      </w:tr>
      <w:tr w:rsidR="00120BA0" w:rsidRPr="00120BA0" w:rsidTr="00453E30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   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27.0/95.2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-15.2/1.6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27.8/10.9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27.1/9.1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1.4/2.2</w:t>
            </w:r>
          </w:p>
        </w:tc>
      </w:tr>
      <w:tr w:rsidR="00120BA0" w:rsidRPr="00120BA0" w:rsidTr="00453E30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17.4/93.5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-9.2/1.4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-4.0/9.3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13.7/8.7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1.9/2.5</w:t>
            </w:r>
          </w:p>
        </w:tc>
      </w:tr>
      <w:tr w:rsidR="00120BA0" w:rsidRPr="00120BA0" w:rsidTr="00453E30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24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.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/93.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.2/1.4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24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.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/9.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25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.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/8.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1.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/2.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120BA0" w:rsidRPr="00120BA0" w:rsidTr="00453E30"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季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15.2/95.4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-5.7/1.2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14.1/9.4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15.8/8.8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5.4/2.0</w:t>
            </w:r>
          </w:p>
        </w:tc>
      </w:tr>
    </w:tbl>
    <w:p w:rsidR="00120BA0" w:rsidRPr="00120BA0" w:rsidRDefault="00120BA0" w:rsidP="00120BA0">
      <w:pPr>
        <w:widowControl/>
        <w:adjustRightInd w:val="0"/>
        <w:snapToGrid w:val="0"/>
        <w:spacing w:line="320" w:lineRule="exact"/>
        <w:ind w:rightChars="100" w:right="240"/>
        <w:jc w:val="right"/>
        <w:rPr>
          <w:rFonts w:eastAsia="標楷體"/>
          <w:color w:val="000000" w:themeColor="text1"/>
          <w:kern w:val="0"/>
          <w:sz w:val="20"/>
          <w:szCs w:val="20"/>
        </w:rPr>
      </w:pPr>
    </w:p>
    <w:tbl>
      <w:tblPr>
        <w:tblW w:w="907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256"/>
        <w:gridCol w:w="1206"/>
        <w:gridCol w:w="1205"/>
        <w:gridCol w:w="1205"/>
        <w:gridCol w:w="1205"/>
        <w:gridCol w:w="1331"/>
      </w:tblGrid>
      <w:tr w:rsidR="00120BA0" w:rsidRPr="00120BA0" w:rsidTr="00453E30"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0"/>
                <w:szCs w:val="22"/>
              </w:rPr>
            </w:pPr>
            <w:r w:rsidRPr="00120BA0">
              <w:rPr>
                <w:rFonts w:eastAsia="標楷體"/>
                <w:b/>
                <w:color w:val="000000" w:themeColor="text1"/>
                <w:kern w:val="0"/>
                <w:sz w:val="20"/>
                <w:szCs w:val="22"/>
              </w:rPr>
              <w:t>年</w:t>
            </w:r>
            <w:r w:rsidRPr="00120BA0">
              <w:rPr>
                <w:rFonts w:eastAsia="標楷體"/>
                <w:b/>
                <w:color w:val="000000" w:themeColor="text1"/>
                <w:kern w:val="0"/>
                <w:sz w:val="20"/>
                <w:szCs w:val="22"/>
              </w:rPr>
              <w:t xml:space="preserve">  </w:t>
            </w:r>
            <w:r w:rsidRPr="00120BA0">
              <w:rPr>
                <w:rFonts w:eastAsia="標楷體"/>
                <w:b/>
                <w:color w:val="000000" w:themeColor="text1"/>
                <w:kern w:val="0"/>
                <w:sz w:val="20"/>
                <w:szCs w:val="22"/>
              </w:rPr>
              <w:t>季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  <w:t>基本金屬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  <w:t>電子產品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  <w:t>機械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  <w:t>電機產品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  <w:t>資通產品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  <w:t>光學器材</w:t>
            </w:r>
          </w:p>
        </w:tc>
      </w:tr>
      <w:tr w:rsidR="00120BA0" w:rsidRPr="00120BA0" w:rsidTr="00453E30">
        <w:tc>
          <w:tcPr>
            <w:tcW w:w="9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4" w:right="34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金額</w:t>
            </w:r>
          </w:p>
        </w:tc>
      </w:tr>
      <w:tr w:rsidR="00120BA0" w:rsidRPr="00120BA0" w:rsidTr="00453E30"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2016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4,510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26,019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5,260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1,889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6,440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7,417</w:t>
            </w:r>
          </w:p>
        </w:tc>
      </w:tr>
      <w:tr w:rsidR="00120BA0" w:rsidRPr="00120BA0" w:rsidTr="00453E30"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908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4,994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1,114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409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1,326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1,660</w:t>
            </w:r>
          </w:p>
        </w:tc>
      </w:tr>
      <w:tr w:rsidR="00120BA0" w:rsidRPr="00120BA0" w:rsidTr="00453E30"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1,030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5,389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1,370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473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1,548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1,800</w:t>
            </w:r>
          </w:p>
        </w:tc>
      </w:tr>
      <w:tr w:rsidR="00120BA0" w:rsidRPr="00120BA0" w:rsidTr="00453E30"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1,165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7,058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1,154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472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1,658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1,910</w:t>
            </w:r>
          </w:p>
        </w:tc>
      </w:tr>
      <w:tr w:rsidR="00120BA0" w:rsidRPr="00120BA0" w:rsidTr="00453E30"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4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1,407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8,578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1,622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535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1,908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2,047</w:t>
            </w:r>
          </w:p>
        </w:tc>
      </w:tr>
      <w:tr w:rsidR="00120BA0" w:rsidRPr="00120BA0" w:rsidTr="00453E30"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2017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5,830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32,922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7,777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2,087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7,235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9,284</w:t>
            </w:r>
          </w:p>
        </w:tc>
      </w:tr>
      <w:tr w:rsidR="00120BA0" w:rsidRPr="00120BA0" w:rsidTr="00453E30"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1,288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6,977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1,500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463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1,660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2,054</w:t>
            </w:r>
          </w:p>
        </w:tc>
      </w:tr>
      <w:tr w:rsidR="00120BA0" w:rsidRPr="00120BA0" w:rsidTr="00453E30"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1,415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7,065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1,893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553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1,772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1,954</w:t>
            </w:r>
          </w:p>
        </w:tc>
      </w:tr>
      <w:tr w:rsidR="00120BA0" w:rsidRPr="00120BA0" w:rsidTr="00453E30"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1,5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70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8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,5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,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104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53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906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,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171</w:t>
            </w:r>
          </w:p>
        </w:tc>
      </w:tr>
      <w:tr w:rsidR="00120BA0" w:rsidRPr="00120BA0" w:rsidTr="00453E30"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季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1,558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10,376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2,279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541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1,894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2,397</w:t>
            </w:r>
          </w:p>
        </w:tc>
      </w:tr>
      <w:tr w:rsidR="00120BA0" w:rsidRPr="00120BA0" w:rsidTr="00453E30">
        <w:tc>
          <w:tcPr>
            <w:tcW w:w="9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4" w:right="34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年增率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2"/>
              </w:rPr>
              <w:t>/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占比</w:t>
            </w:r>
          </w:p>
        </w:tc>
      </w:tr>
      <w:tr w:rsidR="00120BA0" w:rsidRPr="00120BA0" w:rsidTr="00453E30"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2016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-3.5/6.1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21.7/35.2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-2.7/7.1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-44.2/2.6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10.1/8.7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-17.0/10.0</w:t>
            </w:r>
          </w:p>
        </w:tc>
      </w:tr>
      <w:tr w:rsidR="00120BA0" w:rsidRPr="00120BA0" w:rsidTr="00453E30"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2017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29.2/6.6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26.5/37.0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47.9/8.7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10.8/2.3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12.5/8.1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7.3/10.4</w:t>
            </w:r>
          </w:p>
        </w:tc>
      </w:tr>
      <w:tr w:rsidR="00120BA0" w:rsidRPr="00120BA0" w:rsidTr="00453E30"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41.8/6.6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39.5/35.7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34.7/7.7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14.0/2.4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26.0/8.5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9.4/10.5</w:t>
            </w:r>
          </w:p>
        </w:tc>
      </w:tr>
      <w:tr w:rsidR="00120BA0" w:rsidRPr="00120BA0" w:rsidTr="00453E30"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37.4/6.9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31.1/34.6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38.2/9.3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17.4/2.7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14.4/8.7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9.2/9.6</w:t>
            </w:r>
          </w:p>
        </w:tc>
      </w:tr>
      <w:tr w:rsidR="00120BA0" w:rsidRPr="00120BA0" w:rsidTr="00453E30"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4.8/6.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20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.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/3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.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82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.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/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.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.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/2.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14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.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/8.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13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.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/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.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120BA0" w:rsidRPr="00120BA0" w:rsidTr="00453E30"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季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10.7/6.1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21.0/40.4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40.5/8.9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1.1/2.1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-0.7/7.4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17.1/9.3</w:t>
            </w:r>
          </w:p>
        </w:tc>
      </w:tr>
    </w:tbl>
    <w:p w:rsidR="00120BA0" w:rsidRPr="00120BA0" w:rsidRDefault="00120BA0" w:rsidP="00120BA0">
      <w:pPr>
        <w:widowControl/>
        <w:spacing w:line="260" w:lineRule="exact"/>
        <w:rPr>
          <w:rFonts w:eastAsia="標楷體"/>
          <w:color w:val="000000" w:themeColor="text1"/>
          <w:kern w:val="0"/>
          <w:sz w:val="20"/>
          <w:szCs w:val="20"/>
        </w:rPr>
      </w:pPr>
      <w:proofErr w:type="gramStart"/>
      <w:r w:rsidRPr="00120BA0">
        <w:rPr>
          <w:rFonts w:eastAsia="標楷體"/>
          <w:color w:val="000000" w:themeColor="text1"/>
          <w:kern w:val="0"/>
          <w:sz w:val="20"/>
          <w:szCs w:val="20"/>
        </w:rPr>
        <w:t>註</w:t>
      </w:r>
      <w:proofErr w:type="gramEnd"/>
      <w:r w:rsidRPr="00120BA0">
        <w:rPr>
          <w:rFonts w:eastAsia="標楷體"/>
          <w:color w:val="000000" w:themeColor="text1"/>
          <w:kern w:val="0"/>
          <w:sz w:val="20"/>
          <w:szCs w:val="20"/>
        </w:rPr>
        <w:t>：年</w:t>
      </w:r>
      <w:proofErr w:type="gramStart"/>
      <w:r w:rsidRPr="00120BA0">
        <w:rPr>
          <w:rFonts w:eastAsia="標楷體"/>
          <w:color w:val="000000" w:themeColor="text1"/>
          <w:kern w:val="0"/>
          <w:sz w:val="20"/>
          <w:szCs w:val="20"/>
        </w:rPr>
        <w:t>增率係指</w:t>
      </w:r>
      <w:proofErr w:type="gramEnd"/>
      <w:r w:rsidRPr="00120BA0">
        <w:rPr>
          <w:rFonts w:eastAsia="標楷體"/>
          <w:color w:val="000000" w:themeColor="text1"/>
          <w:kern w:val="0"/>
          <w:sz w:val="20"/>
          <w:szCs w:val="20"/>
        </w:rPr>
        <w:t>較上年或上年同期增減比率。</w:t>
      </w:r>
    </w:p>
    <w:p w:rsidR="00120BA0" w:rsidRPr="00120BA0" w:rsidRDefault="00120BA0" w:rsidP="00120BA0">
      <w:pPr>
        <w:widowControl/>
        <w:spacing w:line="260" w:lineRule="exact"/>
        <w:rPr>
          <w:rFonts w:ascii="標楷體" w:eastAsia="標楷體" w:hAnsi="標楷體"/>
          <w:color w:val="000000" w:themeColor="text1"/>
        </w:rPr>
      </w:pPr>
      <w:r w:rsidRPr="00120BA0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資料來源：財政部海關統計。</w:t>
      </w:r>
    </w:p>
    <w:p w:rsidR="00120BA0" w:rsidRPr="00120BA0" w:rsidRDefault="00120BA0" w:rsidP="00120BA0">
      <w:pPr>
        <w:pageBreakBefore/>
        <w:widowControl/>
        <w:tabs>
          <w:tab w:val="center" w:pos="4251"/>
        </w:tabs>
        <w:spacing w:line="440" w:lineRule="exact"/>
        <w:ind w:left="-540" w:firstLine="538"/>
        <w:rPr>
          <w:rFonts w:eastAsia="標楷體"/>
          <w:b/>
          <w:color w:val="000000" w:themeColor="text1"/>
          <w:kern w:val="0"/>
          <w:sz w:val="28"/>
          <w:szCs w:val="32"/>
        </w:rPr>
      </w:pPr>
      <w:r w:rsidRPr="00120BA0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32"/>
        </w:rPr>
        <w:lastRenderedPageBreak/>
        <w:tab/>
      </w:r>
      <w:r w:rsidRPr="00120BA0">
        <w:rPr>
          <w:rFonts w:eastAsia="標楷體"/>
          <w:b/>
          <w:color w:val="000000" w:themeColor="text1"/>
          <w:kern w:val="0"/>
          <w:sz w:val="28"/>
          <w:szCs w:val="32"/>
        </w:rPr>
        <w:t>表</w:t>
      </w:r>
      <w:r w:rsidRPr="00120BA0">
        <w:rPr>
          <w:rFonts w:eastAsia="標楷體"/>
          <w:b/>
          <w:color w:val="000000" w:themeColor="text1"/>
          <w:kern w:val="0"/>
          <w:sz w:val="28"/>
          <w:szCs w:val="32"/>
        </w:rPr>
        <w:t>2-7</w:t>
      </w:r>
      <w:r w:rsidRPr="00120BA0">
        <w:rPr>
          <w:rFonts w:eastAsia="標楷體"/>
          <w:b/>
          <w:color w:val="000000" w:themeColor="text1"/>
          <w:kern w:val="0"/>
          <w:sz w:val="28"/>
          <w:szCs w:val="32"/>
        </w:rPr>
        <w:t xml:space="preserve">　臺灣自中國大陸主要進口貨品</w:t>
      </w:r>
    </w:p>
    <w:p w:rsidR="00120BA0" w:rsidRPr="00120BA0" w:rsidRDefault="00120BA0" w:rsidP="00120BA0">
      <w:pPr>
        <w:widowControl/>
        <w:wordWrap w:val="0"/>
        <w:spacing w:line="240" w:lineRule="exact"/>
        <w:jc w:val="right"/>
        <w:rPr>
          <w:rFonts w:eastAsia="標楷體"/>
          <w:color w:val="000000" w:themeColor="text1"/>
          <w:kern w:val="0"/>
          <w:sz w:val="20"/>
          <w:szCs w:val="22"/>
        </w:rPr>
      </w:pPr>
      <w:r w:rsidRPr="00120BA0">
        <w:rPr>
          <w:rFonts w:eastAsia="標楷體"/>
          <w:color w:val="000000" w:themeColor="text1"/>
          <w:kern w:val="0"/>
          <w:sz w:val="20"/>
          <w:szCs w:val="22"/>
        </w:rPr>
        <w:t xml:space="preserve">    </w:t>
      </w:r>
      <w:r w:rsidRPr="00120BA0">
        <w:rPr>
          <w:rFonts w:eastAsia="標楷體"/>
          <w:color w:val="000000" w:themeColor="text1"/>
          <w:kern w:val="0"/>
          <w:sz w:val="20"/>
          <w:szCs w:val="22"/>
        </w:rPr>
        <w:t>單位：百萬美元；</w:t>
      </w:r>
      <w:r w:rsidRPr="00120BA0">
        <w:rPr>
          <w:rFonts w:eastAsia="標楷體" w:hint="eastAsia"/>
          <w:color w:val="000000" w:themeColor="text1"/>
          <w:kern w:val="0"/>
          <w:sz w:val="20"/>
          <w:szCs w:val="22"/>
        </w:rPr>
        <w:t>%</w:t>
      </w:r>
    </w:p>
    <w:tbl>
      <w:tblPr>
        <w:tblW w:w="871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1450"/>
        <w:gridCol w:w="1451"/>
        <w:gridCol w:w="1450"/>
        <w:gridCol w:w="1451"/>
        <w:gridCol w:w="1451"/>
      </w:tblGrid>
      <w:tr w:rsidR="00120BA0" w:rsidRPr="00120BA0" w:rsidTr="00453E30">
        <w:trPr>
          <w:jc w:val="center"/>
        </w:trPr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0"/>
                <w:szCs w:val="22"/>
              </w:rPr>
            </w:pPr>
            <w:r w:rsidRPr="00120BA0">
              <w:rPr>
                <w:rFonts w:eastAsia="標楷體"/>
                <w:b/>
                <w:color w:val="000000" w:themeColor="text1"/>
                <w:kern w:val="0"/>
                <w:sz w:val="20"/>
                <w:szCs w:val="22"/>
              </w:rPr>
              <w:t>年</w:t>
            </w:r>
            <w:r w:rsidRPr="00120BA0">
              <w:rPr>
                <w:rFonts w:eastAsia="標楷體"/>
                <w:b/>
                <w:color w:val="000000" w:themeColor="text1"/>
                <w:kern w:val="0"/>
                <w:sz w:val="20"/>
                <w:szCs w:val="22"/>
              </w:rPr>
              <w:t xml:space="preserve">  </w:t>
            </w:r>
            <w:r w:rsidRPr="00120BA0">
              <w:rPr>
                <w:rFonts w:eastAsia="標楷體"/>
                <w:b/>
                <w:color w:val="000000" w:themeColor="text1"/>
                <w:kern w:val="0"/>
                <w:sz w:val="20"/>
                <w:szCs w:val="22"/>
              </w:rPr>
              <w:t>季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  <w:t>總計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  <w:t>化學品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  <w:t>塑膠製品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  <w:t>紡織品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  <w:t>基本金屬</w:t>
            </w:r>
          </w:p>
        </w:tc>
      </w:tr>
      <w:tr w:rsidR="00120BA0" w:rsidRPr="00120BA0" w:rsidTr="00453E30">
        <w:trPr>
          <w:jc w:val="center"/>
        </w:trPr>
        <w:tc>
          <w:tcPr>
            <w:tcW w:w="8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2"/>
              </w:rPr>
              <w:t>金額</w:t>
            </w:r>
          </w:p>
        </w:tc>
      </w:tr>
      <w:tr w:rsidR="00120BA0" w:rsidRPr="00120BA0" w:rsidTr="00453E30">
        <w:trPr>
          <w:jc w:val="center"/>
        </w:trPr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43,997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4,387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710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1,436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4,092</w:t>
            </w:r>
          </w:p>
        </w:tc>
      </w:tr>
      <w:tr w:rsidR="00120BA0" w:rsidRPr="00120BA0" w:rsidTr="00453E30">
        <w:trPr>
          <w:jc w:val="center"/>
        </w:trPr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9,968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1,093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158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328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886</w:t>
            </w:r>
          </w:p>
        </w:tc>
      </w:tr>
      <w:tr w:rsidR="00120BA0" w:rsidRPr="00120BA0" w:rsidTr="00453E30">
        <w:trPr>
          <w:jc w:val="center"/>
        </w:trPr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10,997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1,215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187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316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1,136</w:t>
            </w:r>
          </w:p>
        </w:tc>
      </w:tr>
      <w:tr w:rsidR="00120BA0" w:rsidRPr="00120BA0" w:rsidTr="00453E30">
        <w:trPr>
          <w:jc w:val="center"/>
        </w:trPr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11,179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961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181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365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1,043</w:t>
            </w:r>
          </w:p>
        </w:tc>
      </w:tr>
      <w:tr w:rsidR="00120BA0" w:rsidRPr="00120BA0" w:rsidTr="00453E30">
        <w:trPr>
          <w:jc w:val="center"/>
        </w:trPr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4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11,854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1,118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184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427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1,027</w:t>
            </w:r>
          </w:p>
        </w:tc>
      </w:tr>
      <w:tr w:rsidR="00120BA0" w:rsidRPr="00120BA0" w:rsidTr="00453E30">
        <w:trPr>
          <w:jc w:val="center"/>
        </w:trPr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50,045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4,356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779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1,446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4,604</w:t>
            </w:r>
          </w:p>
        </w:tc>
      </w:tr>
      <w:tr w:rsidR="00120BA0" w:rsidRPr="00120BA0" w:rsidTr="00453E30">
        <w:trPr>
          <w:jc w:val="center"/>
        </w:trPr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11,036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1,018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170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1,073</w:t>
            </w:r>
          </w:p>
        </w:tc>
      </w:tr>
      <w:tr w:rsidR="00120BA0" w:rsidRPr="00120BA0" w:rsidTr="00453E30">
        <w:trPr>
          <w:jc w:val="center"/>
        </w:trPr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12,090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1,061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198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328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1,195</w:t>
            </w:r>
          </w:p>
        </w:tc>
      </w:tr>
      <w:tr w:rsidR="00120BA0" w:rsidRPr="00120BA0" w:rsidTr="00453E30">
        <w:trPr>
          <w:jc w:val="center"/>
        </w:trPr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,0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79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1,1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202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74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1,1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</w:tr>
      <w:tr w:rsidR="00120BA0" w:rsidRPr="00120BA0" w:rsidTr="00453E30">
        <w:trPr>
          <w:jc w:val="center"/>
        </w:trPr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季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13,837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1,156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209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435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1,216</w:t>
            </w:r>
          </w:p>
        </w:tc>
      </w:tr>
      <w:tr w:rsidR="00120BA0" w:rsidRPr="00120BA0" w:rsidTr="00453E30">
        <w:trPr>
          <w:jc w:val="center"/>
        </w:trPr>
        <w:tc>
          <w:tcPr>
            <w:tcW w:w="8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2"/>
              </w:rPr>
              <w:t>年增率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2"/>
              </w:rPr>
              <w:t>/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2"/>
              </w:rPr>
              <w:t>占比</w:t>
            </w:r>
          </w:p>
        </w:tc>
      </w:tr>
      <w:tr w:rsidR="00120BA0" w:rsidRPr="00120BA0" w:rsidTr="00453E30">
        <w:trPr>
          <w:jc w:val="center"/>
        </w:trPr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-2.8/85.3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-4.1/10.0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-2.8/1.6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-5.9/3.3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-5.9/9.3</w:t>
            </w:r>
          </w:p>
        </w:tc>
      </w:tr>
      <w:tr w:rsidR="00120BA0" w:rsidRPr="00120BA0" w:rsidTr="00453E30">
        <w:trPr>
          <w:jc w:val="center"/>
        </w:trPr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13.8/86.1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-0.7/8.7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9.7/1.6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0.7/2.9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12.5/9.2</w:t>
            </w:r>
          </w:p>
        </w:tc>
      </w:tr>
      <w:tr w:rsidR="00120BA0" w:rsidRPr="00120BA0" w:rsidTr="00453E30">
        <w:trPr>
          <w:jc w:val="center"/>
        </w:trPr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10.8/87.6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-6.8/9.2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7.6/1.5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-4.5/2.8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21.1/9.7</w:t>
            </w:r>
          </w:p>
        </w:tc>
      </w:tr>
      <w:tr w:rsidR="00120BA0" w:rsidRPr="00120BA0" w:rsidTr="00453E30">
        <w:trPr>
          <w:jc w:val="center"/>
        </w:trPr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10.0/85.3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-12.7/8.8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5.8/1.6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3.7/2.7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5.2/9.9</w:t>
            </w:r>
          </w:p>
        </w:tc>
      </w:tr>
      <w:tr w:rsidR="00120BA0" w:rsidRPr="00120BA0" w:rsidTr="00453E30">
        <w:trPr>
          <w:jc w:val="center"/>
        </w:trPr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.0/8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.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.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/8.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.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/1.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.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/2.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.2/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8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.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</w:tr>
      <w:tr w:rsidR="00120BA0" w:rsidRPr="00120BA0" w:rsidTr="00453E30">
        <w:trPr>
          <w:jc w:val="center"/>
        </w:trPr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季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16.7/86.4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3.4/8.4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13.6/1.5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1.9/3.1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50" w:right="12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18.4/8.8</w:t>
            </w:r>
          </w:p>
        </w:tc>
      </w:tr>
    </w:tbl>
    <w:p w:rsidR="00120BA0" w:rsidRPr="00120BA0" w:rsidRDefault="00120BA0" w:rsidP="00120BA0">
      <w:pPr>
        <w:widowControl/>
        <w:spacing w:line="240" w:lineRule="atLeast"/>
        <w:rPr>
          <w:rFonts w:eastAsia="標楷體"/>
          <w:color w:val="000000" w:themeColor="text1"/>
          <w:kern w:val="0"/>
          <w:sz w:val="10"/>
          <w:szCs w:val="10"/>
        </w:rPr>
      </w:pPr>
    </w:p>
    <w:tbl>
      <w:tblPr>
        <w:tblW w:w="8720" w:type="dxa"/>
        <w:tblInd w:w="-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069"/>
        <w:gridCol w:w="1207"/>
        <w:gridCol w:w="1207"/>
        <w:gridCol w:w="1206"/>
        <w:gridCol w:w="1207"/>
        <w:gridCol w:w="1207"/>
      </w:tblGrid>
      <w:tr w:rsidR="00120BA0" w:rsidRPr="00120BA0" w:rsidTr="00453E30"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0"/>
                <w:szCs w:val="22"/>
              </w:rPr>
            </w:pPr>
            <w:r w:rsidRPr="00120BA0">
              <w:rPr>
                <w:rFonts w:eastAsia="標楷體"/>
                <w:b/>
                <w:color w:val="000000" w:themeColor="text1"/>
                <w:kern w:val="0"/>
                <w:sz w:val="20"/>
                <w:szCs w:val="22"/>
              </w:rPr>
              <w:t>年</w:t>
            </w:r>
            <w:r w:rsidRPr="00120BA0">
              <w:rPr>
                <w:rFonts w:eastAsia="標楷體"/>
                <w:b/>
                <w:color w:val="000000" w:themeColor="text1"/>
                <w:kern w:val="0"/>
                <w:sz w:val="20"/>
                <w:szCs w:val="22"/>
              </w:rPr>
              <w:t xml:space="preserve">  </w:t>
            </w:r>
            <w:r w:rsidRPr="00120BA0">
              <w:rPr>
                <w:rFonts w:eastAsia="標楷體"/>
                <w:b/>
                <w:color w:val="000000" w:themeColor="text1"/>
                <w:kern w:val="0"/>
                <w:sz w:val="20"/>
                <w:szCs w:val="22"/>
              </w:rPr>
              <w:t>季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  <w:t>電子產品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  <w:t>機械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  <w:t>電機產品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  <w:t>資通產品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  <w:t>運輸設備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b/>
                <w:bCs/>
                <w:color w:val="000000" w:themeColor="text1"/>
                <w:kern w:val="0"/>
                <w:sz w:val="22"/>
                <w:szCs w:val="22"/>
              </w:rPr>
              <w:t>光學器材</w:t>
            </w:r>
          </w:p>
        </w:tc>
      </w:tr>
      <w:tr w:rsidR="00120BA0" w:rsidRPr="00120BA0" w:rsidTr="00453E30">
        <w:tc>
          <w:tcPr>
            <w:tcW w:w="8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2"/>
              </w:rPr>
              <w:t>金額</w:t>
            </w:r>
          </w:p>
        </w:tc>
      </w:tr>
      <w:tr w:rsidR="00120BA0" w:rsidRPr="00120BA0" w:rsidTr="00453E30"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2016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9,231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3,329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3,047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8,637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1,022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1,626</w:t>
            </w:r>
          </w:p>
        </w:tc>
      </w:tr>
      <w:tr w:rsidR="00120BA0" w:rsidRPr="00120BA0" w:rsidTr="00453E30"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2,107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763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703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1,803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244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414</w:t>
            </w:r>
          </w:p>
        </w:tc>
      </w:tr>
      <w:tr w:rsidR="00120BA0" w:rsidRPr="00120BA0" w:rsidTr="00453E30"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2,197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914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785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1,909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275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453</w:t>
            </w:r>
          </w:p>
        </w:tc>
      </w:tr>
      <w:tr w:rsidR="00120BA0" w:rsidRPr="00120BA0" w:rsidTr="00453E30"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2,389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867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762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2,325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241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438</w:t>
            </w:r>
          </w:p>
        </w:tc>
      </w:tr>
      <w:tr w:rsidR="00120BA0" w:rsidRPr="00120BA0" w:rsidTr="00453E30"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4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2,538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785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797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2,600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262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321</w:t>
            </w:r>
          </w:p>
        </w:tc>
      </w:tr>
      <w:tr w:rsidR="00120BA0" w:rsidRPr="00120BA0" w:rsidTr="00453E30"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2017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12,050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3,345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3,328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10,642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968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1,558</w:t>
            </w:r>
          </w:p>
        </w:tc>
      </w:tr>
      <w:tr w:rsidR="00120BA0" w:rsidRPr="00120BA0" w:rsidTr="00453E30"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2,639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721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747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2,196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204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424</w:t>
            </w:r>
          </w:p>
        </w:tc>
      </w:tr>
      <w:tr w:rsidR="00120BA0" w:rsidRPr="00120BA0" w:rsidTr="00453E30"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2,849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846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844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2,268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255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469</w:t>
            </w:r>
          </w:p>
        </w:tc>
      </w:tr>
      <w:tr w:rsidR="00120BA0" w:rsidRPr="00120BA0" w:rsidTr="00453E30"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,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253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8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55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8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83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2,8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99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47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351</w:t>
            </w:r>
          </w:p>
        </w:tc>
      </w:tr>
      <w:tr w:rsidR="00120BA0" w:rsidRPr="00120BA0" w:rsidTr="00453E30"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季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3,309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922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854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3,278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263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ind w:rightChars="100" w:right="240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313</w:t>
            </w:r>
          </w:p>
        </w:tc>
      </w:tr>
      <w:tr w:rsidR="00120BA0" w:rsidRPr="00120BA0" w:rsidTr="00453E30">
        <w:tc>
          <w:tcPr>
            <w:tcW w:w="8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2"/>
              </w:rPr>
              <w:t>年增率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2"/>
              </w:rPr>
              <w:t>/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2"/>
              </w:rPr>
              <w:t>占比</w:t>
            </w:r>
          </w:p>
        </w:tc>
      </w:tr>
      <w:tr w:rsidR="00120BA0" w:rsidRPr="00120BA0" w:rsidTr="00453E30"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2016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5.5/21.0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7.6/7.6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-5.8/6.9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-6.1/19.6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-8.4/2.3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-12.5/3.7</w:t>
            </w:r>
          </w:p>
        </w:tc>
      </w:tr>
      <w:tr w:rsidR="00120BA0" w:rsidRPr="00120BA0" w:rsidTr="00453E30"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2017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30.5/24.1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0.5/6.7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9.2/6.7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23.2/21.3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-5.3/1.9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-4.2/3.1</w:t>
            </w:r>
          </w:p>
        </w:tc>
      </w:tr>
      <w:tr w:rsidR="00120BA0" w:rsidRPr="00120BA0" w:rsidTr="00453E30"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25.3/23.9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-5.4/6.5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6.4/6.8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21.8/19.9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-16.6/1.8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2.2/3.8</w:t>
            </w:r>
          </w:p>
        </w:tc>
      </w:tr>
      <w:tr w:rsidR="00120BA0" w:rsidRPr="00120BA0" w:rsidTr="00453E30"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29.7/23.6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-7.5/7.0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7.6/7.0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18.8/18.8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-7.2/2.1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3.9/3.9</w:t>
            </w:r>
          </w:p>
        </w:tc>
      </w:tr>
      <w:tr w:rsidR="00120BA0" w:rsidRPr="00120BA0" w:rsidTr="00453E30"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</w:t>
            </w:r>
            <w:r w:rsidRPr="00120BA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36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.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/2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.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-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.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/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.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15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.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/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.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24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.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/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22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.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.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/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.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-19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.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8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/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.</w:t>
            </w: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</w:tr>
      <w:tr w:rsidR="00120BA0" w:rsidRPr="00120BA0" w:rsidTr="00453E30"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第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4</w:t>
            </w:r>
            <w:r w:rsidRPr="00120BA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季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30.4/23.9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17.5/6.7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7.2/6.2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26.1/23.7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0.4/1.9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:rsidR="00120BA0" w:rsidRPr="00120BA0" w:rsidRDefault="00120BA0" w:rsidP="00120BA0">
            <w:pPr>
              <w:widowControl/>
              <w:adjustRightInd w:val="0"/>
              <w:snapToGrid w:val="0"/>
              <w:spacing w:line="320" w:lineRule="exact"/>
              <w:jc w:val="right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120BA0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-2.5/2.3</w:t>
            </w:r>
          </w:p>
        </w:tc>
      </w:tr>
    </w:tbl>
    <w:p w:rsidR="00120BA0" w:rsidRPr="00120BA0" w:rsidRDefault="00120BA0" w:rsidP="00120BA0">
      <w:pPr>
        <w:widowControl/>
        <w:spacing w:line="260" w:lineRule="exact"/>
        <w:rPr>
          <w:rFonts w:ascii="標楷體" w:eastAsia="標楷體" w:hAnsi="標楷體"/>
          <w:color w:val="000000" w:themeColor="text1"/>
          <w:kern w:val="0"/>
          <w:sz w:val="20"/>
          <w:szCs w:val="20"/>
        </w:rPr>
      </w:pPr>
      <w:proofErr w:type="gramStart"/>
      <w:r w:rsidRPr="00120BA0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註</w:t>
      </w:r>
      <w:proofErr w:type="gramEnd"/>
      <w:r w:rsidRPr="00120BA0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：年</w:t>
      </w:r>
      <w:proofErr w:type="gramStart"/>
      <w:r w:rsidRPr="00120BA0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增率係指</w:t>
      </w:r>
      <w:proofErr w:type="gramEnd"/>
      <w:r w:rsidRPr="00120BA0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較上年或上年同期增減比率。</w:t>
      </w:r>
    </w:p>
    <w:p w:rsidR="00120BA0" w:rsidRPr="00120BA0" w:rsidRDefault="00120BA0" w:rsidP="00120BA0">
      <w:r w:rsidRPr="00120BA0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資料來源：財政部海關</w:t>
      </w:r>
    </w:p>
    <w:p w:rsidR="004C5E81" w:rsidRPr="003469EC" w:rsidRDefault="004C5E81" w:rsidP="008A6AB4">
      <w:pPr>
        <w:sectPr w:rsidR="004C5E81" w:rsidRPr="003469EC" w:rsidSect="004D7776">
          <w:footerReference w:type="even" r:id="rId27"/>
          <w:pgSz w:w="11906" w:h="16838"/>
          <w:pgMar w:top="1440" w:right="1416" w:bottom="993" w:left="1418" w:header="851" w:footer="992" w:gutter="0"/>
          <w:cols w:space="425"/>
          <w:docGrid w:linePitch="360"/>
        </w:sectPr>
      </w:pPr>
    </w:p>
    <w:p w:rsidR="00CA340B" w:rsidRPr="006E7090" w:rsidRDefault="00CA340B" w:rsidP="00CA340B">
      <w:pPr>
        <w:keepNext/>
        <w:adjustRightInd w:val="0"/>
        <w:spacing w:after="180" w:line="720" w:lineRule="atLeast"/>
        <w:jc w:val="center"/>
        <w:textAlignment w:val="baseline"/>
        <w:outlineLvl w:val="0"/>
        <w:rPr>
          <w:rFonts w:eastAsia="標楷體"/>
          <w:b/>
          <w:bCs/>
          <w:color w:val="000000" w:themeColor="text1"/>
          <w:kern w:val="52"/>
          <w:sz w:val="22"/>
          <w:szCs w:val="52"/>
        </w:rPr>
      </w:pPr>
      <w:bookmarkStart w:id="17" w:name="_Toc466292778"/>
      <w:bookmarkStart w:id="18" w:name="_Toc481769102"/>
      <w:r w:rsidRPr="006E7090">
        <w:rPr>
          <w:rFonts w:eastAsia="標楷體"/>
          <w:b/>
          <w:bCs/>
          <w:color w:val="000000" w:themeColor="text1"/>
          <w:kern w:val="0"/>
          <w:sz w:val="28"/>
          <w:szCs w:val="32"/>
        </w:rPr>
        <w:lastRenderedPageBreak/>
        <w:t>附表</w:t>
      </w:r>
      <w:r w:rsidRPr="006E7090">
        <w:rPr>
          <w:rFonts w:eastAsia="標楷體"/>
          <w:b/>
          <w:bCs/>
          <w:color w:val="000000" w:themeColor="text1"/>
          <w:kern w:val="0"/>
          <w:sz w:val="28"/>
          <w:szCs w:val="32"/>
        </w:rPr>
        <w:t xml:space="preserve">  </w:t>
      </w:r>
      <w:r w:rsidRPr="006E7090">
        <w:rPr>
          <w:rFonts w:eastAsia="標楷體"/>
          <w:b/>
          <w:bCs/>
          <w:color w:val="000000" w:themeColor="text1"/>
          <w:kern w:val="0"/>
          <w:sz w:val="28"/>
          <w:szCs w:val="32"/>
        </w:rPr>
        <w:t>中國大陸重要經濟指標</w:t>
      </w:r>
      <w:bookmarkEnd w:id="17"/>
      <w:bookmarkEnd w:id="18"/>
    </w:p>
    <w:tbl>
      <w:tblPr>
        <w:tblStyle w:val="ae"/>
        <w:tblW w:w="15593" w:type="dxa"/>
        <w:tblInd w:w="-601" w:type="dxa"/>
        <w:tblLook w:val="04A0" w:firstRow="1" w:lastRow="0" w:firstColumn="1" w:lastColumn="0" w:noHBand="0" w:noVBand="1"/>
      </w:tblPr>
      <w:tblGrid>
        <w:gridCol w:w="981"/>
        <w:gridCol w:w="1135"/>
        <w:gridCol w:w="951"/>
        <w:gridCol w:w="1012"/>
        <w:gridCol w:w="889"/>
        <w:gridCol w:w="951"/>
        <w:gridCol w:w="951"/>
        <w:gridCol w:w="951"/>
        <w:gridCol w:w="951"/>
        <w:gridCol w:w="951"/>
        <w:gridCol w:w="1074"/>
        <w:gridCol w:w="1012"/>
        <w:gridCol w:w="931"/>
        <w:gridCol w:w="951"/>
        <w:gridCol w:w="951"/>
        <w:gridCol w:w="951"/>
      </w:tblGrid>
      <w:tr w:rsidR="00CA340B" w:rsidRPr="006E7090" w:rsidTr="00DC02F8">
        <w:trPr>
          <w:trHeight w:val="1032"/>
        </w:trPr>
        <w:tc>
          <w:tcPr>
            <w:tcW w:w="981" w:type="dxa"/>
            <w:tcBorders>
              <w:left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年</w:t>
            </w:r>
            <w:r w:rsidRPr="006E709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6E709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季</w:t>
            </w:r>
          </w:p>
        </w:tc>
        <w:tc>
          <w:tcPr>
            <w:tcW w:w="1135" w:type="dxa"/>
            <w:vAlign w:val="center"/>
          </w:tcPr>
          <w:p w:rsidR="00CA340B" w:rsidRPr="006E7090" w:rsidRDefault="00CA340B" w:rsidP="00DC02F8">
            <w:pPr>
              <w:widowControl/>
              <w:snapToGrid w:val="0"/>
              <w:spacing w:line="240" w:lineRule="exact"/>
              <w:ind w:leftChars="-35" w:left="-84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名目國內生產毛額</w:t>
            </w:r>
          </w:p>
          <w:p w:rsidR="00CA340B" w:rsidRPr="006E7090" w:rsidRDefault="00CA340B" w:rsidP="00DC02F8">
            <w:pPr>
              <w:widowControl/>
              <w:snapToGrid w:val="0"/>
              <w:spacing w:line="240" w:lineRule="exact"/>
              <w:ind w:leftChars="-50" w:left="-120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（人民幣億元）</w:t>
            </w:r>
          </w:p>
        </w:tc>
        <w:tc>
          <w:tcPr>
            <w:tcW w:w="951" w:type="dxa"/>
            <w:vAlign w:val="center"/>
          </w:tcPr>
          <w:p w:rsidR="00CA340B" w:rsidRPr="006E7090" w:rsidRDefault="00CA340B" w:rsidP="00DC02F8">
            <w:pPr>
              <w:widowControl/>
              <w:snapToGrid w:val="0"/>
              <w:spacing w:line="240" w:lineRule="exact"/>
              <w:ind w:leftChars="-40" w:left="-96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實質國內生產毛額</w:t>
            </w:r>
          </w:p>
          <w:p w:rsidR="00CA340B" w:rsidRPr="006E7090" w:rsidRDefault="00CA340B" w:rsidP="00DC02F8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成長率</w:t>
            </w:r>
          </w:p>
        </w:tc>
        <w:tc>
          <w:tcPr>
            <w:tcW w:w="1012" w:type="dxa"/>
            <w:vAlign w:val="center"/>
          </w:tcPr>
          <w:p w:rsidR="00CA340B" w:rsidRPr="006E7090" w:rsidRDefault="00CA340B" w:rsidP="00DC02F8">
            <w:pPr>
              <w:widowControl/>
              <w:snapToGrid w:val="0"/>
              <w:spacing w:line="240" w:lineRule="exact"/>
              <w:ind w:leftChars="-39" w:left="-94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名目人均</w:t>
            </w:r>
            <w:r w:rsidRPr="006E709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GDP</w:t>
            </w:r>
          </w:p>
          <w:p w:rsidR="00CA340B" w:rsidRPr="006E7090" w:rsidRDefault="00CA340B" w:rsidP="00DC02F8">
            <w:pPr>
              <w:snapToGrid w:val="0"/>
              <w:spacing w:line="240" w:lineRule="exact"/>
              <w:ind w:leftChars="-45" w:left="-108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（美元）</w:t>
            </w:r>
          </w:p>
        </w:tc>
        <w:tc>
          <w:tcPr>
            <w:tcW w:w="889" w:type="dxa"/>
            <w:vAlign w:val="center"/>
          </w:tcPr>
          <w:p w:rsidR="00CA340B" w:rsidRPr="006E7090" w:rsidRDefault="00CA340B" w:rsidP="00DC02F8">
            <w:pPr>
              <w:widowControl/>
              <w:snapToGrid w:val="0"/>
              <w:spacing w:line="240" w:lineRule="exact"/>
              <w:ind w:leftChars="-21" w:left="-50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一級產業成長率</w:t>
            </w:r>
          </w:p>
        </w:tc>
        <w:tc>
          <w:tcPr>
            <w:tcW w:w="951" w:type="dxa"/>
            <w:vAlign w:val="center"/>
          </w:tcPr>
          <w:p w:rsidR="00CA340B" w:rsidRPr="006E7090" w:rsidRDefault="00CA340B" w:rsidP="00DC02F8">
            <w:pPr>
              <w:widowControl/>
              <w:snapToGrid w:val="0"/>
              <w:spacing w:line="240" w:lineRule="exact"/>
              <w:ind w:leftChars="-33" w:left="-79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二級產業</w:t>
            </w:r>
          </w:p>
          <w:p w:rsidR="00CA340B" w:rsidRPr="006E7090" w:rsidRDefault="00CA340B" w:rsidP="00DC02F8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成長率</w:t>
            </w:r>
            <w:r w:rsidRPr="006E709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*</w:t>
            </w:r>
          </w:p>
        </w:tc>
        <w:tc>
          <w:tcPr>
            <w:tcW w:w="951" w:type="dxa"/>
            <w:vAlign w:val="center"/>
          </w:tcPr>
          <w:p w:rsidR="00CA340B" w:rsidRPr="006E7090" w:rsidRDefault="00CA340B" w:rsidP="00DC02F8">
            <w:pPr>
              <w:widowControl/>
              <w:snapToGrid w:val="0"/>
              <w:spacing w:line="240" w:lineRule="exact"/>
              <w:ind w:leftChars="-39" w:left="-94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工業</w:t>
            </w:r>
          </w:p>
          <w:p w:rsidR="00CA340B" w:rsidRPr="006E7090" w:rsidRDefault="00CA340B" w:rsidP="00DC02F8">
            <w:pPr>
              <w:snapToGrid w:val="0"/>
              <w:spacing w:line="240" w:lineRule="exact"/>
              <w:ind w:leftChars="-21" w:left="-50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成長率</w:t>
            </w:r>
          </w:p>
        </w:tc>
        <w:tc>
          <w:tcPr>
            <w:tcW w:w="951" w:type="dxa"/>
            <w:vAlign w:val="center"/>
          </w:tcPr>
          <w:p w:rsidR="00CA340B" w:rsidRPr="006E7090" w:rsidRDefault="00CA340B" w:rsidP="00DC02F8">
            <w:pPr>
              <w:widowControl/>
              <w:snapToGrid w:val="0"/>
              <w:spacing w:line="240" w:lineRule="exact"/>
              <w:ind w:leftChars="-39" w:left="-94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三級產業</w:t>
            </w:r>
          </w:p>
          <w:p w:rsidR="00CA340B" w:rsidRPr="006E7090" w:rsidRDefault="00CA340B" w:rsidP="00DC02F8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成長率</w:t>
            </w:r>
          </w:p>
        </w:tc>
        <w:tc>
          <w:tcPr>
            <w:tcW w:w="951" w:type="dxa"/>
            <w:vAlign w:val="center"/>
          </w:tcPr>
          <w:p w:rsidR="00CA340B" w:rsidRPr="006E7090" w:rsidRDefault="00CA340B" w:rsidP="00DC02F8">
            <w:pPr>
              <w:widowControl/>
              <w:snapToGrid w:val="0"/>
              <w:spacing w:line="240" w:lineRule="exact"/>
              <w:ind w:leftChars="-56" w:left="-134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6E7090">
              <w:rPr>
                <w:rFonts w:eastAsia="標楷體"/>
                <w:color w:val="000000" w:themeColor="text1"/>
                <w:spacing w:val="-8"/>
                <w:kern w:val="0"/>
                <w:sz w:val="20"/>
                <w:szCs w:val="20"/>
              </w:rPr>
              <w:t>M1</w:t>
            </w:r>
            <w:r w:rsidRPr="006E7090">
              <w:rPr>
                <w:rFonts w:eastAsia="標楷體"/>
                <w:color w:val="000000" w:themeColor="text1"/>
                <w:spacing w:val="-8"/>
                <w:kern w:val="0"/>
                <w:sz w:val="20"/>
                <w:szCs w:val="20"/>
              </w:rPr>
              <w:t>貨幣供給</w:t>
            </w:r>
            <w:r w:rsidRPr="006E709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額增加率</w:t>
            </w:r>
          </w:p>
          <w:p w:rsidR="00CA340B" w:rsidRPr="006E7090" w:rsidRDefault="00CA340B" w:rsidP="00DC02F8">
            <w:pPr>
              <w:widowControl/>
              <w:snapToGrid w:val="0"/>
              <w:spacing w:line="240" w:lineRule="exact"/>
              <w:ind w:leftChars="-56" w:left="-134"/>
              <w:jc w:val="center"/>
              <w:rPr>
                <w:rFonts w:eastAsia="標楷體"/>
                <w:color w:val="000000" w:themeColor="text1"/>
                <w:spacing w:val="-8"/>
                <w:w w:val="90"/>
                <w:kern w:val="0"/>
                <w:sz w:val="20"/>
                <w:szCs w:val="20"/>
              </w:rPr>
            </w:pPr>
            <w:r w:rsidRPr="006E7090">
              <w:rPr>
                <w:rFonts w:eastAsia="標楷體"/>
                <w:color w:val="000000" w:themeColor="text1"/>
                <w:w w:val="90"/>
                <w:kern w:val="0"/>
                <w:sz w:val="20"/>
                <w:szCs w:val="20"/>
              </w:rPr>
              <w:t>（期底數）</w:t>
            </w:r>
          </w:p>
        </w:tc>
        <w:tc>
          <w:tcPr>
            <w:tcW w:w="951" w:type="dxa"/>
            <w:vAlign w:val="center"/>
          </w:tcPr>
          <w:p w:rsidR="00CA340B" w:rsidRPr="006E7090" w:rsidRDefault="00CA340B" w:rsidP="00DC02F8">
            <w:pPr>
              <w:widowControl/>
              <w:snapToGrid w:val="0"/>
              <w:spacing w:line="240" w:lineRule="exact"/>
              <w:ind w:leftChars="-39" w:left="-94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6E7090">
              <w:rPr>
                <w:rFonts w:eastAsia="標楷體"/>
                <w:color w:val="000000" w:themeColor="text1"/>
                <w:spacing w:val="-8"/>
                <w:kern w:val="0"/>
                <w:sz w:val="20"/>
                <w:szCs w:val="20"/>
              </w:rPr>
              <w:t>M2</w:t>
            </w:r>
            <w:r w:rsidRPr="006E7090">
              <w:rPr>
                <w:rFonts w:eastAsia="標楷體"/>
                <w:color w:val="000000" w:themeColor="text1"/>
                <w:spacing w:val="-8"/>
                <w:kern w:val="0"/>
                <w:sz w:val="20"/>
                <w:szCs w:val="20"/>
              </w:rPr>
              <w:t>貨幣供給</w:t>
            </w:r>
            <w:r w:rsidRPr="006E709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額增加率</w:t>
            </w:r>
          </w:p>
          <w:p w:rsidR="00CA340B" w:rsidRPr="006E7090" w:rsidRDefault="00CA340B" w:rsidP="00DC02F8">
            <w:pPr>
              <w:widowControl/>
              <w:snapToGrid w:val="0"/>
              <w:spacing w:line="240" w:lineRule="exact"/>
              <w:ind w:leftChars="-56" w:left="-134"/>
              <w:jc w:val="center"/>
              <w:rPr>
                <w:rFonts w:eastAsia="標楷體"/>
                <w:color w:val="000000" w:themeColor="text1"/>
                <w:spacing w:val="-8"/>
                <w:kern w:val="0"/>
                <w:sz w:val="20"/>
                <w:szCs w:val="20"/>
              </w:rPr>
            </w:pPr>
            <w:r w:rsidRPr="006E7090">
              <w:rPr>
                <w:rFonts w:eastAsia="標楷體"/>
                <w:color w:val="000000" w:themeColor="text1"/>
                <w:w w:val="90"/>
                <w:kern w:val="0"/>
                <w:sz w:val="20"/>
                <w:szCs w:val="20"/>
              </w:rPr>
              <w:t>（期底數）</w:t>
            </w:r>
          </w:p>
        </w:tc>
        <w:tc>
          <w:tcPr>
            <w:tcW w:w="1074" w:type="dxa"/>
            <w:vAlign w:val="center"/>
          </w:tcPr>
          <w:p w:rsidR="00CA340B" w:rsidRPr="006E7090" w:rsidRDefault="00CA340B" w:rsidP="00DC02F8">
            <w:pPr>
              <w:widowControl/>
              <w:snapToGrid w:val="0"/>
              <w:spacing w:line="240" w:lineRule="exact"/>
              <w:ind w:leftChars="-33" w:left="-79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外匯</w:t>
            </w:r>
          </w:p>
          <w:p w:rsidR="00CA340B" w:rsidRPr="006E7090" w:rsidRDefault="00CA340B" w:rsidP="00DC02F8">
            <w:pPr>
              <w:widowControl/>
              <w:snapToGrid w:val="0"/>
              <w:spacing w:line="240" w:lineRule="exact"/>
              <w:ind w:leftChars="-74" w:left="-178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（億美元）</w:t>
            </w:r>
          </w:p>
          <w:p w:rsidR="00CA340B" w:rsidRPr="006E7090" w:rsidRDefault="00CA340B" w:rsidP="00DC02F8">
            <w:pPr>
              <w:snapToGrid w:val="0"/>
              <w:spacing w:line="240" w:lineRule="exact"/>
              <w:ind w:leftChars="-56" w:left="-134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（期底數）</w:t>
            </w:r>
          </w:p>
        </w:tc>
        <w:tc>
          <w:tcPr>
            <w:tcW w:w="1012" w:type="dxa"/>
            <w:vAlign w:val="center"/>
          </w:tcPr>
          <w:p w:rsidR="00CA340B" w:rsidRPr="006E7090" w:rsidRDefault="00CA340B" w:rsidP="00DC02F8">
            <w:pPr>
              <w:widowControl/>
              <w:snapToGrid w:val="0"/>
              <w:spacing w:line="240" w:lineRule="exact"/>
              <w:ind w:leftChars="-45" w:left="-108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人民幣兌美元匯率（人民幣</w:t>
            </w:r>
            <w:r w:rsidRPr="006E709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/</w:t>
            </w:r>
            <w:r w:rsidRPr="006E709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美元）</w:t>
            </w:r>
          </w:p>
        </w:tc>
        <w:tc>
          <w:tcPr>
            <w:tcW w:w="931" w:type="dxa"/>
            <w:vAlign w:val="center"/>
          </w:tcPr>
          <w:p w:rsidR="00CA340B" w:rsidRPr="006E7090" w:rsidRDefault="00CA340B" w:rsidP="00DC02F8">
            <w:pPr>
              <w:widowControl/>
              <w:snapToGrid w:val="0"/>
              <w:spacing w:line="240" w:lineRule="exact"/>
              <w:ind w:leftChars="-45" w:left="-108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名目居民消費物價</w:t>
            </w:r>
          </w:p>
          <w:p w:rsidR="00CA340B" w:rsidRPr="006E7090" w:rsidRDefault="00CA340B" w:rsidP="00DC02F8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上漲率</w:t>
            </w:r>
          </w:p>
        </w:tc>
        <w:tc>
          <w:tcPr>
            <w:tcW w:w="951" w:type="dxa"/>
            <w:vAlign w:val="center"/>
          </w:tcPr>
          <w:p w:rsidR="00CA340B" w:rsidRPr="006E7090" w:rsidRDefault="00CA340B" w:rsidP="00DC02F8">
            <w:pPr>
              <w:widowControl/>
              <w:snapToGrid w:val="0"/>
              <w:spacing w:line="240" w:lineRule="exact"/>
              <w:ind w:leftChars="-45" w:left="-108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名目固定資產投資增加率</w:t>
            </w:r>
          </w:p>
        </w:tc>
        <w:tc>
          <w:tcPr>
            <w:tcW w:w="951" w:type="dxa"/>
            <w:vAlign w:val="center"/>
          </w:tcPr>
          <w:p w:rsidR="00CA340B" w:rsidRPr="006E7090" w:rsidRDefault="00CA340B" w:rsidP="00DC02F8">
            <w:pPr>
              <w:widowControl/>
              <w:snapToGrid w:val="0"/>
              <w:spacing w:line="240" w:lineRule="exact"/>
              <w:ind w:leftChars="-50" w:left="-120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名目社會消費品零售總額增加率</w:t>
            </w:r>
          </w:p>
        </w:tc>
        <w:tc>
          <w:tcPr>
            <w:tcW w:w="951" w:type="dxa"/>
            <w:tcBorders>
              <w:right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城鎮失</w:t>
            </w:r>
          </w:p>
          <w:p w:rsidR="00CA340B" w:rsidRPr="006E7090" w:rsidRDefault="00CA340B" w:rsidP="00DC02F8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業率</w:t>
            </w:r>
          </w:p>
        </w:tc>
      </w:tr>
      <w:tr w:rsidR="00CA340B" w:rsidRPr="006E7090" w:rsidTr="00DC02F8">
        <w:trPr>
          <w:trHeight w:val="340"/>
        </w:trPr>
        <w:tc>
          <w:tcPr>
            <w:tcW w:w="98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2006</w:t>
            </w: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年</w:t>
            </w:r>
          </w:p>
        </w:tc>
        <w:tc>
          <w:tcPr>
            <w:tcW w:w="1135" w:type="dxa"/>
            <w:tcBorders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216,314</w:t>
            </w:r>
          </w:p>
        </w:tc>
        <w:tc>
          <w:tcPr>
            <w:tcW w:w="951" w:type="dxa"/>
            <w:tcBorders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12.7</w:t>
            </w:r>
          </w:p>
        </w:tc>
        <w:tc>
          <w:tcPr>
            <w:tcW w:w="1012" w:type="dxa"/>
            <w:tcBorders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2,070</w:t>
            </w:r>
          </w:p>
        </w:tc>
        <w:tc>
          <w:tcPr>
            <w:tcW w:w="889" w:type="dxa"/>
            <w:tcBorders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5.0</w:t>
            </w:r>
          </w:p>
        </w:tc>
        <w:tc>
          <w:tcPr>
            <w:tcW w:w="951" w:type="dxa"/>
            <w:tcBorders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13.4</w:t>
            </w:r>
          </w:p>
        </w:tc>
        <w:tc>
          <w:tcPr>
            <w:tcW w:w="951" w:type="dxa"/>
            <w:tcBorders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12.9</w:t>
            </w:r>
          </w:p>
        </w:tc>
        <w:tc>
          <w:tcPr>
            <w:tcW w:w="951" w:type="dxa"/>
            <w:tcBorders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14.1</w:t>
            </w:r>
          </w:p>
        </w:tc>
        <w:tc>
          <w:tcPr>
            <w:tcW w:w="951" w:type="dxa"/>
            <w:tcBorders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17.5</w:t>
            </w:r>
          </w:p>
        </w:tc>
        <w:tc>
          <w:tcPr>
            <w:tcW w:w="951" w:type="dxa"/>
            <w:tcBorders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16.9</w:t>
            </w:r>
          </w:p>
        </w:tc>
        <w:tc>
          <w:tcPr>
            <w:tcW w:w="1074" w:type="dxa"/>
            <w:tcBorders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10,663</w:t>
            </w:r>
          </w:p>
        </w:tc>
        <w:tc>
          <w:tcPr>
            <w:tcW w:w="1012" w:type="dxa"/>
            <w:tcBorders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7.809</w:t>
            </w:r>
          </w:p>
        </w:tc>
        <w:tc>
          <w:tcPr>
            <w:tcW w:w="931" w:type="dxa"/>
            <w:tcBorders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1.5</w:t>
            </w:r>
          </w:p>
        </w:tc>
        <w:tc>
          <w:tcPr>
            <w:tcW w:w="951" w:type="dxa"/>
            <w:tcBorders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23.9</w:t>
            </w:r>
          </w:p>
        </w:tc>
        <w:tc>
          <w:tcPr>
            <w:tcW w:w="951" w:type="dxa"/>
            <w:tcBorders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13.7</w:t>
            </w:r>
          </w:p>
        </w:tc>
        <w:tc>
          <w:tcPr>
            <w:tcW w:w="95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4.1</w:t>
            </w:r>
          </w:p>
        </w:tc>
      </w:tr>
      <w:tr w:rsidR="00CA340B" w:rsidRPr="006E7090" w:rsidTr="00DC02F8">
        <w:trPr>
          <w:trHeight w:val="340"/>
        </w:trPr>
        <w:tc>
          <w:tcPr>
            <w:tcW w:w="9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2007</w:t>
            </w: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年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265,810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14.2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2,652</w:t>
            </w:r>
          </w:p>
        </w:tc>
        <w:tc>
          <w:tcPr>
            <w:tcW w:w="8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3.7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15.1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14.9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16.0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21.0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16.7</w:t>
            </w:r>
          </w:p>
        </w:tc>
        <w:tc>
          <w:tcPr>
            <w:tcW w:w="10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15,282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7.305</w:t>
            </w:r>
          </w:p>
        </w:tc>
        <w:tc>
          <w:tcPr>
            <w:tcW w:w="9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4.8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24.8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16.8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4.0</w:t>
            </w:r>
          </w:p>
        </w:tc>
      </w:tr>
      <w:tr w:rsidR="00CA340B" w:rsidRPr="006E7090" w:rsidTr="00DC02F8">
        <w:trPr>
          <w:trHeight w:val="340"/>
        </w:trPr>
        <w:tc>
          <w:tcPr>
            <w:tcW w:w="9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2008</w:t>
            </w: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年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314,045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9.6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3,412</w:t>
            </w:r>
          </w:p>
        </w:tc>
        <w:tc>
          <w:tcPr>
            <w:tcW w:w="8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5.4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9.9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9.9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10.4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9.1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17.8</w:t>
            </w:r>
          </w:p>
        </w:tc>
        <w:tc>
          <w:tcPr>
            <w:tcW w:w="10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19,460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6.835</w:t>
            </w:r>
          </w:p>
        </w:tc>
        <w:tc>
          <w:tcPr>
            <w:tcW w:w="9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5.9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25.9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21.6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4.2</w:t>
            </w:r>
          </w:p>
        </w:tc>
      </w:tr>
      <w:tr w:rsidR="00CA340B" w:rsidRPr="006E7090" w:rsidTr="00DC02F8">
        <w:trPr>
          <w:trHeight w:val="340"/>
        </w:trPr>
        <w:tc>
          <w:tcPr>
            <w:tcW w:w="9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2009</w:t>
            </w: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年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340,903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9.2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3,749</w:t>
            </w:r>
          </w:p>
        </w:tc>
        <w:tc>
          <w:tcPr>
            <w:tcW w:w="8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4.2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9.9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8.7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9.6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32.4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27.7</w:t>
            </w:r>
          </w:p>
        </w:tc>
        <w:tc>
          <w:tcPr>
            <w:tcW w:w="10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23,992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6.828</w:t>
            </w:r>
          </w:p>
        </w:tc>
        <w:tc>
          <w:tcPr>
            <w:tcW w:w="9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-0.7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30.1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15.5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4.3</w:t>
            </w:r>
          </w:p>
        </w:tc>
      </w:tr>
      <w:tr w:rsidR="00CA340B" w:rsidRPr="006E7090" w:rsidTr="00DC02F8">
        <w:trPr>
          <w:trHeight w:val="340"/>
        </w:trPr>
        <w:tc>
          <w:tcPr>
            <w:tcW w:w="9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2010</w:t>
            </w: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年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401,513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10.4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4,431</w:t>
            </w:r>
          </w:p>
        </w:tc>
        <w:tc>
          <w:tcPr>
            <w:tcW w:w="8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4.3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12.3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15.7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9.8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21.2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19.7</w:t>
            </w:r>
          </w:p>
        </w:tc>
        <w:tc>
          <w:tcPr>
            <w:tcW w:w="10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28,473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6.662</w:t>
            </w:r>
          </w:p>
        </w:tc>
        <w:tc>
          <w:tcPr>
            <w:tcW w:w="9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3.3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23.8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18.4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4.1</w:t>
            </w:r>
          </w:p>
        </w:tc>
      </w:tr>
      <w:tr w:rsidR="00CA340B" w:rsidRPr="006E7090" w:rsidTr="00DC02F8">
        <w:trPr>
          <w:trHeight w:val="340"/>
        </w:trPr>
        <w:tc>
          <w:tcPr>
            <w:tcW w:w="9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2011</w:t>
            </w: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年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473,104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9.3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5,415</w:t>
            </w:r>
          </w:p>
        </w:tc>
        <w:tc>
          <w:tcPr>
            <w:tcW w:w="8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4.3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10.3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13.9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9.4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7.9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13.6</w:t>
            </w:r>
          </w:p>
        </w:tc>
        <w:tc>
          <w:tcPr>
            <w:tcW w:w="10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31,811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6.328</w:t>
            </w:r>
          </w:p>
        </w:tc>
        <w:tc>
          <w:tcPr>
            <w:tcW w:w="9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5.4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23.8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17.1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4.1</w:t>
            </w:r>
          </w:p>
        </w:tc>
      </w:tr>
      <w:tr w:rsidR="00CA340B" w:rsidRPr="006E7090" w:rsidTr="00DC02F8">
        <w:trPr>
          <w:trHeight w:val="340"/>
        </w:trPr>
        <w:tc>
          <w:tcPr>
            <w:tcW w:w="9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2012</w:t>
            </w: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年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519,470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7.7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6,076</w:t>
            </w:r>
          </w:p>
        </w:tc>
        <w:tc>
          <w:tcPr>
            <w:tcW w:w="8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4.5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7.9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10.0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8.1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6.5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13.8</w:t>
            </w:r>
          </w:p>
        </w:tc>
        <w:tc>
          <w:tcPr>
            <w:tcW w:w="10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33,116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6.312</w:t>
            </w:r>
          </w:p>
        </w:tc>
        <w:tc>
          <w:tcPr>
            <w:tcW w:w="9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2.6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20.6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14.3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4.1</w:t>
            </w:r>
          </w:p>
        </w:tc>
      </w:tr>
      <w:tr w:rsidR="00CA340B" w:rsidRPr="006E7090" w:rsidTr="00DC02F8">
        <w:trPr>
          <w:trHeight w:val="340"/>
        </w:trPr>
        <w:tc>
          <w:tcPr>
            <w:tcW w:w="9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2013</w:t>
            </w: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年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568,845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7.7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6,991</w:t>
            </w:r>
          </w:p>
        </w:tc>
        <w:tc>
          <w:tcPr>
            <w:tcW w:w="8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4.0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7.8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9.7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8.3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9.3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13.6</w:t>
            </w:r>
          </w:p>
        </w:tc>
        <w:tc>
          <w:tcPr>
            <w:tcW w:w="10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38,213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6.196</w:t>
            </w:r>
          </w:p>
        </w:tc>
        <w:tc>
          <w:tcPr>
            <w:tcW w:w="9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2.6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19.6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13.1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4.1</w:t>
            </w:r>
          </w:p>
        </w:tc>
      </w:tr>
      <w:tr w:rsidR="00CA340B" w:rsidRPr="006E7090" w:rsidTr="00DC02F8">
        <w:trPr>
          <w:trHeight w:val="340"/>
        </w:trPr>
        <w:tc>
          <w:tcPr>
            <w:tcW w:w="9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2014</w:t>
            </w: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年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636,463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7.3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7,624</w:t>
            </w:r>
          </w:p>
        </w:tc>
        <w:tc>
          <w:tcPr>
            <w:tcW w:w="8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4.1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7.3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8.3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8.1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3.2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12.2</w:t>
            </w:r>
          </w:p>
        </w:tc>
        <w:tc>
          <w:tcPr>
            <w:tcW w:w="10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38,430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6.119</w:t>
            </w:r>
          </w:p>
        </w:tc>
        <w:tc>
          <w:tcPr>
            <w:tcW w:w="9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2.0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15.7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12.0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4.1</w:t>
            </w:r>
          </w:p>
        </w:tc>
      </w:tr>
      <w:tr w:rsidR="00CA340B" w:rsidRPr="006E7090" w:rsidTr="00DC02F8">
        <w:trPr>
          <w:trHeight w:val="340"/>
        </w:trPr>
        <w:tc>
          <w:tcPr>
            <w:tcW w:w="9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2015</w:t>
            </w: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年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676,708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6.9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7,640</w:t>
            </w:r>
          </w:p>
        </w:tc>
        <w:tc>
          <w:tcPr>
            <w:tcW w:w="8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3.9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6.0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6.1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8.3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15.2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12.6</w:t>
            </w:r>
          </w:p>
        </w:tc>
        <w:tc>
          <w:tcPr>
            <w:tcW w:w="10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33,303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6.453</w:t>
            </w:r>
          </w:p>
        </w:tc>
        <w:tc>
          <w:tcPr>
            <w:tcW w:w="9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1.4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10.0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10.7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5.0</w:t>
            </w:r>
          </w:p>
        </w:tc>
      </w:tr>
      <w:tr w:rsidR="00CA340B" w:rsidRPr="006E7090" w:rsidTr="00DC02F8">
        <w:trPr>
          <w:trHeight w:val="340"/>
        </w:trPr>
        <w:tc>
          <w:tcPr>
            <w:tcW w:w="9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2016</w:t>
            </w: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年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744,127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6.7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7,798</w:t>
            </w:r>
          </w:p>
        </w:tc>
        <w:tc>
          <w:tcPr>
            <w:tcW w:w="8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3.3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6.1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6.0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7.8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21.4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11.3</w:t>
            </w:r>
          </w:p>
        </w:tc>
        <w:tc>
          <w:tcPr>
            <w:tcW w:w="10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30,105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6.922</w:t>
            </w:r>
          </w:p>
        </w:tc>
        <w:tc>
          <w:tcPr>
            <w:tcW w:w="9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2.0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8.1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10.4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widowControl/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4.9</w:t>
            </w:r>
          </w:p>
        </w:tc>
      </w:tr>
      <w:tr w:rsidR="00CA340B" w:rsidRPr="006E7090" w:rsidTr="00DC02F8">
        <w:trPr>
          <w:trHeight w:val="340"/>
        </w:trPr>
        <w:tc>
          <w:tcPr>
            <w:tcW w:w="9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</w:t>
            </w: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158,526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6.7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2.9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5.8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5.8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7.6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22.1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13.4</w:t>
            </w:r>
          </w:p>
        </w:tc>
        <w:tc>
          <w:tcPr>
            <w:tcW w:w="10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32,125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6.461</w:t>
            </w:r>
          </w:p>
        </w:tc>
        <w:tc>
          <w:tcPr>
            <w:tcW w:w="9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2.1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10.7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10.3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5.2</w:t>
            </w:r>
          </w:p>
        </w:tc>
      </w:tr>
      <w:tr w:rsidR="00CA340B" w:rsidRPr="006E7090" w:rsidTr="00DC02F8">
        <w:trPr>
          <w:trHeight w:val="340"/>
        </w:trPr>
        <w:tc>
          <w:tcPr>
            <w:tcW w:w="9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</w:t>
            </w: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182,111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6.7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3.3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6.4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6.2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7.4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24.6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11.8</w:t>
            </w:r>
          </w:p>
        </w:tc>
        <w:tc>
          <w:tcPr>
            <w:tcW w:w="10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32,051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6.631</w:t>
            </w:r>
          </w:p>
        </w:tc>
        <w:tc>
          <w:tcPr>
            <w:tcW w:w="9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2.1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7.3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10.3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5.0</w:t>
            </w:r>
          </w:p>
        </w:tc>
      </w:tr>
      <w:tr w:rsidR="00CA340B" w:rsidRPr="006E7090" w:rsidTr="00DC02F8">
        <w:trPr>
          <w:trHeight w:val="340"/>
        </w:trPr>
        <w:tc>
          <w:tcPr>
            <w:tcW w:w="9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</w:t>
            </w: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189,334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6.7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4.0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6.1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6.0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7.6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24.7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11.5</w:t>
            </w:r>
          </w:p>
        </w:tc>
        <w:tc>
          <w:tcPr>
            <w:tcW w:w="10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31,663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6.678</w:t>
            </w:r>
          </w:p>
        </w:tc>
        <w:tc>
          <w:tcPr>
            <w:tcW w:w="9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1.8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6.6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10.6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5.0</w:t>
            </w:r>
          </w:p>
        </w:tc>
      </w:tr>
      <w:tr w:rsidR="00CA340B" w:rsidRPr="006E7090" w:rsidTr="00DC02F8">
        <w:trPr>
          <w:trHeight w:val="340"/>
        </w:trPr>
        <w:tc>
          <w:tcPr>
            <w:tcW w:w="9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4</w:t>
            </w: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214,156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6.8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2.9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6.1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6.0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8.3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21.4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11.3</w:t>
            </w:r>
          </w:p>
        </w:tc>
        <w:tc>
          <w:tcPr>
            <w:tcW w:w="10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30,105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6.922</w:t>
            </w:r>
          </w:p>
        </w:tc>
        <w:tc>
          <w:tcPr>
            <w:tcW w:w="9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2.0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7.8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10.4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4.9</w:t>
            </w:r>
          </w:p>
        </w:tc>
      </w:tr>
      <w:tr w:rsidR="00CA340B" w:rsidRPr="006E7090" w:rsidTr="00DC02F8">
        <w:trPr>
          <w:trHeight w:val="305"/>
        </w:trPr>
        <w:tc>
          <w:tcPr>
            <w:tcW w:w="9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2017</w:t>
            </w: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年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snapToGrid w:val="0"/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827,122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6.9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3.9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6.1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6.6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8.0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11.8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8.2</w:t>
            </w:r>
          </w:p>
        </w:tc>
        <w:tc>
          <w:tcPr>
            <w:tcW w:w="10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30,105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6.534</w:t>
            </w:r>
          </w:p>
        </w:tc>
        <w:tc>
          <w:tcPr>
            <w:tcW w:w="9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1.6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7.2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10.2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A340B" w:rsidRPr="006E7090" w:rsidTr="00DC02F8">
        <w:trPr>
          <w:trHeight w:val="200"/>
        </w:trPr>
        <w:tc>
          <w:tcPr>
            <w:tcW w:w="9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</w:t>
            </w: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180,683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6.9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3.0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6.4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6.</w:t>
            </w: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7.7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18.8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10.6</w:t>
            </w:r>
          </w:p>
        </w:tc>
        <w:tc>
          <w:tcPr>
            <w:tcW w:w="10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30,091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6.899</w:t>
            </w:r>
          </w:p>
        </w:tc>
        <w:tc>
          <w:tcPr>
            <w:tcW w:w="9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1.4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9.2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10.0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A340B" w:rsidRPr="006E7090" w:rsidTr="00DC02F8">
        <w:trPr>
          <w:trHeight w:val="179"/>
        </w:trPr>
        <w:tc>
          <w:tcPr>
            <w:tcW w:w="9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</w:t>
            </w: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</w:t>
            </w: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200,807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6.9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3.8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6.4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6.9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7.6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15.0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9.4</w:t>
            </w:r>
          </w:p>
        </w:tc>
        <w:tc>
          <w:tcPr>
            <w:tcW w:w="10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30,568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6.77</w:t>
            </w: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9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1.4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8.0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 w:rsidRPr="006E7090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10.8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A340B" w:rsidRPr="006E7090" w:rsidTr="00DC02F8">
        <w:trPr>
          <w:trHeight w:val="226"/>
        </w:trPr>
        <w:tc>
          <w:tcPr>
            <w:tcW w:w="9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Default="00CA340B" w:rsidP="00DC02F8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第</w:t>
            </w: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211,798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6.8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3.9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6.0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6.3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8.0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14.0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9.2</w:t>
            </w:r>
          </w:p>
        </w:tc>
        <w:tc>
          <w:tcPr>
            <w:tcW w:w="10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31,085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6.728</w:t>
            </w:r>
          </w:p>
        </w:tc>
        <w:tc>
          <w:tcPr>
            <w:tcW w:w="9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1.6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5.3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10.3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A340B" w:rsidRPr="006E7090" w:rsidTr="00DC02F8">
        <w:trPr>
          <w:trHeight w:val="229"/>
        </w:trPr>
        <w:tc>
          <w:tcPr>
            <w:tcW w:w="9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Pr="006E7090" w:rsidRDefault="00CA340B" w:rsidP="00DC02F8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第</w:t>
            </w: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4</w:t>
            </w: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季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234,582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6.8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4.4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5.7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6.2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8.3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11.8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8.2</w:t>
            </w:r>
          </w:p>
        </w:tc>
        <w:tc>
          <w:tcPr>
            <w:tcW w:w="10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30,105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6.534</w:t>
            </w:r>
          </w:p>
        </w:tc>
        <w:tc>
          <w:tcPr>
            <w:tcW w:w="9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1.8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7.2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9.8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A340B" w:rsidRPr="006E7090" w:rsidTr="00DC02F8">
        <w:trPr>
          <w:trHeight w:val="305"/>
        </w:trPr>
        <w:tc>
          <w:tcPr>
            <w:tcW w:w="9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Default="00CA340B" w:rsidP="00DC02F8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10</w:t>
            </w: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月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6.2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13.0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8.8</w:t>
            </w:r>
          </w:p>
        </w:tc>
        <w:tc>
          <w:tcPr>
            <w:tcW w:w="10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33,946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6.640</w:t>
            </w:r>
          </w:p>
        </w:tc>
        <w:tc>
          <w:tcPr>
            <w:tcW w:w="9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1.9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7.3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10.0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A340B" w:rsidRPr="006E7090" w:rsidTr="00DC02F8">
        <w:trPr>
          <w:trHeight w:val="305"/>
        </w:trPr>
        <w:tc>
          <w:tcPr>
            <w:tcW w:w="9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A340B" w:rsidRDefault="00CA340B" w:rsidP="00DC02F8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11</w:t>
            </w: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月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6.1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12.6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9.1</w:t>
            </w:r>
          </w:p>
        </w:tc>
        <w:tc>
          <w:tcPr>
            <w:tcW w:w="10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31,192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6.603</w:t>
            </w:r>
          </w:p>
        </w:tc>
        <w:tc>
          <w:tcPr>
            <w:tcW w:w="9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1.7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7.2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10.2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CA340B" w:rsidRPr="006E7090" w:rsidTr="00DC02F8">
        <w:trPr>
          <w:trHeight w:val="305"/>
        </w:trPr>
        <w:tc>
          <w:tcPr>
            <w:tcW w:w="9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CA340B" w:rsidRDefault="00CA340B" w:rsidP="00DC02F8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12</w:t>
            </w: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月</w:t>
            </w:r>
          </w:p>
        </w:tc>
        <w:tc>
          <w:tcPr>
            <w:tcW w:w="113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6.2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11.8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8.2</w:t>
            </w:r>
          </w:p>
        </w:tc>
        <w:tc>
          <w:tcPr>
            <w:tcW w:w="1074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30,105</w:t>
            </w:r>
          </w:p>
        </w:tc>
        <w:tc>
          <w:tcPr>
            <w:tcW w:w="101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6.534</w:t>
            </w:r>
          </w:p>
        </w:tc>
        <w:tc>
          <w:tcPr>
            <w:tcW w:w="93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1.8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7.2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CA340B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9.4</w:t>
            </w:r>
          </w:p>
        </w:tc>
        <w:tc>
          <w:tcPr>
            <w:tcW w:w="951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A340B" w:rsidRPr="006E7090" w:rsidRDefault="00CA340B" w:rsidP="00DC02F8">
            <w:pPr>
              <w:jc w:val="right"/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CA340B" w:rsidRPr="006E7090" w:rsidRDefault="00CA340B" w:rsidP="00CA340B">
      <w:pPr>
        <w:widowControl/>
        <w:spacing w:line="240" w:lineRule="exact"/>
        <w:ind w:leftChars="-295" w:left="-708"/>
        <w:jc w:val="both"/>
        <w:rPr>
          <w:rFonts w:eastAsia="標楷體"/>
          <w:color w:val="000000" w:themeColor="text1"/>
          <w:kern w:val="0"/>
          <w:sz w:val="18"/>
          <w:szCs w:val="16"/>
        </w:rPr>
      </w:pPr>
      <w:proofErr w:type="gramStart"/>
      <w:r w:rsidRPr="006E7090">
        <w:rPr>
          <w:rFonts w:eastAsia="標楷體"/>
          <w:color w:val="000000" w:themeColor="text1"/>
          <w:kern w:val="0"/>
          <w:sz w:val="18"/>
          <w:szCs w:val="16"/>
        </w:rPr>
        <w:t>註</w:t>
      </w:r>
      <w:proofErr w:type="gramEnd"/>
      <w:r w:rsidRPr="006E7090">
        <w:rPr>
          <w:rFonts w:eastAsia="標楷體"/>
          <w:color w:val="000000" w:themeColor="text1"/>
          <w:kern w:val="0"/>
          <w:sz w:val="18"/>
          <w:szCs w:val="16"/>
        </w:rPr>
        <w:t>：</w:t>
      </w:r>
      <w:r w:rsidRPr="006E7090">
        <w:rPr>
          <w:rFonts w:eastAsia="標楷體"/>
          <w:color w:val="000000" w:themeColor="text1"/>
          <w:kern w:val="0"/>
          <w:sz w:val="18"/>
          <w:szCs w:val="16"/>
        </w:rPr>
        <w:t>1. *</w:t>
      </w:r>
      <w:r w:rsidRPr="006E7090">
        <w:rPr>
          <w:rFonts w:eastAsia="標楷體"/>
          <w:color w:val="000000" w:themeColor="text1"/>
          <w:kern w:val="0"/>
          <w:sz w:val="18"/>
          <w:szCs w:val="16"/>
        </w:rPr>
        <w:t>中國的二級產業包括工業與建築業，但臺灣的二級產業就是指工業，而工業則包含建築業。</w:t>
      </w:r>
    </w:p>
    <w:p w:rsidR="00CA340B" w:rsidRPr="006E7090" w:rsidRDefault="00CA340B" w:rsidP="00CA340B">
      <w:pPr>
        <w:widowControl/>
        <w:spacing w:line="240" w:lineRule="exact"/>
        <w:ind w:leftChars="-297" w:left="-713"/>
        <w:jc w:val="both"/>
        <w:rPr>
          <w:rFonts w:eastAsia="標楷體"/>
          <w:color w:val="000000" w:themeColor="text1"/>
          <w:kern w:val="0"/>
          <w:sz w:val="18"/>
          <w:szCs w:val="16"/>
        </w:rPr>
      </w:pPr>
      <w:r w:rsidRPr="006E7090">
        <w:rPr>
          <w:rFonts w:eastAsia="標楷體"/>
          <w:color w:val="000000" w:themeColor="text1"/>
          <w:kern w:val="0"/>
          <w:sz w:val="18"/>
          <w:szCs w:val="16"/>
        </w:rPr>
        <w:t xml:space="preserve">    2. </w:t>
      </w:r>
      <w:r w:rsidRPr="006E7090">
        <w:rPr>
          <w:rFonts w:eastAsia="標楷體"/>
          <w:color w:val="000000" w:themeColor="text1"/>
          <w:kern w:val="0"/>
          <w:sz w:val="18"/>
          <w:szCs w:val="16"/>
        </w:rPr>
        <w:t>工業成長率即全國規模以上工業增加值成長率。人民幣兌美元匯率為平均數。</w:t>
      </w:r>
    </w:p>
    <w:p w:rsidR="00CA340B" w:rsidRPr="006E7090" w:rsidRDefault="00CA340B" w:rsidP="00CA340B">
      <w:pPr>
        <w:widowControl/>
        <w:spacing w:line="240" w:lineRule="exact"/>
        <w:ind w:leftChars="-297" w:left="-713"/>
        <w:jc w:val="both"/>
        <w:rPr>
          <w:rFonts w:eastAsia="標楷體"/>
          <w:color w:val="000000" w:themeColor="text1"/>
          <w:kern w:val="0"/>
          <w:sz w:val="18"/>
          <w:szCs w:val="16"/>
        </w:rPr>
      </w:pPr>
      <w:r w:rsidRPr="006E7090">
        <w:rPr>
          <w:rFonts w:eastAsia="標楷體"/>
          <w:color w:val="000000" w:themeColor="text1"/>
          <w:kern w:val="0"/>
          <w:sz w:val="18"/>
          <w:szCs w:val="16"/>
        </w:rPr>
        <w:t xml:space="preserve">    3.</w:t>
      </w:r>
      <w:r w:rsidRPr="006E7090">
        <w:rPr>
          <w:rFonts w:eastAsia="標楷體"/>
          <w:color w:val="000000" w:themeColor="text1"/>
          <w:kern w:val="0"/>
          <w:sz w:val="18"/>
          <w:szCs w:val="20"/>
        </w:rPr>
        <w:t xml:space="preserve"> </w:t>
      </w:r>
      <w:r w:rsidRPr="006E7090">
        <w:rPr>
          <w:rFonts w:eastAsia="標楷體"/>
          <w:color w:val="000000" w:themeColor="text1"/>
          <w:kern w:val="0"/>
          <w:sz w:val="18"/>
          <w:szCs w:val="16"/>
        </w:rPr>
        <w:t>城鎮失業率</w:t>
      </w:r>
      <w:r w:rsidRPr="006E7090">
        <w:rPr>
          <w:rFonts w:eastAsia="標楷體"/>
          <w:color w:val="000000" w:themeColor="text1"/>
          <w:kern w:val="0"/>
          <w:sz w:val="18"/>
          <w:szCs w:val="16"/>
        </w:rPr>
        <w:t>2015</w:t>
      </w:r>
      <w:r w:rsidRPr="006E7090">
        <w:rPr>
          <w:rFonts w:eastAsia="標楷體"/>
          <w:color w:val="000000" w:themeColor="text1"/>
          <w:kern w:val="0"/>
          <w:sz w:val="18"/>
          <w:szCs w:val="16"/>
        </w:rPr>
        <w:t>年後改</w:t>
      </w:r>
      <w:proofErr w:type="gramStart"/>
      <w:r w:rsidRPr="006E7090">
        <w:rPr>
          <w:rFonts w:eastAsia="標楷體"/>
          <w:color w:val="000000" w:themeColor="text1"/>
          <w:kern w:val="0"/>
          <w:sz w:val="18"/>
          <w:szCs w:val="16"/>
        </w:rPr>
        <w:t>採</w:t>
      </w:r>
      <w:proofErr w:type="gramEnd"/>
      <w:r w:rsidRPr="006E7090">
        <w:rPr>
          <w:rFonts w:eastAsia="標楷體"/>
          <w:color w:val="000000" w:themeColor="text1"/>
          <w:kern w:val="0"/>
          <w:sz w:val="18"/>
          <w:szCs w:val="16"/>
        </w:rPr>
        <w:t>31</w:t>
      </w:r>
      <w:r w:rsidRPr="006E7090">
        <w:rPr>
          <w:rFonts w:eastAsia="標楷體"/>
          <w:color w:val="000000" w:themeColor="text1"/>
          <w:kern w:val="0"/>
          <w:sz w:val="18"/>
          <w:szCs w:val="16"/>
        </w:rPr>
        <w:t>個城市調查失業率。</w:t>
      </w:r>
    </w:p>
    <w:p w:rsidR="00DB0524" w:rsidRPr="003469EC" w:rsidRDefault="00CA340B" w:rsidP="00CA340B">
      <w:pPr>
        <w:ind w:leftChars="-285" w:left="-684"/>
        <w:rPr>
          <w:rFonts w:eastAsia="標楷體"/>
          <w:color w:val="000000" w:themeColor="text1"/>
          <w:kern w:val="0"/>
          <w:sz w:val="18"/>
          <w:szCs w:val="16"/>
        </w:rPr>
        <w:sectPr w:rsidR="00DB0524" w:rsidRPr="003469EC" w:rsidSect="00464AD0">
          <w:footerReference w:type="even" r:id="rId28"/>
          <w:footerReference w:type="default" r:id="rId29"/>
          <w:pgSz w:w="16838" w:h="11906" w:orient="landscape"/>
          <w:pgMar w:top="567" w:right="1440" w:bottom="567" w:left="1440" w:header="851" w:footer="283" w:gutter="0"/>
          <w:cols w:space="425"/>
          <w:docGrid w:linePitch="360"/>
        </w:sectPr>
      </w:pPr>
      <w:r w:rsidRPr="006E7090">
        <w:rPr>
          <w:rFonts w:eastAsia="標楷體"/>
          <w:color w:val="000000" w:themeColor="text1"/>
          <w:kern w:val="0"/>
          <w:sz w:val="18"/>
          <w:szCs w:val="16"/>
        </w:rPr>
        <w:t>資料來源：中國大陸國家統計局、</w:t>
      </w:r>
      <w:r w:rsidRPr="006E7090">
        <w:rPr>
          <w:rFonts w:eastAsia="標楷體"/>
          <w:color w:val="000000" w:themeColor="text1"/>
          <w:kern w:val="0"/>
          <w:sz w:val="18"/>
          <w:szCs w:val="16"/>
        </w:rPr>
        <w:t>CEIC</w:t>
      </w:r>
      <w:r w:rsidRPr="006E7090">
        <w:rPr>
          <w:rFonts w:eastAsia="標楷體"/>
          <w:color w:val="000000" w:themeColor="text1"/>
          <w:kern w:val="0"/>
          <w:sz w:val="18"/>
          <w:szCs w:val="16"/>
        </w:rPr>
        <w:t>資料</w:t>
      </w:r>
      <w:r w:rsidRPr="006E7090">
        <w:rPr>
          <w:rFonts w:eastAsia="標楷體" w:hint="eastAsia"/>
          <w:color w:val="000000" w:themeColor="text1"/>
          <w:kern w:val="0"/>
          <w:sz w:val="18"/>
          <w:szCs w:val="16"/>
        </w:rPr>
        <w:t>庫。</w:t>
      </w:r>
    </w:p>
    <w:p w:rsidR="004C5E81" w:rsidRPr="00DB0524" w:rsidRDefault="004C5E81" w:rsidP="00DB0524">
      <w:pPr>
        <w:rPr>
          <w:color w:val="000000" w:themeColor="text1"/>
        </w:rPr>
      </w:pPr>
    </w:p>
    <w:sectPr w:rsidR="004C5E81" w:rsidRPr="00DB0524" w:rsidSect="004C5E81">
      <w:pgSz w:w="11906" w:h="16838"/>
      <w:pgMar w:top="1440" w:right="1416" w:bottom="993" w:left="155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1A" w:rsidRDefault="00902F1A">
      <w:r>
        <w:separator/>
      </w:r>
    </w:p>
  </w:endnote>
  <w:endnote w:type="continuationSeparator" w:id="0">
    <w:p w:rsidR="00902F1A" w:rsidRDefault="0090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文鼎中楷">
    <w:altName w:val="Arial Unicode MS"/>
    <w:charset w:val="88"/>
    <w:family w:val="script"/>
    <w:pitch w:val="fixed"/>
    <w:sig w:usb0="00000000" w:usb1="38CF7C7A" w:usb2="00000016" w:usb3="00000000" w:csb0="00100000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1A" w:rsidRDefault="00902F1A" w:rsidP="00BB50C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02F1A" w:rsidRDefault="00902F1A">
    <w:pPr>
      <w:pStyle w:val="a9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4217458"/>
      <w:docPartObj>
        <w:docPartGallery w:val="Page Numbers (Bottom of Page)"/>
        <w:docPartUnique/>
      </w:docPartObj>
    </w:sdtPr>
    <w:sdtContent>
      <w:p w:rsidR="00902F1A" w:rsidRDefault="00902F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850" w:rsidRPr="00691850">
          <w:rPr>
            <w:noProof/>
            <w:lang w:val="zh-TW"/>
          </w:rPr>
          <w:t>15</w:t>
        </w:r>
        <w: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1A" w:rsidRDefault="00902F1A" w:rsidP="008D7B1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02F1A" w:rsidRDefault="00902F1A">
    <w:pPr>
      <w:pStyle w:val="a9"/>
    </w:pPr>
  </w:p>
  <w:p w:rsidR="00902F1A" w:rsidRDefault="00902F1A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1A" w:rsidRDefault="00902F1A" w:rsidP="008D7B1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02F1A" w:rsidRDefault="00902F1A">
    <w:pPr>
      <w:pStyle w:val="a9"/>
    </w:pPr>
  </w:p>
  <w:p w:rsidR="00902F1A" w:rsidRDefault="00902F1A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1A" w:rsidRDefault="00902F1A" w:rsidP="00BB50C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02F1A" w:rsidRDefault="00902F1A">
    <w:pPr>
      <w:pStyle w:val="a9"/>
    </w:pPr>
  </w:p>
  <w:p w:rsidR="00902F1A" w:rsidRDefault="00902F1A"/>
  <w:p w:rsidR="00902F1A" w:rsidRDefault="00902F1A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300821"/>
      <w:docPartObj>
        <w:docPartGallery w:val="Page Numbers (Bottom of Page)"/>
        <w:docPartUnique/>
      </w:docPartObj>
    </w:sdtPr>
    <w:sdtContent>
      <w:p w:rsidR="00902F1A" w:rsidRDefault="00902F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850" w:rsidRPr="00691850">
          <w:rPr>
            <w:noProof/>
            <w:lang w:val="zh-TW"/>
          </w:rPr>
          <w:t>24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689890"/>
      <w:docPartObj>
        <w:docPartGallery w:val="Page Numbers (Bottom of Page)"/>
        <w:docPartUnique/>
      </w:docPartObj>
    </w:sdtPr>
    <w:sdtContent>
      <w:p w:rsidR="00902F1A" w:rsidRDefault="00902F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D3BFC">
          <w:rPr>
            <w:noProof/>
            <w:lang w:val="zh-TW"/>
          </w:rPr>
          <w:t>ii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1A" w:rsidRDefault="00902F1A" w:rsidP="00BB50C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02F1A" w:rsidRDefault="00902F1A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220646"/>
      <w:docPartObj>
        <w:docPartGallery w:val="Page Numbers (Bottom of Page)"/>
        <w:docPartUnique/>
      </w:docPartObj>
    </w:sdtPr>
    <w:sdtContent>
      <w:p w:rsidR="00902F1A" w:rsidRDefault="00902F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E4731">
          <w:rPr>
            <w:noProof/>
            <w:lang w:val="zh-TW"/>
          </w:rPr>
          <w:t>ii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1A" w:rsidRDefault="00902F1A" w:rsidP="00BB50C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02F1A" w:rsidRDefault="00902F1A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088881"/>
      <w:docPartObj>
        <w:docPartGallery w:val="Page Numbers (Bottom of Page)"/>
        <w:docPartUnique/>
      </w:docPartObj>
    </w:sdtPr>
    <w:sdtContent>
      <w:p w:rsidR="00902F1A" w:rsidRDefault="00902F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E4731">
          <w:rPr>
            <w:noProof/>
            <w:lang w:val="zh-TW"/>
          </w:rPr>
          <w:t>ii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1A" w:rsidRDefault="00902F1A" w:rsidP="00BB50C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02F1A" w:rsidRDefault="00902F1A">
    <w:pPr>
      <w:pStyle w:val="a9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719653"/>
      <w:docPartObj>
        <w:docPartGallery w:val="Page Numbers (Bottom of Page)"/>
        <w:docPartUnique/>
      </w:docPartObj>
    </w:sdtPr>
    <w:sdtContent>
      <w:p w:rsidR="00902F1A" w:rsidRDefault="00902F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39A8">
          <w:rPr>
            <w:noProof/>
            <w:lang w:val="zh-TW"/>
          </w:rPr>
          <w:t>i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1A" w:rsidRDefault="00902F1A" w:rsidP="00BB50C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02F1A" w:rsidRDefault="00902F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1A" w:rsidRDefault="00902F1A">
      <w:r>
        <w:separator/>
      </w:r>
    </w:p>
  </w:footnote>
  <w:footnote w:type="continuationSeparator" w:id="0">
    <w:p w:rsidR="00902F1A" w:rsidRDefault="00902F1A">
      <w:r>
        <w:continuationSeparator/>
      </w:r>
    </w:p>
  </w:footnote>
  <w:footnote w:id="1">
    <w:p w:rsidR="00902F1A" w:rsidRPr="00614047" w:rsidRDefault="00902F1A" w:rsidP="000A18A5">
      <w:pPr>
        <w:pStyle w:val="a6"/>
        <w:rPr>
          <w:rFonts w:ascii="標楷體" w:eastAsia="標楷體" w:hAnsi="標楷體"/>
        </w:rPr>
      </w:pPr>
      <w:r w:rsidRPr="00614047">
        <w:rPr>
          <w:rStyle w:val="a8"/>
          <w:rFonts w:ascii="標楷體" w:eastAsia="標楷體" w:hAnsi="標楷體"/>
        </w:rPr>
        <w:footnoteRef/>
      </w:r>
      <w:r w:rsidRPr="00614047">
        <w:rPr>
          <w:rFonts w:ascii="標楷體" w:eastAsia="標楷體" w:hAnsi="標楷體" w:hint="eastAsia"/>
          <w:sz w:val="18"/>
          <w:szCs w:val="18"/>
        </w:rPr>
        <w:t>基礎設施不含電力、熱力、燃氣及水生產和供應業。</w:t>
      </w:r>
    </w:p>
  </w:footnote>
  <w:footnote w:id="2">
    <w:p w:rsidR="00902F1A" w:rsidRPr="00614047" w:rsidRDefault="00902F1A" w:rsidP="000A18A5">
      <w:pPr>
        <w:pStyle w:val="a6"/>
        <w:rPr>
          <w:rFonts w:ascii="標楷體" w:eastAsia="標楷體" w:hAnsi="標楷體"/>
        </w:rPr>
      </w:pPr>
      <w:r w:rsidRPr="00614047">
        <w:rPr>
          <w:rStyle w:val="a8"/>
          <w:rFonts w:ascii="標楷體" w:eastAsia="標楷體" w:hAnsi="標楷體"/>
        </w:rPr>
        <w:footnoteRef/>
      </w:r>
      <w:r w:rsidRPr="00614047">
        <w:rPr>
          <w:rFonts w:ascii="標楷體" w:eastAsia="標楷體" w:hAnsi="標楷體" w:hint="eastAsia"/>
          <w:sz w:val="18"/>
          <w:szCs w:val="18"/>
        </w:rPr>
        <w:t>規模以上：年營收</w:t>
      </w:r>
      <w:r w:rsidRPr="00ED1F17">
        <w:rPr>
          <w:rFonts w:eastAsia="標楷體"/>
          <w:sz w:val="18"/>
          <w:szCs w:val="18"/>
        </w:rPr>
        <w:t>大於</w:t>
      </w:r>
      <w:r w:rsidRPr="00ED1F17">
        <w:rPr>
          <w:rFonts w:eastAsia="標楷體"/>
          <w:sz w:val="18"/>
          <w:szCs w:val="18"/>
        </w:rPr>
        <w:t>2,000</w:t>
      </w:r>
      <w:r w:rsidRPr="00ED1F17">
        <w:rPr>
          <w:rFonts w:eastAsia="標楷體"/>
          <w:sz w:val="18"/>
          <w:szCs w:val="18"/>
        </w:rPr>
        <w:t>萬人民幣的工業企業或國有工業企業；工業增加值：企業於生產過程中所新增加的價值，即工業生產總值扣除中間投入後的餘額。</w:t>
      </w:r>
    </w:p>
  </w:footnote>
  <w:footnote w:id="3">
    <w:p w:rsidR="00902F1A" w:rsidRDefault="00902F1A" w:rsidP="003E7BB4">
      <w:pPr>
        <w:pStyle w:val="a6"/>
        <w:ind w:leftChars="-24" w:left="142" w:hangingChars="100" w:hanging="200"/>
      </w:pPr>
      <w:r>
        <w:rPr>
          <w:rStyle w:val="a8"/>
        </w:rPr>
        <w:footnoteRef/>
      </w:r>
      <w:r>
        <w:t xml:space="preserve"> </w:t>
      </w:r>
      <w:r w:rsidRPr="00B9609D">
        <w:rPr>
          <w:rFonts w:eastAsia="標楷體"/>
        </w:rPr>
        <w:t>IMF</w:t>
      </w:r>
      <w:r w:rsidRPr="00B9609D">
        <w:rPr>
          <w:rFonts w:eastAsia="標楷體"/>
        </w:rPr>
        <w:t>於</w:t>
      </w:r>
      <w:r w:rsidRPr="00B9609D">
        <w:rPr>
          <w:rFonts w:eastAsia="標楷體"/>
        </w:rPr>
        <w:t>2016</w:t>
      </w:r>
      <w:r w:rsidRPr="00B9609D">
        <w:rPr>
          <w:rFonts w:eastAsia="標楷體"/>
        </w:rPr>
        <w:t>年</w:t>
      </w:r>
      <w:r w:rsidRPr="00B9609D">
        <w:rPr>
          <w:rFonts w:eastAsia="標楷體"/>
        </w:rPr>
        <w:t>5</w:t>
      </w:r>
      <w:r w:rsidRPr="00B9609D">
        <w:rPr>
          <w:rFonts w:eastAsia="標楷體"/>
        </w:rPr>
        <w:t>月「亞洲和太平洋經濟展望概要」報告</w:t>
      </w:r>
      <w:r>
        <w:rPr>
          <w:rFonts w:eastAsia="標楷體"/>
        </w:rPr>
        <w:t>指出，中國大陸</w:t>
      </w:r>
      <w:r w:rsidRPr="00B9609D">
        <w:rPr>
          <w:rFonts w:eastAsia="標楷體"/>
        </w:rPr>
        <w:t>主要透過進出口、投資及金融等三個面向影響全球經濟</w:t>
      </w:r>
      <w:r>
        <w:rPr>
          <w:rFonts w:eastAsia="標楷體" w:hint="eastAsia"/>
        </w:rPr>
        <w:t>。</w:t>
      </w:r>
    </w:p>
  </w:footnote>
  <w:footnote w:id="4">
    <w:p w:rsidR="00902F1A" w:rsidRDefault="00902F1A" w:rsidP="003E7BB4">
      <w:pPr>
        <w:pStyle w:val="a6"/>
      </w:pPr>
      <w:r>
        <w:rPr>
          <w:rStyle w:val="a8"/>
        </w:rPr>
        <w:footnoteRef/>
      </w:r>
      <w:r w:rsidRPr="009B6CCE">
        <w:rPr>
          <w:rFonts w:eastAsia="標楷體" w:hint="eastAsia"/>
        </w:rPr>
        <w:t>路透上海</w:t>
      </w:r>
      <w:r w:rsidRPr="009B6CCE">
        <w:rPr>
          <w:rFonts w:eastAsia="標楷體" w:hint="eastAsia"/>
        </w:rPr>
        <w:t>12</w:t>
      </w:r>
      <w:r w:rsidRPr="009B6CCE">
        <w:rPr>
          <w:rFonts w:eastAsia="標楷體" w:hint="eastAsia"/>
        </w:rPr>
        <w:t>月</w:t>
      </w:r>
      <w:r w:rsidRPr="009B6CCE">
        <w:rPr>
          <w:rFonts w:eastAsia="標楷體" w:hint="eastAsia"/>
        </w:rPr>
        <w:t>23</w:t>
      </w:r>
      <w:r w:rsidRPr="009B6CCE">
        <w:rPr>
          <w:rFonts w:eastAsia="標楷體" w:hint="eastAsia"/>
        </w:rPr>
        <w:t>日</w:t>
      </w:r>
      <w:r>
        <w:rPr>
          <w:rFonts w:eastAsia="標楷體" w:hint="eastAsia"/>
        </w:rPr>
        <w:t>「</w:t>
      </w:r>
      <w:r w:rsidRPr="009B6CCE">
        <w:rPr>
          <w:rFonts w:eastAsia="標楷體" w:hint="eastAsia"/>
        </w:rPr>
        <w:t>中國盲目追求高增長帶來的風險可能比增加的</w:t>
      </w:r>
      <w:r w:rsidRPr="009B6CCE">
        <w:rPr>
          <w:rFonts w:eastAsia="標楷體" w:hint="eastAsia"/>
        </w:rPr>
        <w:t>GDP</w:t>
      </w:r>
      <w:r w:rsidRPr="009B6CCE">
        <w:rPr>
          <w:rFonts w:eastAsia="標楷體" w:hint="eastAsia"/>
        </w:rPr>
        <w:t>還要多</w:t>
      </w:r>
      <w:r>
        <w:rPr>
          <w:rFonts w:eastAsia="標楷體" w:hint="eastAsia"/>
        </w:rPr>
        <w:t>」。</w:t>
      </w:r>
    </w:p>
  </w:footnote>
  <w:footnote w:id="5">
    <w:p w:rsidR="00902F1A" w:rsidRPr="00A9590D" w:rsidRDefault="00902F1A">
      <w:pPr>
        <w:pStyle w:val="a6"/>
      </w:pPr>
      <w:r>
        <w:rPr>
          <w:rStyle w:val="a8"/>
        </w:rPr>
        <w:footnoteRef/>
      </w:r>
      <w:r w:rsidRPr="00A9590D">
        <w:rPr>
          <w:rFonts w:hint="eastAsia"/>
        </w:rPr>
        <w:t>經濟學人</w:t>
      </w:r>
      <w:r w:rsidRPr="00A9590D">
        <w:rPr>
          <w:rFonts w:hint="eastAsia"/>
        </w:rPr>
        <w:t>(2016)</w:t>
      </w:r>
      <w:r w:rsidRPr="00A9590D">
        <w:rPr>
          <w:rFonts w:hint="eastAsia"/>
        </w:rPr>
        <w:t>，</w:t>
      </w:r>
      <w:proofErr w:type="gramStart"/>
      <w:r w:rsidRPr="00A9590D">
        <w:rPr>
          <w:rFonts w:hint="eastAsia"/>
        </w:rPr>
        <w:t>”</w:t>
      </w:r>
      <w:proofErr w:type="gramEnd"/>
      <w:r w:rsidRPr="00A9590D">
        <w:rPr>
          <w:rFonts w:hint="eastAsia"/>
        </w:rPr>
        <w:t>Strong leader, tough decisions What China's party congress means for economic policy</w:t>
      </w:r>
      <w:proofErr w:type="gramStart"/>
      <w:r w:rsidRPr="00A9590D">
        <w:rPr>
          <w:rFonts w:hint="eastAsia"/>
        </w:rPr>
        <w:t>”</w:t>
      </w:r>
      <w:proofErr w:type="gramEnd"/>
    </w:p>
  </w:footnote>
  <w:footnote w:id="6">
    <w:p w:rsidR="00902F1A" w:rsidRDefault="00902F1A" w:rsidP="003E7BB4">
      <w:pPr>
        <w:pStyle w:val="a6"/>
      </w:pPr>
      <w:r>
        <w:rPr>
          <w:rStyle w:val="a8"/>
        </w:rPr>
        <w:footnoteRef/>
      </w:r>
      <w:r>
        <w:rPr>
          <w:rFonts w:hint="eastAsia"/>
        </w:rPr>
        <w:t>紐約時報</w:t>
      </w:r>
      <w:r w:rsidRPr="002C25CF">
        <w:rPr>
          <w:rFonts w:hint="eastAsia"/>
        </w:rPr>
        <w:t>2017</w:t>
      </w:r>
      <w:r w:rsidRPr="002C25CF">
        <w:rPr>
          <w:rFonts w:hint="eastAsia"/>
        </w:rPr>
        <w:t>年</w:t>
      </w:r>
      <w:r w:rsidRPr="002C25CF">
        <w:rPr>
          <w:rFonts w:hint="eastAsia"/>
        </w:rPr>
        <w:t>10</w:t>
      </w:r>
      <w:r w:rsidRPr="002C25CF">
        <w:rPr>
          <w:rFonts w:hint="eastAsia"/>
        </w:rPr>
        <w:t>月</w:t>
      </w:r>
      <w:r w:rsidRPr="002C25CF">
        <w:rPr>
          <w:rFonts w:hint="eastAsia"/>
        </w:rPr>
        <w:t>24</w:t>
      </w:r>
      <w:r w:rsidRPr="002C25CF">
        <w:rPr>
          <w:rFonts w:hint="eastAsia"/>
        </w:rPr>
        <w:t>日</w:t>
      </w:r>
      <w:r>
        <w:rPr>
          <w:rFonts w:hint="eastAsia"/>
        </w:rPr>
        <w:t>報導，</w:t>
      </w:r>
      <w:r w:rsidRPr="002C25CF">
        <w:rPr>
          <w:rFonts w:hint="eastAsia"/>
        </w:rPr>
        <w:t>法國興業銀行</w:t>
      </w:r>
      <w:r w:rsidRPr="002C25CF">
        <w:rPr>
          <w:rFonts w:hint="eastAsia"/>
        </w:rPr>
        <w:t>(Soci</w:t>
      </w:r>
      <w:r w:rsidRPr="002C25CF">
        <w:rPr>
          <w:rFonts w:hint="eastAsia"/>
        </w:rPr>
        <w:t>é</w:t>
      </w:r>
      <w:r w:rsidRPr="002C25CF">
        <w:rPr>
          <w:rFonts w:hint="eastAsia"/>
        </w:rPr>
        <w:t>t</w:t>
      </w:r>
      <w:r w:rsidRPr="002C25CF">
        <w:rPr>
          <w:rFonts w:hint="eastAsia"/>
        </w:rPr>
        <w:t>é</w:t>
      </w:r>
      <w:r w:rsidRPr="002C25CF">
        <w:rPr>
          <w:rFonts w:hint="eastAsia"/>
        </w:rPr>
        <w:t xml:space="preserve"> G</w:t>
      </w:r>
      <w:r w:rsidRPr="002C25CF">
        <w:rPr>
          <w:rFonts w:hint="eastAsia"/>
        </w:rPr>
        <w:t>é</w:t>
      </w:r>
      <w:r w:rsidRPr="002C25CF">
        <w:rPr>
          <w:rFonts w:hint="eastAsia"/>
        </w:rPr>
        <w:t>n</w:t>
      </w:r>
      <w:r w:rsidRPr="002C25CF">
        <w:rPr>
          <w:rFonts w:hint="eastAsia"/>
        </w:rPr>
        <w:t>é</w:t>
      </w:r>
      <w:r w:rsidRPr="002C25CF">
        <w:rPr>
          <w:rFonts w:hint="eastAsia"/>
        </w:rPr>
        <w:t>rale)</w:t>
      </w:r>
      <w:r w:rsidRPr="002C25CF">
        <w:rPr>
          <w:rFonts w:hint="eastAsia"/>
        </w:rPr>
        <w:t>研究報告中預測，限制環境污染可能會讓經濟增長速度減少</w:t>
      </w:r>
      <w:r w:rsidRPr="002C25CF">
        <w:rPr>
          <w:rFonts w:hint="eastAsia"/>
        </w:rPr>
        <w:t>0.2</w:t>
      </w:r>
      <w:r w:rsidRPr="002C25CF">
        <w:rPr>
          <w:rFonts w:hint="eastAsia"/>
        </w:rPr>
        <w:t>個百分點。</w:t>
      </w:r>
    </w:p>
  </w:footnote>
  <w:footnote w:id="7">
    <w:p w:rsidR="00902F1A" w:rsidRDefault="00902F1A" w:rsidP="003E7BB4">
      <w:pPr>
        <w:pStyle w:val="a6"/>
      </w:pPr>
      <w:r>
        <w:rPr>
          <w:rStyle w:val="a8"/>
        </w:rPr>
        <w:footnoteRef/>
      </w:r>
      <w:r>
        <w:t xml:space="preserve"> </w:t>
      </w:r>
      <w:r w:rsidRPr="00962C5A">
        <w:rPr>
          <w:rFonts w:hint="eastAsia"/>
        </w:rPr>
        <w:t>興業銀行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日「</w:t>
      </w:r>
      <w:r w:rsidRPr="00962C5A">
        <w:rPr>
          <w:rFonts w:hint="eastAsia"/>
        </w:rPr>
        <w:t>環保稅的“增”與“減”</w:t>
      </w:r>
      <w:r>
        <w:rPr>
          <w:rFonts w:hint="eastAsia"/>
        </w:rPr>
        <w:t>」報告指出，</w:t>
      </w:r>
      <w:r w:rsidRPr="00962C5A">
        <w:rPr>
          <w:rFonts w:hint="eastAsia"/>
        </w:rPr>
        <w:t>新增的</w:t>
      </w:r>
      <w:proofErr w:type="gramStart"/>
      <w:r w:rsidRPr="00962C5A">
        <w:rPr>
          <w:rFonts w:hint="eastAsia"/>
        </w:rPr>
        <w:t>稅負對</w:t>
      </w:r>
      <w:r>
        <w:rPr>
          <w:rFonts w:hint="eastAsia"/>
        </w:rPr>
        <w:t>中</w:t>
      </w:r>
      <w:r w:rsidRPr="00962C5A">
        <w:rPr>
          <w:rFonts w:hint="eastAsia"/>
        </w:rPr>
        <w:t>國</w:t>
      </w:r>
      <w:r>
        <w:rPr>
          <w:rFonts w:hint="eastAsia"/>
        </w:rPr>
        <w:t>大陸</w:t>
      </w:r>
      <w:proofErr w:type="gramEnd"/>
      <w:r w:rsidRPr="00962C5A">
        <w:rPr>
          <w:rFonts w:hint="eastAsia"/>
        </w:rPr>
        <w:t>工業生產總成本</w:t>
      </w:r>
      <w:r>
        <w:rPr>
          <w:rFonts w:hint="eastAsia"/>
        </w:rPr>
        <w:t>將增加</w:t>
      </w:r>
      <w:r w:rsidRPr="00962C5A">
        <w:rPr>
          <w:rFonts w:hint="eastAsia"/>
        </w:rPr>
        <w:t>0.1%</w:t>
      </w:r>
      <w:r w:rsidRPr="00962C5A">
        <w:rPr>
          <w:rFonts w:hint="eastAsia"/>
        </w:rPr>
        <w:t>左右</w:t>
      </w:r>
      <w:r>
        <w:rPr>
          <w:rFonts w:hint="eastAsia"/>
        </w:rPr>
        <w:t>。</w:t>
      </w:r>
    </w:p>
  </w:footnote>
  <w:footnote w:id="8">
    <w:p w:rsidR="00902F1A" w:rsidRDefault="00902F1A" w:rsidP="003E7BB4">
      <w:pPr>
        <w:pStyle w:val="a6"/>
      </w:pPr>
      <w:r>
        <w:rPr>
          <w:rStyle w:val="a8"/>
        </w:rPr>
        <w:footnoteRef/>
      </w:r>
      <w:r w:rsidRPr="00962C5A">
        <w:rPr>
          <w:rFonts w:hint="eastAsia"/>
        </w:rPr>
        <w:t>環保稅收稅標準並非固定，稅額是以現行排污費收費標準</w:t>
      </w:r>
      <w:r>
        <w:rPr>
          <w:rFonts w:hint="eastAsia"/>
        </w:rPr>
        <w:t>作為</w:t>
      </w:r>
      <w:r w:rsidRPr="00962C5A">
        <w:rPr>
          <w:rFonts w:hint="eastAsia"/>
        </w:rPr>
        <w:t>最低值，各地稅額需由地方政府劃定，鼓勵地方上調收取標準，上限為最低標準的十倍。</w:t>
      </w:r>
    </w:p>
  </w:footnote>
  <w:footnote w:id="9">
    <w:p w:rsidR="00902F1A" w:rsidRDefault="00902F1A" w:rsidP="00120BA0">
      <w:pPr>
        <w:pStyle w:val="a6"/>
      </w:pPr>
      <w:r>
        <w:rPr>
          <w:rStyle w:val="a8"/>
        </w:rPr>
        <w:footnoteRef/>
      </w:r>
      <w:r w:rsidRPr="004724AB">
        <w:rPr>
          <w:rFonts w:hint="eastAsia"/>
        </w:rPr>
        <w:t>投資人身分別由外國投資人變動為陸資投資人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2BA"/>
    <w:multiLevelType w:val="hybridMultilevel"/>
    <w:tmpl w:val="C55CDAD6"/>
    <w:lvl w:ilvl="0" w:tplc="04090017">
      <w:start w:val="1"/>
      <w:numFmt w:val="ideographLegalTraditional"/>
      <w:lvlText w:val="%1、"/>
      <w:lvlJc w:val="left"/>
      <w:pPr>
        <w:ind w:left="79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C724C7"/>
    <w:multiLevelType w:val="hybridMultilevel"/>
    <w:tmpl w:val="284C5DFC"/>
    <w:lvl w:ilvl="0" w:tplc="26D05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F001CF"/>
    <w:multiLevelType w:val="hybridMultilevel"/>
    <w:tmpl w:val="CF2676C2"/>
    <w:lvl w:ilvl="0" w:tplc="632274D2">
      <w:start w:val="1"/>
      <w:numFmt w:val="taiwaneseCountingThousand"/>
      <w:lvlText w:val="(%1)"/>
      <w:lvlJc w:val="left"/>
      <w:pPr>
        <w:ind w:left="3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2" w:hanging="480"/>
      </w:pPr>
    </w:lvl>
    <w:lvl w:ilvl="2" w:tplc="0409001B">
      <w:start w:val="1"/>
      <w:numFmt w:val="lowerRoman"/>
      <w:lvlText w:val="%3."/>
      <w:lvlJc w:val="right"/>
      <w:pPr>
        <w:ind w:left="1322" w:hanging="480"/>
      </w:pPr>
    </w:lvl>
    <w:lvl w:ilvl="3" w:tplc="0409000F" w:tentative="1">
      <w:start w:val="1"/>
      <w:numFmt w:val="decimal"/>
      <w:lvlText w:val="%4."/>
      <w:lvlJc w:val="left"/>
      <w:pPr>
        <w:ind w:left="18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2" w:hanging="480"/>
      </w:pPr>
    </w:lvl>
    <w:lvl w:ilvl="5" w:tplc="0409001B" w:tentative="1">
      <w:start w:val="1"/>
      <w:numFmt w:val="lowerRoman"/>
      <w:lvlText w:val="%6."/>
      <w:lvlJc w:val="right"/>
      <w:pPr>
        <w:ind w:left="2762" w:hanging="480"/>
      </w:pPr>
    </w:lvl>
    <w:lvl w:ilvl="6" w:tplc="0409000F" w:tentative="1">
      <w:start w:val="1"/>
      <w:numFmt w:val="decimal"/>
      <w:lvlText w:val="%7."/>
      <w:lvlJc w:val="left"/>
      <w:pPr>
        <w:ind w:left="3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2" w:hanging="480"/>
      </w:pPr>
    </w:lvl>
    <w:lvl w:ilvl="8" w:tplc="0409001B" w:tentative="1">
      <w:start w:val="1"/>
      <w:numFmt w:val="lowerRoman"/>
      <w:lvlText w:val="%9."/>
      <w:lvlJc w:val="right"/>
      <w:pPr>
        <w:ind w:left="4202" w:hanging="480"/>
      </w:pPr>
    </w:lvl>
  </w:abstractNum>
  <w:abstractNum w:abstractNumId="3">
    <w:nsid w:val="26791715"/>
    <w:multiLevelType w:val="hybridMultilevel"/>
    <w:tmpl w:val="8FC4C766"/>
    <w:lvl w:ilvl="0" w:tplc="6610E3E4">
      <w:start w:val="1"/>
      <w:numFmt w:val="bullet"/>
      <w:lvlText w:val="－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2BBD1E6E"/>
    <w:multiLevelType w:val="hybridMultilevel"/>
    <w:tmpl w:val="CF2676C2"/>
    <w:lvl w:ilvl="0" w:tplc="632274D2">
      <w:start w:val="1"/>
      <w:numFmt w:val="taiwaneseCountingThousand"/>
      <w:lvlText w:val="(%1)"/>
      <w:lvlJc w:val="left"/>
      <w:pPr>
        <w:ind w:left="3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2" w:hanging="480"/>
      </w:pPr>
    </w:lvl>
    <w:lvl w:ilvl="2" w:tplc="0409001B">
      <w:start w:val="1"/>
      <w:numFmt w:val="lowerRoman"/>
      <w:lvlText w:val="%3."/>
      <w:lvlJc w:val="right"/>
      <w:pPr>
        <w:ind w:left="1322" w:hanging="480"/>
      </w:pPr>
    </w:lvl>
    <w:lvl w:ilvl="3" w:tplc="0409000F" w:tentative="1">
      <w:start w:val="1"/>
      <w:numFmt w:val="decimal"/>
      <w:lvlText w:val="%4."/>
      <w:lvlJc w:val="left"/>
      <w:pPr>
        <w:ind w:left="18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2" w:hanging="480"/>
      </w:pPr>
    </w:lvl>
    <w:lvl w:ilvl="5" w:tplc="0409001B" w:tentative="1">
      <w:start w:val="1"/>
      <w:numFmt w:val="lowerRoman"/>
      <w:lvlText w:val="%6."/>
      <w:lvlJc w:val="right"/>
      <w:pPr>
        <w:ind w:left="2762" w:hanging="480"/>
      </w:pPr>
    </w:lvl>
    <w:lvl w:ilvl="6" w:tplc="0409000F" w:tentative="1">
      <w:start w:val="1"/>
      <w:numFmt w:val="decimal"/>
      <w:lvlText w:val="%7."/>
      <w:lvlJc w:val="left"/>
      <w:pPr>
        <w:ind w:left="3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2" w:hanging="480"/>
      </w:pPr>
    </w:lvl>
    <w:lvl w:ilvl="8" w:tplc="0409001B" w:tentative="1">
      <w:start w:val="1"/>
      <w:numFmt w:val="lowerRoman"/>
      <w:lvlText w:val="%9."/>
      <w:lvlJc w:val="right"/>
      <w:pPr>
        <w:ind w:left="4202" w:hanging="480"/>
      </w:pPr>
    </w:lvl>
  </w:abstractNum>
  <w:abstractNum w:abstractNumId="5">
    <w:nsid w:val="2C2E1AEA"/>
    <w:multiLevelType w:val="hybridMultilevel"/>
    <w:tmpl w:val="284C5DFC"/>
    <w:lvl w:ilvl="0" w:tplc="26D051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F65F84"/>
    <w:multiLevelType w:val="hybridMultilevel"/>
    <w:tmpl w:val="03C05690"/>
    <w:lvl w:ilvl="0" w:tplc="03C03EE8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328377C4"/>
    <w:multiLevelType w:val="multilevel"/>
    <w:tmpl w:val="C6262BAC"/>
    <w:lvl w:ilvl="0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>
      <w:start w:val="1"/>
      <w:numFmt w:val="taiwaneseCountingThousand"/>
      <w:pStyle w:val="2"/>
      <w:lvlText w:val="%2、"/>
      <w:lvlJc w:val="left"/>
      <w:pPr>
        <w:ind w:left="1670" w:hanging="480"/>
      </w:pPr>
      <w:rPr>
        <w:rFonts w:hint="eastAsia"/>
      </w:rPr>
    </w:lvl>
    <w:lvl w:ilvl="2">
      <w:start w:val="1"/>
      <w:numFmt w:val="taiwaneseCountingThousand"/>
      <w:pStyle w:val="3"/>
      <w:lvlText w:val="（%3）"/>
      <w:lvlJc w:val="left"/>
      <w:pPr>
        <w:ind w:left="1383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32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ind w:left="263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11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9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7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55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030" w:hanging="480"/>
      </w:pPr>
      <w:rPr>
        <w:rFonts w:hint="eastAsia"/>
      </w:rPr>
    </w:lvl>
  </w:abstractNum>
  <w:abstractNum w:abstractNumId="8">
    <w:nsid w:val="365C2F72"/>
    <w:multiLevelType w:val="hybridMultilevel"/>
    <w:tmpl w:val="6DE6A532"/>
    <w:lvl w:ilvl="0" w:tplc="632274D2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>
    <w:nsid w:val="3D552C9A"/>
    <w:multiLevelType w:val="hybridMultilevel"/>
    <w:tmpl w:val="284C5DFC"/>
    <w:lvl w:ilvl="0" w:tplc="26D05108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EC83B44"/>
    <w:multiLevelType w:val="hybridMultilevel"/>
    <w:tmpl w:val="CF0A27E0"/>
    <w:lvl w:ilvl="0" w:tplc="04090003">
      <w:start w:val="1"/>
      <w:numFmt w:val="bullet"/>
      <w:lvlText w:val="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1">
    <w:nsid w:val="3F7B0F5D"/>
    <w:multiLevelType w:val="hybridMultilevel"/>
    <w:tmpl w:val="284C5DFC"/>
    <w:lvl w:ilvl="0" w:tplc="26D05108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9F01EB5"/>
    <w:multiLevelType w:val="hybridMultilevel"/>
    <w:tmpl w:val="85A4637A"/>
    <w:lvl w:ilvl="0" w:tplc="03C03EE8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ED60CFE"/>
    <w:multiLevelType w:val="hybridMultilevel"/>
    <w:tmpl w:val="5AB0703A"/>
    <w:lvl w:ilvl="0" w:tplc="E5244614">
      <w:start w:val="1"/>
      <w:numFmt w:val="ideographLegalTraditional"/>
      <w:pStyle w:val="1"/>
      <w:lvlText w:val="%1、"/>
      <w:lvlJc w:val="left"/>
      <w:pPr>
        <w:ind w:left="481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4">
    <w:nsid w:val="63550CA4"/>
    <w:multiLevelType w:val="hybridMultilevel"/>
    <w:tmpl w:val="CF2676C2"/>
    <w:lvl w:ilvl="0" w:tplc="632274D2">
      <w:start w:val="1"/>
      <w:numFmt w:val="taiwaneseCountingThousand"/>
      <w:lvlText w:val="(%1)"/>
      <w:lvlJc w:val="left"/>
      <w:pPr>
        <w:ind w:left="3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2" w:hanging="480"/>
      </w:pPr>
    </w:lvl>
    <w:lvl w:ilvl="2" w:tplc="0409001B">
      <w:start w:val="1"/>
      <w:numFmt w:val="lowerRoman"/>
      <w:lvlText w:val="%3."/>
      <w:lvlJc w:val="right"/>
      <w:pPr>
        <w:ind w:left="1322" w:hanging="480"/>
      </w:pPr>
    </w:lvl>
    <w:lvl w:ilvl="3" w:tplc="0409000F" w:tentative="1">
      <w:start w:val="1"/>
      <w:numFmt w:val="decimal"/>
      <w:lvlText w:val="%4."/>
      <w:lvlJc w:val="left"/>
      <w:pPr>
        <w:ind w:left="18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2" w:hanging="480"/>
      </w:pPr>
    </w:lvl>
    <w:lvl w:ilvl="5" w:tplc="0409001B" w:tentative="1">
      <w:start w:val="1"/>
      <w:numFmt w:val="lowerRoman"/>
      <w:lvlText w:val="%6."/>
      <w:lvlJc w:val="right"/>
      <w:pPr>
        <w:ind w:left="2762" w:hanging="480"/>
      </w:pPr>
    </w:lvl>
    <w:lvl w:ilvl="6" w:tplc="0409000F" w:tentative="1">
      <w:start w:val="1"/>
      <w:numFmt w:val="decimal"/>
      <w:lvlText w:val="%7."/>
      <w:lvlJc w:val="left"/>
      <w:pPr>
        <w:ind w:left="3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2" w:hanging="480"/>
      </w:pPr>
    </w:lvl>
    <w:lvl w:ilvl="8" w:tplc="0409001B" w:tentative="1">
      <w:start w:val="1"/>
      <w:numFmt w:val="lowerRoman"/>
      <w:lvlText w:val="%9."/>
      <w:lvlJc w:val="right"/>
      <w:pPr>
        <w:ind w:left="4202" w:hanging="480"/>
      </w:pPr>
    </w:lvl>
  </w:abstractNum>
  <w:abstractNum w:abstractNumId="15">
    <w:nsid w:val="7A7934DC"/>
    <w:multiLevelType w:val="hybridMultilevel"/>
    <w:tmpl w:val="FD22CE8A"/>
    <w:lvl w:ilvl="0" w:tplc="0D84C7A4">
      <w:start w:val="1"/>
      <w:numFmt w:val="taiwaneseCountingThousand"/>
      <w:pStyle w:val="10"/>
      <w:lvlText w:val="(%1)"/>
      <w:lvlJc w:val="left"/>
      <w:pPr>
        <w:ind w:left="481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6">
    <w:nsid w:val="7F082CEB"/>
    <w:multiLevelType w:val="hybridMultilevel"/>
    <w:tmpl w:val="6ACA6796"/>
    <w:lvl w:ilvl="0" w:tplc="60261DFA">
      <w:start w:val="1"/>
      <w:numFmt w:val="taiwaneseCountingThousand"/>
      <w:lvlText w:val="(%1)"/>
      <w:lvlJc w:val="left"/>
      <w:pPr>
        <w:ind w:left="494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6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14"/>
  </w:num>
  <w:num w:numId="10">
    <w:abstractNumId w:val="4"/>
  </w:num>
  <w:num w:numId="11">
    <w:abstractNumId w:val="3"/>
  </w:num>
  <w:num w:numId="12">
    <w:abstractNumId w:val="16"/>
  </w:num>
  <w:num w:numId="13">
    <w:abstractNumId w:val="1"/>
  </w:num>
  <w:num w:numId="14">
    <w:abstractNumId w:val="9"/>
  </w:num>
  <w:num w:numId="15">
    <w:abstractNumId w:val="5"/>
  </w:num>
  <w:num w:numId="16">
    <w:abstractNumId w:val="11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CB"/>
    <w:rsid w:val="00000140"/>
    <w:rsid w:val="00000A86"/>
    <w:rsid w:val="00000C5F"/>
    <w:rsid w:val="00000E66"/>
    <w:rsid w:val="000017A1"/>
    <w:rsid w:val="00001A5E"/>
    <w:rsid w:val="00001D0C"/>
    <w:rsid w:val="0000200C"/>
    <w:rsid w:val="00002369"/>
    <w:rsid w:val="00002C28"/>
    <w:rsid w:val="000040A8"/>
    <w:rsid w:val="00004516"/>
    <w:rsid w:val="00005864"/>
    <w:rsid w:val="0000647C"/>
    <w:rsid w:val="000102CA"/>
    <w:rsid w:val="00010566"/>
    <w:rsid w:val="00010579"/>
    <w:rsid w:val="00010C43"/>
    <w:rsid w:val="000113D4"/>
    <w:rsid w:val="00011B05"/>
    <w:rsid w:val="00011CCB"/>
    <w:rsid w:val="000128F9"/>
    <w:rsid w:val="00013F19"/>
    <w:rsid w:val="000146B8"/>
    <w:rsid w:val="000150CC"/>
    <w:rsid w:val="000154C1"/>
    <w:rsid w:val="00015F52"/>
    <w:rsid w:val="000163FC"/>
    <w:rsid w:val="0001645B"/>
    <w:rsid w:val="0001653B"/>
    <w:rsid w:val="00016AE9"/>
    <w:rsid w:val="00016D61"/>
    <w:rsid w:val="00017FFA"/>
    <w:rsid w:val="000212A5"/>
    <w:rsid w:val="00021D72"/>
    <w:rsid w:val="00022509"/>
    <w:rsid w:val="00023552"/>
    <w:rsid w:val="00023B43"/>
    <w:rsid w:val="00024032"/>
    <w:rsid w:val="000249AD"/>
    <w:rsid w:val="00024DE4"/>
    <w:rsid w:val="00024F49"/>
    <w:rsid w:val="00025A50"/>
    <w:rsid w:val="0002642D"/>
    <w:rsid w:val="0002688B"/>
    <w:rsid w:val="00026F8D"/>
    <w:rsid w:val="00026FE0"/>
    <w:rsid w:val="000310EA"/>
    <w:rsid w:val="000313C0"/>
    <w:rsid w:val="0003155D"/>
    <w:rsid w:val="0003260E"/>
    <w:rsid w:val="0003403C"/>
    <w:rsid w:val="000340C0"/>
    <w:rsid w:val="00034F79"/>
    <w:rsid w:val="00035447"/>
    <w:rsid w:val="00035E08"/>
    <w:rsid w:val="00036597"/>
    <w:rsid w:val="00036D68"/>
    <w:rsid w:val="00037BD1"/>
    <w:rsid w:val="0004003B"/>
    <w:rsid w:val="00041D75"/>
    <w:rsid w:val="00041D7E"/>
    <w:rsid w:val="00041F92"/>
    <w:rsid w:val="00042157"/>
    <w:rsid w:val="000437F9"/>
    <w:rsid w:val="00044378"/>
    <w:rsid w:val="0004450F"/>
    <w:rsid w:val="00045AA9"/>
    <w:rsid w:val="00046092"/>
    <w:rsid w:val="00047D0C"/>
    <w:rsid w:val="000504EA"/>
    <w:rsid w:val="0005057D"/>
    <w:rsid w:val="00050D0E"/>
    <w:rsid w:val="000513AA"/>
    <w:rsid w:val="00051D1B"/>
    <w:rsid w:val="00054916"/>
    <w:rsid w:val="0005513C"/>
    <w:rsid w:val="00057F66"/>
    <w:rsid w:val="0006014B"/>
    <w:rsid w:val="00060953"/>
    <w:rsid w:val="000629D7"/>
    <w:rsid w:val="00062BBC"/>
    <w:rsid w:val="00063158"/>
    <w:rsid w:val="00063AC8"/>
    <w:rsid w:val="00063C52"/>
    <w:rsid w:val="00063DB9"/>
    <w:rsid w:val="000642D8"/>
    <w:rsid w:val="00064C1A"/>
    <w:rsid w:val="00065F77"/>
    <w:rsid w:val="000663A3"/>
    <w:rsid w:val="00066E61"/>
    <w:rsid w:val="0006708A"/>
    <w:rsid w:val="00067123"/>
    <w:rsid w:val="00067608"/>
    <w:rsid w:val="000702BA"/>
    <w:rsid w:val="00070E0E"/>
    <w:rsid w:val="0007135A"/>
    <w:rsid w:val="00071433"/>
    <w:rsid w:val="000719EC"/>
    <w:rsid w:val="00072132"/>
    <w:rsid w:val="00073507"/>
    <w:rsid w:val="00075BF4"/>
    <w:rsid w:val="00076AC7"/>
    <w:rsid w:val="00077840"/>
    <w:rsid w:val="00077B9F"/>
    <w:rsid w:val="00080168"/>
    <w:rsid w:val="0008097C"/>
    <w:rsid w:val="00082203"/>
    <w:rsid w:val="00083763"/>
    <w:rsid w:val="00084B2E"/>
    <w:rsid w:val="00084CDB"/>
    <w:rsid w:val="00084EBF"/>
    <w:rsid w:val="00085073"/>
    <w:rsid w:val="00085A9F"/>
    <w:rsid w:val="00086BCF"/>
    <w:rsid w:val="00087279"/>
    <w:rsid w:val="00087B40"/>
    <w:rsid w:val="00087B55"/>
    <w:rsid w:val="00090C57"/>
    <w:rsid w:val="00090DB3"/>
    <w:rsid w:val="00091C89"/>
    <w:rsid w:val="00091FD5"/>
    <w:rsid w:val="000926C5"/>
    <w:rsid w:val="00092CAA"/>
    <w:rsid w:val="0009307F"/>
    <w:rsid w:val="00093CF7"/>
    <w:rsid w:val="00094271"/>
    <w:rsid w:val="000948D0"/>
    <w:rsid w:val="000949F5"/>
    <w:rsid w:val="00094D48"/>
    <w:rsid w:val="0009569D"/>
    <w:rsid w:val="00095EF9"/>
    <w:rsid w:val="0009633A"/>
    <w:rsid w:val="00096D8A"/>
    <w:rsid w:val="00097000"/>
    <w:rsid w:val="00097803"/>
    <w:rsid w:val="000A0BB7"/>
    <w:rsid w:val="000A1269"/>
    <w:rsid w:val="000A133B"/>
    <w:rsid w:val="000A18A5"/>
    <w:rsid w:val="000A2280"/>
    <w:rsid w:val="000A248F"/>
    <w:rsid w:val="000A50FB"/>
    <w:rsid w:val="000A55A4"/>
    <w:rsid w:val="000A59A2"/>
    <w:rsid w:val="000A5EEB"/>
    <w:rsid w:val="000A5FC8"/>
    <w:rsid w:val="000A6E81"/>
    <w:rsid w:val="000A79E8"/>
    <w:rsid w:val="000B1524"/>
    <w:rsid w:val="000B2218"/>
    <w:rsid w:val="000B304C"/>
    <w:rsid w:val="000B3DA3"/>
    <w:rsid w:val="000B4183"/>
    <w:rsid w:val="000B47CC"/>
    <w:rsid w:val="000B4DD3"/>
    <w:rsid w:val="000B5C67"/>
    <w:rsid w:val="000B6A54"/>
    <w:rsid w:val="000B7AE2"/>
    <w:rsid w:val="000C0924"/>
    <w:rsid w:val="000C0B8D"/>
    <w:rsid w:val="000C2EE2"/>
    <w:rsid w:val="000C3761"/>
    <w:rsid w:val="000C37F2"/>
    <w:rsid w:val="000C3FFD"/>
    <w:rsid w:val="000C42ED"/>
    <w:rsid w:val="000C54E0"/>
    <w:rsid w:val="000C59F3"/>
    <w:rsid w:val="000C67D7"/>
    <w:rsid w:val="000C6B05"/>
    <w:rsid w:val="000C6B17"/>
    <w:rsid w:val="000C6C08"/>
    <w:rsid w:val="000C7609"/>
    <w:rsid w:val="000C773C"/>
    <w:rsid w:val="000C7BCE"/>
    <w:rsid w:val="000D06DC"/>
    <w:rsid w:val="000D0920"/>
    <w:rsid w:val="000D3A49"/>
    <w:rsid w:val="000D4A2C"/>
    <w:rsid w:val="000D4AF2"/>
    <w:rsid w:val="000D73DD"/>
    <w:rsid w:val="000D755E"/>
    <w:rsid w:val="000D77F2"/>
    <w:rsid w:val="000D78DD"/>
    <w:rsid w:val="000E0182"/>
    <w:rsid w:val="000E0394"/>
    <w:rsid w:val="000E0CCD"/>
    <w:rsid w:val="000E112E"/>
    <w:rsid w:val="000E17B7"/>
    <w:rsid w:val="000E1F7D"/>
    <w:rsid w:val="000E2107"/>
    <w:rsid w:val="000E2356"/>
    <w:rsid w:val="000E24AD"/>
    <w:rsid w:val="000E313B"/>
    <w:rsid w:val="000E372A"/>
    <w:rsid w:val="000E4958"/>
    <w:rsid w:val="000E595A"/>
    <w:rsid w:val="000E5AD0"/>
    <w:rsid w:val="000E6134"/>
    <w:rsid w:val="000E6942"/>
    <w:rsid w:val="000E6F03"/>
    <w:rsid w:val="000E7142"/>
    <w:rsid w:val="000E7F7F"/>
    <w:rsid w:val="000F040A"/>
    <w:rsid w:val="000F18B4"/>
    <w:rsid w:val="000F1A02"/>
    <w:rsid w:val="000F1D87"/>
    <w:rsid w:val="000F241A"/>
    <w:rsid w:val="000F261F"/>
    <w:rsid w:val="000F2F8C"/>
    <w:rsid w:val="000F2FA9"/>
    <w:rsid w:val="000F308F"/>
    <w:rsid w:val="000F3DE7"/>
    <w:rsid w:val="000F4104"/>
    <w:rsid w:val="000F68D0"/>
    <w:rsid w:val="000F6C62"/>
    <w:rsid w:val="000F6F0F"/>
    <w:rsid w:val="000F7FC7"/>
    <w:rsid w:val="001024F1"/>
    <w:rsid w:val="0010277B"/>
    <w:rsid w:val="00103756"/>
    <w:rsid w:val="00103E7E"/>
    <w:rsid w:val="00104156"/>
    <w:rsid w:val="001042E6"/>
    <w:rsid w:val="00104479"/>
    <w:rsid w:val="00104608"/>
    <w:rsid w:val="00104A5C"/>
    <w:rsid w:val="0010573C"/>
    <w:rsid w:val="00105CD3"/>
    <w:rsid w:val="00105F00"/>
    <w:rsid w:val="00106685"/>
    <w:rsid w:val="00107ACC"/>
    <w:rsid w:val="00107CE6"/>
    <w:rsid w:val="00107D55"/>
    <w:rsid w:val="00111C76"/>
    <w:rsid w:val="00111DA2"/>
    <w:rsid w:val="00111F49"/>
    <w:rsid w:val="00114450"/>
    <w:rsid w:val="001161A6"/>
    <w:rsid w:val="001164AD"/>
    <w:rsid w:val="00116CC8"/>
    <w:rsid w:val="00116D20"/>
    <w:rsid w:val="00120727"/>
    <w:rsid w:val="001207FF"/>
    <w:rsid w:val="001208AE"/>
    <w:rsid w:val="00120AB6"/>
    <w:rsid w:val="00120BA0"/>
    <w:rsid w:val="00121DD9"/>
    <w:rsid w:val="0012248A"/>
    <w:rsid w:val="00123534"/>
    <w:rsid w:val="001246CD"/>
    <w:rsid w:val="00125824"/>
    <w:rsid w:val="00125DE5"/>
    <w:rsid w:val="001260BA"/>
    <w:rsid w:val="00126190"/>
    <w:rsid w:val="00126D5C"/>
    <w:rsid w:val="00127E89"/>
    <w:rsid w:val="00130490"/>
    <w:rsid w:val="00130A7D"/>
    <w:rsid w:val="001318A9"/>
    <w:rsid w:val="001318DE"/>
    <w:rsid w:val="0013215E"/>
    <w:rsid w:val="001325E9"/>
    <w:rsid w:val="001332C7"/>
    <w:rsid w:val="00133A36"/>
    <w:rsid w:val="00133D57"/>
    <w:rsid w:val="001345D2"/>
    <w:rsid w:val="00134843"/>
    <w:rsid w:val="00134D6E"/>
    <w:rsid w:val="001350D0"/>
    <w:rsid w:val="001365AD"/>
    <w:rsid w:val="00136D60"/>
    <w:rsid w:val="00137102"/>
    <w:rsid w:val="00137936"/>
    <w:rsid w:val="00137A90"/>
    <w:rsid w:val="00143548"/>
    <w:rsid w:val="001435D9"/>
    <w:rsid w:val="00143A45"/>
    <w:rsid w:val="00144C01"/>
    <w:rsid w:val="00145528"/>
    <w:rsid w:val="00145BCA"/>
    <w:rsid w:val="0014752F"/>
    <w:rsid w:val="001475DA"/>
    <w:rsid w:val="0015001C"/>
    <w:rsid w:val="00150490"/>
    <w:rsid w:val="00150D0C"/>
    <w:rsid w:val="001512A4"/>
    <w:rsid w:val="0015151A"/>
    <w:rsid w:val="00151DE9"/>
    <w:rsid w:val="00152A87"/>
    <w:rsid w:val="00152BD7"/>
    <w:rsid w:val="00152E8F"/>
    <w:rsid w:val="001532BE"/>
    <w:rsid w:val="00154082"/>
    <w:rsid w:val="0015427F"/>
    <w:rsid w:val="0015442C"/>
    <w:rsid w:val="00154D51"/>
    <w:rsid w:val="00155370"/>
    <w:rsid w:val="0015542E"/>
    <w:rsid w:val="001559A2"/>
    <w:rsid w:val="00155EFE"/>
    <w:rsid w:val="00155F07"/>
    <w:rsid w:val="00156807"/>
    <w:rsid w:val="00156E2A"/>
    <w:rsid w:val="00156F20"/>
    <w:rsid w:val="0015727D"/>
    <w:rsid w:val="00157C5C"/>
    <w:rsid w:val="00161583"/>
    <w:rsid w:val="00161792"/>
    <w:rsid w:val="00161865"/>
    <w:rsid w:val="001619E4"/>
    <w:rsid w:val="0016214F"/>
    <w:rsid w:val="00162CA9"/>
    <w:rsid w:val="00163618"/>
    <w:rsid w:val="00163A79"/>
    <w:rsid w:val="00164061"/>
    <w:rsid w:val="00164154"/>
    <w:rsid w:val="0016441F"/>
    <w:rsid w:val="00164BDF"/>
    <w:rsid w:val="001650BB"/>
    <w:rsid w:val="00166235"/>
    <w:rsid w:val="00166A18"/>
    <w:rsid w:val="00166BC6"/>
    <w:rsid w:val="0016717A"/>
    <w:rsid w:val="00167EE0"/>
    <w:rsid w:val="00170909"/>
    <w:rsid w:val="00171B09"/>
    <w:rsid w:val="001720C9"/>
    <w:rsid w:val="00172FF4"/>
    <w:rsid w:val="0017351A"/>
    <w:rsid w:val="00173913"/>
    <w:rsid w:val="00173CCF"/>
    <w:rsid w:val="00174688"/>
    <w:rsid w:val="00174D82"/>
    <w:rsid w:val="001756F5"/>
    <w:rsid w:val="00176AA3"/>
    <w:rsid w:val="0017769E"/>
    <w:rsid w:val="00177A46"/>
    <w:rsid w:val="00177A85"/>
    <w:rsid w:val="00181040"/>
    <w:rsid w:val="0018186A"/>
    <w:rsid w:val="0018224E"/>
    <w:rsid w:val="00182701"/>
    <w:rsid w:val="001831A7"/>
    <w:rsid w:val="00183901"/>
    <w:rsid w:val="0018436A"/>
    <w:rsid w:val="0018489E"/>
    <w:rsid w:val="00184F37"/>
    <w:rsid w:val="0018560C"/>
    <w:rsid w:val="00185789"/>
    <w:rsid w:val="0018661B"/>
    <w:rsid w:val="00187615"/>
    <w:rsid w:val="001877B3"/>
    <w:rsid w:val="0018792C"/>
    <w:rsid w:val="0019007C"/>
    <w:rsid w:val="001907E2"/>
    <w:rsid w:val="00191108"/>
    <w:rsid w:val="0019230E"/>
    <w:rsid w:val="001954D6"/>
    <w:rsid w:val="001957DA"/>
    <w:rsid w:val="00195D44"/>
    <w:rsid w:val="001966AB"/>
    <w:rsid w:val="00196E37"/>
    <w:rsid w:val="00197B38"/>
    <w:rsid w:val="00197E56"/>
    <w:rsid w:val="00197EC9"/>
    <w:rsid w:val="001A0556"/>
    <w:rsid w:val="001A12EB"/>
    <w:rsid w:val="001A158E"/>
    <w:rsid w:val="001A1B53"/>
    <w:rsid w:val="001A1D70"/>
    <w:rsid w:val="001A27F5"/>
    <w:rsid w:val="001A2EBD"/>
    <w:rsid w:val="001A3177"/>
    <w:rsid w:val="001A42BA"/>
    <w:rsid w:val="001A4EDD"/>
    <w:rsid w:val="001A6161"/>
    <w:rsid w:val="001A7918"/>
    <w:rsid w:val="001B0A4D"/>
    <w:rsid w:val="001B0A54"/>
    <w:rsid w:val="001B0FE4"/>
    <w:rsid w:val="001B13D4"/>
    <w:rsid w:val="001B240D"/>
    <w:rsid w:val="001B4392"/>
    <w:rsid w:val="001B551A"/>
    <w:rsid w:val="001B61A3"/>
    <w:rsid w:val="001B6879"/>
    <w:rsid w:val="001B6A4F"/>
    <w:rsid w:val="001B6FAA"/>
    <w:rsid w:val="001B7033"/>
    <w:rsid w:val="001B7141"/>
    <w:rsid w:val="001B73F1"/>
    <w:rsid w:val="001B7A1C"/>
    <w:rsid w:val="001B7E46"/>
    <w:rsid w:val="001C019C"/>
    <w:rsid w:val="001C0918"/>
    <w:rsid w:val="001C0B36"/>
    <w:rsid w:val="001C1223"/>
    <w:rsid w:val="001C1730"/>
    <w:rsid w:val="001C1ABA"/>
    <w:rsid w:val="001C23C7"/>
    <w:rsid w:val="001C4903"/>
    <w:rsid w:val="001C4DFB"/>
    <w:rsid w:val="001C5048"/>
    <w:rsid w:val="001C5B72"/>
    <w:rsid w:val="001C6758"/>
    <w:rsid w:val="001C6960"/>
    <w:rsid w:val="001C6A0B"/>
    <w:rsid w:val="001C778E"/>
    <w:rsid w:val="001D0991"/>
    <w:rsid w:val="001D0A13"/>
    <w:rsid w:val="001D1AD7"/>
    <w:rsid w:val="001D1B93"/>
    <w:rsid w:val="001D2159"/>
    <w:rsid w:val="001D384E"/>
    <w:rsid w:val="001D4D17"/>
    <w:rsid w:val="001D5CDC"/>
    <w:rsid w:val="001D5DDF"/>
    <w:rsid w:val="001D7797"/>
    <w:rsid w:val="001E03EB"/>
    <w:rsid w:val="001E05FB"/>
    <w:rsid w:val="001E0F99"/>
    <w:rsid w:val="001E19DD"/>
    <w:rsid w:val="001E2451"/>
    <w:rsid w:val="001E3664"/>
    <w:rsid w:val="001E53A3"/>
    <w:rsid w:val="001E5EF6"/>
    <w:rsid w:val="001E6A27"/>
    <w:rsid w:val="001F0E7C"/>
    <w:rsid w:val="001F0F70"/>
    <w:rsid w:val="001F1196"/>
    <w:rsid w:val="001F1EF6"/>
    <w:rsid w:val="001F206D"/>
    <w:rsid w:val="001F22C0"/>
    <w:rsid w:val="001F350C"/>
    <w:rsid w:val="001F46A0"/>
    <w:rsid w:val="001F4AB4"/>
    <w:rsid w:val="001F4DAB"/>
    <w:rsid w:val="001F5C0C"/>
    <w:rsid w:val="001F5D94"/>
    <w:rsid w:val="001F7442"/>
    <w:rsid w:val="001F78C8"/>
    <w:rsid w:val="001F7B71"/>
    <w:rsid w:val="0020110A"/>
    <w:rsid w:val="0020149B"/>
    <w:rsid w:val="00201E49"/>
    <w:rsid w:val="0020268A"/>
    <w:rsid w:val="0020294B"/>
    <w:rsid w:val="0020492A"/>
    <w:rsid w:val="00204A7F"/>
    <w:rsid w:val="002056B3"/>
    <w:rsid w:val="00205906"/>
    <w:rsid w:val="0020661E"/>
    <w:rsid w:val="002074F5"/>
    <w:rsid w:val="00207535"/>
    <w:rsid w:val="0021016A"/>
    <w:rsid w:val="00210235"/>
    <w:rsid w:val="00210A9E"/>
    <w:rsid w:val="00210D1F"/>
    <w:rsid w:val="0021190E"/>
    <w:rsid w:val="00211BB9"/>
    <w:rsid w:val="00213165"/>
    <w:rsid w:val="002131FB"/>
    <w:rsid w:val="002142D3"/>
    <w:rsid w:val="0021468B"/>
    <w:rsid w:val="00214EEA"/>
    <w:rsid w:val="0021664B"/>
    <w:rsid w:val="002166F2"/>
    <w:rsid w:val="00216C41"/>
    <w:rsid w:val="00217D34"/>
    <w:rsid w:val="00220424"/>
    <w:rsid w:val="0022042E"/>
    <w:rsid w:val="0022056A"/>
    <w:rsid w:val="00220B0E"/>
    <w:rsid w:val="0022133A"/>
    <w:rsid w:val="00221515"/>
    <w:rsid w:val="002217AE"/>
    <w:rsid w:val="00221F73"/>
    <w:rsid w:val="002227FA"/>
    <w:rsid w:val="00222957"/>
    <w:rsid w:val="00223729"/>
    <w:rsid w:val="002239F7"/>
    <w:rsid w:val="00223D44"/>
    <w:rsid w:val="00223E10"/>
    <w:rsid w:val="00227114"/>
    <w:rsid w:val="0023017E"/>
    <w:rsid w:val="00230A59"/>
    <w:rsid w:val="002317C9"/>
    <w:rsid w:val="00231B14"/>
    <w:rsid w:val="00232E1B"/>
    <w:rsid w:val="002330D9"/>
    <w:rsid w:val="0023397A"/>
    <w:rsid w:val="00233D98"/>
    <w:rsid w:val="00234A23"/>
    <w:rsid w:val="00235584"/>
    <w:rsid w:val="0023647B"/>
    <w:rsid w:val="0023654F"/>
    <w:rsid w:val="002371BD"/>
    <w:rsid w:val="0023726C"/>
    <w:rsid w:val="00237B28"/>
    <w:rsid w:val="00240432"/>
    <w:rsid w:val="00240901"/>
    <w:rsid w:val="00242250"/>
    <w:rsid w:val="00242446"/>
    <w:rsid w:val="00242F40"/>
    <w:rsid w:val="0024384C"/>
    <w:rsid w:val="0024397A"/>
    <w:rsid w:val="002439BE"/>
    <w:rsid w:val="002446F8"/>
    <w:rsid w:val="00244C3C"/>
    <w:rsid w:val="00244D9C"/>
    <w:rsid w:val="002454D0"/>
    <w:rsid w:val="002456B3"/>
    <w:rsid w:val="002460CA"/>
    <w:rsid w:val="00246876"/>
    <w:rsid w:val="00246D86"/>
    <w:rsid w:val="00246E8A"/>
    <w:rsid w:val="00251F3E"/>
    <w:rsid w:val="0025200A"/>
    <w:rsid w:val="0025201E"/>
    <w:rsid w:val="00252490"/>
    <w:rsid w:val="0025272B"/>
    <w:rsid w:val="00252B03"/>
    <w:rsid w:val="00252EE1"/>
    <w:rsid w:val="00253E1D"/>
    <w:rsid w:val="00254020"/>
    <w:rsid w:val="00254326"/>
    <w:rsid w:val="002546D0"/>
    <w:rsid w:val="002557D9"/>
    <w:rsid w:val="002559CB"/>
    <w:rsid w:val="002571B8"/>
    <w:rsid w:val="00257C88"/>
    <w:rsid w:val="00260BE9"/>
    <w:rsid w:val="002614F3"/>
    <w:rsid w:val="00261E9D"/>
    <w:rsid w:val="002620FE"/>
    <w:rsid w:val="002627B5"/>
    <w:rsid w:val="00262D25"/>
    <w:rsid w:val="00264763"/>
    <w:rsid w:val="002656D5"/>
    <w:rsid w:val="002658AC"/>
    <w:rsid w:val="00265C64"/>
    <w:rsid w:val="002661BC"/>
    <w:rsid w:val="002669A0"/>
    <w:rsid w:val="00266B9E"/>
    <w:rsid w:val="00267827"/>
    <w:rsid w:val="00267E43"/>
    <w:rsid w:val="002700A6"/>
    <w:rsid w:val="002702B6"/>
    <w:rsid w:val="00270AF4"/>
    <w:rsid w:val="00270E00"/>
    <w:rsid w:val="00271002"/>
    <w:rsid w:val="002710A9"/>
    <w:rsid w:val="002711C6"/>
    <w:rsid w:val="00271593"/>
    <w:rsid w:val="00271A88"/>
    <w:rsid w:val="00271C24"/>
    <w:rsid w:val="00272197"/>
    <w:rsid w:val="002725E1"/>
    <w:rsid w:val="0027323D"/>
    <w:rsid w:val="0027339C"/>
    <w:rsid w:val="00273851"/>
    <w:rsid w:val="00274D95"/>
    <w:rsid w:val="00276801"/>
    <w:rsid w:val="002770FC"/>
    <w:rsid w:val="00277372"/>
    <w:rsid w:val="00277A1D"/>
    <w:rsid w:val="00280277"/>
    <w:rsid w:val="00281F91"/>
    <w:rsid w:val="0028203E"/>
    <w:rsid w:val="002823FD"/>
    <w:rsid w:val="00282545"/>
    <w:rsid w:val="00282A50"/>
    <w:rsid w:val="00282A85"/>
    <w:rsid w:val="002836A6"/>
    <w:rsid w:val="00283D07"/>
    <w:rsid w:val="00283DE1"/>
    <w:rsid w:val="002860D3"/>
    <w:rsid w:val="0028633B"/>
    <w:rsid w:val="002863DE"/>
    <w:rsid w:val="00286830"/>
    <w:rsid w:val="00286F7F"/>
    <w:rsid w:val="0029043D"/>
    <w:rsid w:val="002904E5"/>
    <w:rsid w:val="002918E0"/>
    <w:rsid w:val="00291F6D"/>
    <w:rsid w:val="00295D9A"/>
    <w:rsid w:val="0029662F"/>
    <w:rsid w:val="00296AC0"/>
    <w:rsid w:val="00297566"/>
    <w:rsid w:val="002975CD"/>
    <w:rsid w:val="00297A52"/>
    <w:rsid w:val="002A07A7"/>
    <w:rsid w:val="002A12E4"/>
    <w:rsid w:val="002A31A8"/>
    <w:rsid w:val="002A348C"/>
    <w:rsid w:val="002A4541"/>
    <w:rsid w:val="002A4869"/>
    <w:rsid w:val="002A49BF"/>
    <w:rsid w:val="002A4E4C"/>
    <w:rsid w:val="002A5654"/>
    <w:rsid w:val="002A5906"/>
    <w:rsid w:val="002A6623"/>
    <w:rsid w:val="002A765E"/>
    <w:rsid w:val="002B07F6"/>
    <w:rsid w:val="002B0AF5"/>
    <w:rsid w:val="002B0F28"/>
    <w:rsid w:val="002B240B"/>
    <w:rsid w:val="002B2545"/>
    <w:rsid w:val="002B338E"/>
    <w:rsid w:val="002B414B"/>
    <w:rsid w:val="002B447C"/>
    <w:rsid w:val="002B4C3D"/>
    <w:rsid w:val="002B505F"/>
    <w:rsid w:val="002B5189"/>
    <w:rsid w:val="002B54C8"/>
    <w:rsid w:val="002B54CD"/>
    <w:rsid w:val="002B54D7"/>
    <w:rsid w:val="002B5A3D"/>
    <w:rsid w:val="002B5F2E"/>
    <w:rsid w:val="002B60CD"/>
    <w:rsid w:val="002B6805"/>
    <w:rsid w:val="002B6B6C"/>
    <w:rsid w:val="002B6D5B"/>
    <w:rsid w:val="002B7873"/>
    <w:rsid w:val="002B78D9"/>
    <w:rsid w:val="002B7B90"/>
    <w:rsid w:val="002C067E"/>
    <w:rsid w:val="002C1DE0"/>
    <w:rsid w:val="002C2DA1"/>
    <w:rsid w:val="002C3D64"/>
    <w:rsid w:val="002C45AA"/>
    <w:rsid w:val="002C524F"/>
    <w:rsid w:val="002C644F"/>
    <w:rsid w:val="002C6893"/>
    <w:rsid w:val="002C6BD8"/>
    <w:rsid w:val="002C7A0C"/>
    <w:rsid w:val="002C7E84"/>
    <w:rsid w:val="002D0480"/>
    <w:rsid w:val="002D0E76"/>
    <w:rsid w:val="002D18DE"/>
    <w:rsid w:val="002D1C8B"/>
    <w:rsid w:val="002D226C"/>
    <w:rsid w:val="002D3306"/>
    <w:rsid w:val="002D3961"/>
    <w:rsid w:val="002D3A69"/>
    <w:rsid w:val="002D3F0F"/>
    <w:rsid w:val="002D467D"/>
    <w:rsid w:val="002D47A1"/>
    <w:rsid w:val="002D55A9"/>
    <w:rsid w:val="002D7730"/>
    <w:rsid w:val="002D78FB"/>
    <w:rsid w:val="002E0040"/>
    <w:rsid w:val="002E0958"/>
    <w:rsid w:val="002E1546"/>
    <w:rsid w:val="002E2FE1"/>
    <w:rsid w:val="002E3160"/>
    <w:rsid w:val="002E32E2"/>
    <w:rsid w:val="002E3F82"/>
    <w:rsid w:val="002E439A"/>
    <w:rsid w:val="002E4C8B"/>
    <w:rsid w:val="002E5699"/>
    <w:rsid w:val="002E60A4"/>
    <w:rsid w:val="002E6667"/>
    <w:rsid w:val="002E6AF4"/>
    <w:rsid w:val="002E6D09"/>
    <w:rsid w:val="002E6D30"/>
    <w:rsid w:val="002E70C6"/>
    <w:rsid w:val="002E7DCA"/>
    <w:rsid w:val="002F025A"/>
    <w:rsid w:val="002F0F5F"/>
    <w:rsid w:val="002F25AF"/>
    <w:rsid w:val="002F3D9E"/>
    <w:rsid w:val="002F4A67"/>
    <w:rsid w:val="002F5234"/>
    <w:rsid w:val="002F591E"/>
    <w:rsid w:val="002F6A86"/>
    <w:rsid w:val="002F74C8"/>
    <w:rsid w:val="002F74DA"/>
    <w:rsid w:val="002F75F0"/>
    <w:rsid w:val="003006CB"/>
    <w:rsid w:val="00300704"/>
    <w:rsid w:val="00300F0C"/>
    <w:rsid w:val="00301558"/>
    <w:rsid w:val="00301D66"/>
    <w:rsid w:val="00301E4D"/>
    <w:rsid w:val="00302F03"/>
    <w:rsid w:val="0030387D"/>
    <w:rsid w:val="003048A7"/>
    <w:rsid w:val="00304C30"/>
    <w:rsid w:val="003059AC"/>
    <w:rsid w:val="00307E3B"/>
    <w:rsid w:val="00307F01"/>
    <w:rsid w:val="00311B6C"/>
    <w:rsid w:val="00312135"/>
    <w:rsid w:val="003124A3"/>
    <w:rsid w:val="00313177"/>
    <w:rsid w:val="003135BF"/>
    <w:rsid w:val="00313617"/>
    <w:rsid w:val="0031374D"/>
    <w:rsid w:val="00314C7E"/>
    <w:rsid w:val="00315D63"/>
    <w:rsid w:val="00316590"/>
    <w:rsid w:val="003166A1"/>
    <w:rsid w:val="00316A33"/>
    <w:rsid w:val="00316E65"/>
    <w:rsid w:val="00316F4B"/>
    <w:rsid w:val="00317038"/>
    <w:rsid w:val="00317479"/>
    <w:rsid w:val="003209E9"/>
    <w:rsid w:val="00321015"/>
    <w:rsid w:val="0032169A"/>
    <w:rsid w:val="00322EF5"/>
    <w:rsid w:val="00323BB6"/>
    <w:rsid w:val="00323D32"/>
    <w:rsid w:val="00323DFF"/>
    <w:rsid w:val="00324163"/>
    <w:rsid w:val="003243B2"/>
    <w:rsid w:val="003257D3"/>
    <w:rsid w:val="00327498"/>
    <w:rsid w:val="00327FAA"/>
    <w:rsid w:val="003302BA"/>
    <w:rsid w:val="00330948"/>
    <w:rsid w:val="0033194F"/>
    <w:rsid w:val="00332155"/>
    <w:rsid w:val="003326A4"/>
    <w:rsid w:val="00332DF7"/>
    <w:rsid w:val="00333D7D"/>
    <w:rsid w:val="0033430B"/>
    <w:rsid w:val="0033473A"/>
    <w:rsid w:val="00334F38"/>
    <w:rsid w:val="00335374"/>
    <w:rsid w:val="003356D3"/>
    <w:rsid w:val="003362CB"/>
    <w:rsid w:val="003365BA"/>
    <w:rsid w:val="00336868"/>
    <w:rsid w:val="00336E8F"/>
    <w:rsid w:val="0033717A"/>
    <w:rsid w:val="003372E4"/>
    <w:rsid w:val="00337CE6"/>
    <w:rsid w:val="0034041C"/>
    <w:rsid w:val="00341554"/>
    <w:rsid w:val="00342248"/>
    <w:rsid w:val="003433DA"/>
    <w:rsid w:val="003434EC"/>
    <w:rsid w:val="00344654"/>
    <w:rsid w:val="00345D06"/>
    <w:rsid w:val="003469EC"/>
    <w:rsid w:val="00346DF1"/>
    <w:rsid w:val="003471E4"/>
    <w:rsid w:val="0034787B"/>
    <w:rsid w:val="00350613"/>
    <w:rsid w:val="00350771"/>
    <w:rsid w:val="003509CB"/>
    <w:rsid w:val="0035196F"/>
    <w:rsid w:val="00351A5A"/>
    <w:rsid w:val="00352B4A"/>
    <w:rsid w:val="00353FEE"/>
    <w:rsid w:val="0035482F"/>
    <w:rsid w:val="00355550"/>
    <w:rsid w:val="003558DE"/>
    <w:rsid w:val="003567C0"/>
    <w:rsid w:val="00356E83"/>
    <w:rsid w:val="003574BE"/>
    <w:rsid w:val="00357658"/>
    <w:rsid w:val="00357721"/>
    <w:rsid w:val="00357BAC"/>
    <w:rsid w:val="00360140"/>
    <w:rsid w:val="00361674"/>
    <w:rsid w:val="00361D5B"/>
    <w:rsid w:val="00363243"/>
    <w:rsid w:val="003639D8"/>
    <w:rsid w:val="00364CBF"/>
    <w:rsid w:val="003657A9"/>
    <w:rsid w:val="00366170"/>
    <w:rsid w:val="00366272"/>
    <w:rsid w:val="00366681"/>
    <w:rsid w:val="00366D68"/>
    <w:rsid w:val="003674DA"/>
    <w:rsid w:val="0037068B"/>
    <w:rsid w:val="00371A60"/>
    <w:rsid w:val="00371E83"/>
    <w:rsid w:val="00372DF8"/>
    <w:rsid w:val="00373904"/>
    <w:rsid w:val="00373AE2"/>
    <w:rsid w:val="003749E1"/>
    <w:rsid w:val="00374A1B"/>
    <w:rsid w:val="003757B1"/>
    <w:rsid w:val="00376324"/>
    <w:rsid w:val="00377FBC"/>
    <w:rsid w:val="00380E61"/>
    <w:rsid w:val="003820FD"/>
    <w:rsid w:val="00383B0F"/>
    <w:rsid w:val="00383DD6"/>
    <w:rsid w:val="0038495E"/>
    <w:rsid w:val="00385C99"/>
    <w:rsid w:val="00385DF1"/>
    <w:rsid w:val="00386556"/>
    <w:rsid w:val="00386EB1"/>
    <w:rsid w:val="00386EF7"/>
    <w:rsid w:val="00387FD5"/>
    <w:rsid w:val="00390244"/>
    <w:rsid w:val="00390315"/>
    <w:rsid w:val="00390FA5"/>
    <w:rsid w:val="00391822"/>
    <w:rsid w:val="00391957"/>
    <w:rsid w:val="00391B1E"/>
    <w:rsid w:val="0039276B"/>
    <w:rsid w:val="00392C4F"/>
    <w:rsid w:val="00392D31"/>
    <w:rsid w:val="0039329C"/>
    <w:rsid w:val="00393A68"/>
    <w:rsid w:val="00393E00"/>
    <w:rsid w:val="00394D11"/>
    <w:rsid w:val="00395223"/>
    <w:rsid w:val="00395ED0"/>
    <w:rsid w:val="00395EFD"/>
    <w:rsid w:val="00396A54"/>
    <w:rsid w:val="003A0220"/>
    <w:rsid w:val="003A02C2"/>
    <w:rsid w:val="003A0BC3"/>
    <w:rsid w:val="003A1467"/>
    <w:rsid w:val="003A16A3"/>
    <w:rsid w:val="003A222C"/>
    <w:rsid w:val="003A3F29"/>
    <w:rsid w:val="003A4B57"/>
    <w:rsid w:val="003A5BB5"/>
    <w:rsid w:val="003A6276"/>
    <w:rsid w:val="003A6546"/>
    <w:rsid w:val="003A66E5"/>
    <w:rsid w:val="003A747B"/>
    <w:rsid w:val="003A7A6E"/>
    <w:rsid w:val="003B01CD"/>
    <w:rsid w:val="003B1828"/>
    <w:rsid w:val="003B2128"/>
    <w:rsid w:val="003B3845"/>
    <w:rsid w:val="003B38EB"/>
    <w:rsid w:val="003B3BB6"/>
    <w:rsid w:val="003B46E1"/>
    <w:rsid w:val="003B4B70"/>
    <w:rsid w:val="003B5551"/>
    <w:rsid w:val="003B5B27"/>
    <w:rsid w:val="003B5B49"/>
    <w:rsid w:val="003B6150"/>
    <w:rsid w:val="003B7198"/>
    <w:rsid w:val="003B7A7E"/>
    <w:rsid w:val="003B7D2D"/>
    <w:rsid w:val="003C06A0"/>
    <w:rsid w:val="003C0816"/>
    <w:rsid w:val="003C11D5"/>
    <w:rsid w:val="003C12A1"/>
    <w:rsid w:val="003C2089"/>
    <w:rsid w:val="003C2887"/>
    <w:rsid w:val="003C33FA"/>
    <w:rsid w:val="003C44CC"/>
    <w:rsid w:val="003C7323"/>
    <w:rsid w:val="003D10C0"/>
    <w:rsid w:val="003D1769"/>
    <w:rsid w:val="003D1C0C"/>
    <w:rsid w:val="003D2283"/>
    <w:rsid w:val="003D2723"/>
    <w:rsid w:val="003D28AD"/>
    <w:rsid w:val="003D2F20"/>
    <w:rsid w:val="003D3402"/>
    <w:rsid w:val="003D50DD"/>
    <w:rsid w:val="003D5318"/>
    <w:rsid w:val="003D56C4"/>
    <w:rsid w:val="003D5BD5"/>
    <w:rsid w:val="003D6017"/>
    <w:rsid w:val="003D6533"/>
    <w:rsid w:val="003D7377"/>
    <w:rsid w:val="003D7D38"/>
    <w:rsid w:val="003D7F12"/>
    <w:rsid w:val="003D7FAF"/>
    <w:rsid w:val="003E069C"/>
    <w:rsid w:val="003E13F8"/>
    <w:rsid w:val="003E1937"/>
    <w:rsid w:val="003E2163"/>
    <w:rsid w:val="003E2B11"/>
    <w:rsid w:val="003E363E"/>
    <w:rsid w:val="003E42FF"/>
    <w:rsid w:val="003E5F19"/>
    <w:rsid w:val="003E5FDF"/>
    <w:rsid w:val="003E603B"/>
    <w:rsid w:val="003E68A1"/>
    <w:rsid w:val="003E6F40"/>
    <w:rsid w:val="003E79CB"/>
    <w:rsid w:val="003E7BB4"/>
    <w:rsid w:val="003F152B"/>
    <w:rsid w:val="003F1CAD"/>
    <w:rsid w:val="003F1F9B"/>
    <w:rsid w:val="003F29C6"/>
    <w:rsid w:val="003F32C1"/>
    <w:rsid w:val="003F3EFE"/>
    <w:rsid w:val="003F4396"/>
    <w:rsid w:val="003F4FDF"/>
    <w:rsid w:val="003F594D"/>
    <w:rsid w:val="003F625E"/>
    <w:rsid w:val="003F6B00"/>
    <w:rsid w:val="003F7DFD"/>
    <w:rsid w:val="00401E40"/>
    <w:rsid w:val="00401FB2"/>
    <w:rsid w:val="00402478"/>
    <w:rsid w:val="00402667"/>
    <w:rsid w:val="00402774"/>
    <w:rsid w:val="00402B27"/>
    <w:rsid w:val="0040423A"/>
    <w:rsid w:val="004043B0"/>
    <w:rsid w:val="004056AE"/>
    <w:rsid w:val="004070A7"/>
    <w:rsid w:val="00407ACD"/>
    <w:rsid w:val="00411109"/>
    <w:rsid w:val="004124B8"/>
    <w:rsid w:val="00413A72"/>
    <w:rsid w:val="0041504F"/>
    <w:rsid w:val="004153D0"/>
    <w:rsid w:val="004155A1"/>
    <w:rsid w:val="00415B18"/>
    <w:rsid w:val="004171AF"/>
    <w:rsid w:val="004175C6"/>
    <w:rsid w:val="00420523"/>
    <w:rsid w:val="0042064E"/>
    <w:rsid w:val="0042117B"/>
    <w:rsid w:val="004217DE"/>
    <w:rsid w:val="00421D6E"/>
    <w:rsid w:val="0042209B"/>
    <w:rsid w:val="00422233"/>
    <w:rsid w:val="00422479"/>
    <w:rsid w:val="004239F8"/>
    <w:rsid w:val="00424082"/>
    <w:rsid w:val="004241BF"/>
    <w:rsid w:val="00425215"/>
    <w:rsid w:val="00425A6D"/>
    <w:rsid w:val="00426E9F"/>
    <w:rsid w:val="004274CF"/>
    <w:rsid w:val="00427712"/>
    <w:rsid w:val="00427F57"/>
    <w:rsid w:val="004300BC"/>
    <w:rsid w:val="00430C5A"/>
    <w:rsid w:val="00431125"/>
    <w:rsid w:val="0043250E"/>
    <w:rsid w:val="004339B6"/>
    <w:rsid w:val="00434441"/>
    <w:rsid w:val="00434A5B"/>
    <w:rsid w:val="00435065"/>
    <w:rsid w:val="0043550D"/>
    <w:rsid w:val="0043615D"/>
    <w:rsid w:val="00436A7F"/>
    <w:rsid w:val="00440181"/>
    <w:rsid w:val="00440EC9"/>
    <w:rsid w:val="00440F5F"/>
    <w:rsid w:val="00441535"/>
    <w:rsid w:val="00441590"/>
    <w:rsid w:val="00442685"/>
    <w:rsid w:val="004441EF"/>
    <w:rsid w:val="00444484"/>
    <w:rsid w:val="00445214"/>
    <w:rsid w:val="0044597D"/>
    <w:rsid w:val="00445FF4"/>
    <w:rsid w:val="0044650D"/>
    <w:rsid w:val="004466A7"/>
    <w:rsid w:val="00447902"/>
    <w:rsid w:val="004507FB"/>
    <w:rsid w:val="00451780"/>
    <w:rsid w:val="00451857"/>
    <w:rsid w:val="00451C04"/>
    <w:rsid w:val="00452AB4"/>
    <w:rsid w:val="00453CA5"/>
    <w:rsid w:val="00453D98"/>
    <w:rsid w:val="00453E30"/>
    <w:rsid w:val="00454A7F"/>
    <w:rsid w:val="004551DF"/>
    <w:rsid w:val="004553D8"/>
    <w:rsid w:val="004556A1"/>
    <w:rsid w:val="00456C5D"/>
    <w:rsid w:val="00457905"/>
    <w:rsid w:val="00461211"/>
    <w:rsid w:val="0046128B"/>
    <w:rsid w:val="00461D51"/>
    <w:rsid w:val="004620C8"/>
    <w:rsid w:val="0046329A"/>
    <w:rsid w:val="00463F6C"/>
    <w:rsid w:val="00464732"/>
    <w:rsid w:val="00464AD0"/>
    <w:rsid w:val="00464BB0"/>
    <w:rsid w:val="004652B8"/>
    <w:rsid w:val="0046538A"/>
    <w:rsid w:val="00465D9C"/>
    <w:rsid w:val="00466155"/>
    <w:rsid w:val="0046722D"/>
    <w:rsid w:val="004705E0"/>
    <w:rsid w:val="00471421"/>
    <w:rsid w:val="00471B1E"/>
    <w:rsid w:val="00471B46"/>
    <w:rsid w:val="00471EFB"/>
    <w:rsid w:val="00472C02"/>
    <w:rsid w:val="0047346B"/>
    <w:rsid w:val="0047348B"/>
    <w:rsid w:val="004759B3"/>
    <w:rsid w:val="00476838"/>
    <w:rsid w:val="00477515"/>
    <w:rsid w:val="0048053B"/>
    <w:rsid w:val="00480AA0"/>
    <w:rsid w:val="00480D1A"/>
    <w:rsid w:val="00480F18"/>
    <w:rsid w:val="004816D9"/>
    <w:rsid w:val="004816FC"/>
    <w:rsid w:val="00482546"/>
    <w:rsid w:val="00482CFA"/>
    <w:rsid w:val="00483CB3"/>
    <w:rsid w:val="00483D27"/>
    <w:rsid w:val="0048525E"/>
    <w:rsid w:val="004854E3"/>
    <w:rsid w:val="004868A9"/>
    <w:rsid w:val="004874C6"/>
    <w:rsid w:val="004879A3"/>
    <w:rsid w:val="00487A5B"/>
    <w:rsid w:val="00487D93"/>
    <w:rsid w:val="00490044"/>
    <w:rsid w:val="00490580"/>
    <w:rsid w:val="004907A1"/>
    <w:rsid w:val="00490A3B"/>
    <w:rsid w:val="00490F8A"/>
    <w:rsid w:val="00490F9F"/>
    <w:rsid w:val="00491372"/>
    <w:rsid w:val="00491A09"/>
    <w:rsid w:val="00491A95"/>
    <w:rsid w:val="00491E0D"/>
    <w:rsid w:val="00494846"/>
    <w:rsid w:val="00494862"/>
    <w:rsid w:val="00494A88"/>
    <w:rsid w:val="0049501F"/>
    <w:rsid w:val="00495D81"/>
    <w:rsid w:val="004977ED"/>
    <w:rsid w:val="00497882"/>
    <w:rsid w:val="00497A07"/>
    <w:rsid w:val="004A01E2"/>
    <w:rsid w:val="004A0474"/>
    <w:rsid w:val="004A05B1"/>
    <w:rsid w:val="004A08B4"/>
    <w:rsid w:val="004A10C8"/>
    <w:rsid w:val="004A1218"/>
    <w:rsid w:val="004A1635"/>
    <w:rsid w:val="004A2733"/>
    <w:rsid w:val="004A472D"/>
    <w:rsid w:val="004A4B29"/>
    <w:rsid w:val="004A4D25"/>
    <w:rsid w:val="004A57DA"/>
    <w:rsid w:val="004A5E50"/>
    <w:rsid w:val="004A7257"/>
    <w:rsid w:val="004A77B0"/>
    <w:rsid w:val="004B0ACE"/>
    <w:rsid w:val="004B0F4E"/>
    <w:rsid w:val="004B0FA0"/>
    <w:rsid w:val="004B18BF"/>
    <w:rsid w:val="004B18EA"/>
    <w:rsid w:val="004B1D78"/>
    <w:rsid w:val="004B46DB"/>
    <w:rsid w:val="004B49E7"/>
    <w:rsid w:val="004B4C06"/>
    <w:rsid w:val="004B5279"/>
    <w:rsid w:val="004B5D1F"/>
    <w:rsid w:val="004B5F1D"/>
    <w:rsid w:val="004B722C"/>
    <w:rsid w:val="004B7629"/>
    <w:rsid w:val="004B7D4B"/>
    <w:rsid w:val="004C0B93"/>
    <w:rsid w:val="004C2310"/>
    <w:rsid w:val="004C2803"/>
    <w:rsid w:val="004C354D"/>
    <w:rsid w:val="004C3E57"/>
    <w:rsid w:val="004C48D3"/>
    <w:rsid w:val="004C4CF4"/>
    <w:rsid w:val="004C5462"/>
    <w:rsid w:val="004C5DB6"/>
    <w:rsid w:val="004C5E81"/>
    <w:rsid w:val="004C6BE8"/>
    <w:rsid w:val="004C781A"/>
    <w:rsid w:val="004C7889"/>
    <w:rsid w:val="004D05D8"/>
    <w:rsid w:val="004D07DA"/>
    <w:rsid w:val="004D08E9"/>
    <w:rsid w:val="004D0AE1"/>
    <w:rsid w:val="004D0BBC"/>
    <w:rsid w:val="004D219A"/>
    <w:rsid w:val="004D3428"/>
    <w:rsid w:val="004D3514"/>
    <w:rsid w:val="004D45AE"/>
    <w:rsid w:val="004D45DE"/>
    <w:rsid w:val="004D4779"/>
    <w:rsid w:val="004D486C"/>
    <w:rsid w:val="004D4D6D"/>
    <w:rsid w:val="004D63B9"/>
    <w:rsid w:val="004D6ABE"/>
    <w:rsid w:val="004D7151"/>
    <w:rsid w:val="004D774D"/>
    <w:rsid w:val="004D7767"/>
    <w:rsid w:val="004D7776"/>
    <w:rsid w:val="004D7861"/>
    <w:rsid w:val="004E008F"/>
    <w:rsid w:val="004E2FD6"/>
    <w:rsid w:val="004E30B9"/>
    <w:rsid w:val="004E34B1"/>
    <w:rsid w:val="004E3A83"/>
    <w:rsid w:val="004E4347"/>
    <w:rsid w:val="004E4816"/>
    <w:rsid w:val="004E4C63"/>
    <w:rsid w:val="004E5B07"/>
    <w:rsid w:val="004E6BE9"/>
    <w:rsid w:val="004E6CC2"/>
    <w:rsid w:val="004F034C"/>
    <w:rsid w:val="004F07BA"/>
    <w:rsid w:val="004F0A79"/>
    <w:rsid w:val="004F1A34"/>
    <w:rsid w:val="004F1AB3"/>
    <w:rsid w:val="004F203F"/>
    <w:rsid w:val="004F24BE"/>
    <w:rsid w:val="004F2CC9"/>
    <w:rsid w:val="004F3B7F"/>
    <w:rsid w:val="004F4B94"/>
    <w:rsid w:val="004F5FBD"/>
    <w:rsid w:val="004F6742"/>
    <w:rsid w:val="004F69BA"/>
    <w:rsid w:val="004F6BAE"/>
    <w:rsid w:val="0050158A"/>
    <w:rsid w:val="005017E6"/>
    <w:rsid w:val="005020B4"/>
    <w:rsid w:val="00502463"/>
    <w:rsid w:val="005046A3"/>
    <w:rsid w:val="005048F9"/>
    <w:rsid w:val="00505255"/>
    <w:rsid w:val="005054B9"/>
    <w:rsid w:val="005067EF"/>
    <w:rsid w:val="00506FD2"/>
    <w:rsid w:val="0050769D"/>
    <w:rsid w:val="0051065E"/>
    <w:rsid w:val="005114D9"/>
    <w:rsid w:val="005120B0"/>
    <w:rsid w:val="00512AA1"/>
    <w:rsid w:val="005139FB"/>
    <w:rsid w:val="00513C57"/>
    <w:rsid w:val="00514396"/>
    <w:rsid w:val="00514DC1"/>
    <w:rsid w:val="0051505D"/>
    <w:rsid w:val="005150F9"/>
    <w:rsid w:val="00516652"/>
    <w:rsid w:val="00521379"/>
    <w:rsid w:val="00521B4C"/>
    <w:rsid w:val="0052317A"/>
    <w:rsid w:val="00523CB4"/>
    <w:rsid w:val="00524452"/>
    <w:rsid w:val="005245C0"/>
    <w:rsid w:val="00524684"/>
    <w:rsid w:val="00524B92"/>
    <w:rsid w:val="00525722"/>
    <w:rsid w:val="00525CDA"/>
    <w:rsid w:val="0052776D"/>
    <w:rsid w:val="0053029F"/>
    <w:rsid w:val="005319C8"/>
    <w:rsid w:val="00531EB4"/>
    <w:rsid w:val="0053221B"/>
    <w:rsid w:val="005334B6"/>
    <w:rsid w:val="00533D6A"/>
    <w:rsid w:val="00534147"/>
    <w:rsid w:val="00534795"/>
    <w:rsid w:val="005348F4"/>
    <w:rsid w:val="00534F77"/>
    <w:rsid w:val="005357E0"/>
    <w:rsid w:val="00535F2F"/>
    <w:rsid w:val="005369A5"/>
    <w:rsid w:val="00536E6E"/>
    <w:rsid w:val="00536F14"/>
    <w:rsid w:val="00537078"/>
    <w:rsid w:val="00537BD0"/>
    <w:rsid w:val="00540C3C"/>
    <w:rsid w:val="00541C94"/>
    <w:rsid w:val="00542941"/>
    <w:rsid w:val="00542D25"/>
    <w:rsid w:val="0054304E"/>
    <w:rsid w:val="00543456"/>
    <w:rsid w:val="00543AD6"/>
    <w:rsid w:val="00543FBC"/>
    <w:rsid w:val="00544A1F"/>
    <w:rsid w:val="0054651D"/>
    <w:rsid w:val="005468A8"/>
    <w:rsid w:val="00546D26"/>
    <w:rsid w:val="00547661"/>
    <w:rsid w:val="00547A06"/>
    <w:rsid w:val="00547A28"/>
    <w:rsid w:val="00550692"/>
    <w:rsid w:val="005513C2"/>
    <w:rsid w:val="005517E3"/>
    <w:rsid w:val="00551ECA"/>
    <w:rsid w:val="00552094"/>
    <w:rsid w:val="00552C93"/>
    <w:rsid w:val="005531B4"/>
    <w:rsid w:val="0055354A"/>
    <w:rsid w:val="00554117"/>
    <w:rsid w:val="00554778"/>
    <w:rsid w:val="0055483A"/>
    <w:rsid w:val="0055531A"/>
    <w:rsid w:val="005559EA"/>
    <w:rsid w:val="00555A14"/>
    <w:rsid w:val="00555B77"/>
    <w:rsid w:val="005564A6"/>
    <w:rsid w:val="005570B2"/>
    <w:rsid w:val="0055751A"/>
    <w:rsid w:val="00557905"/>
    <w:rsid w:val="00557FC5"/>
    <w:rsid w:val="005605E8"/>
    <w:rsid w:val="00560CFB"/>
    <w:rsid w:val="0056105E"/>
    <w:rsid w:val="005618E5"/>
    <w:rsid w:val="00561CDB"/>
    <w:rsid w:val="00562F77"/>
    <w:rsid w:val="00562F78"/>
    <w:rsid w:val="0056397F"/>
    <w:rsid w:val="00564310"/>
    <w:rsid w:val="0056447C"/>
    <w:rsid w:val="005649D4"/>
    <w:rsid w:val="00564B4D"/>
    <w:rsid w:val="00565895"/>
    <w:rsid w:val="00565A6F"/>
    <w:rsid w:val="00566DDA"/>
    <w:rsid w:val="00567576"/>
    <w:rsid w:val="00567F47"/>
    <w:rsid w:val="00571677"/>
    <w:rsid w:val="00571FAD"/>
    <w:rsid w:val="005738BF"/>
    <w:rsid w:val="00575255"/>
    <w:rsid w:val="0057534B"/>
    <w:rsid w:val="00577848"/>
    <w:rsid w:val="00577EBC"/>
    <w:rsid w:val="00580526"/>
    <w:rsid w:val="00581607"/>
    <w:rsid w:val="0058260F"/>
    <w:rsid w:val="00582A8C"/>
    <w:rsid w:val="00583043"/>
    <w:rsid w:val="00583310"/>
    <w:rsid w:val="0058378C"/>
    <w:rsid w:val="00583ABD"/>
    <w:rsid w:val="005840B7"/>
    <w:rsid w:val="005840DA"/>
    <w:rsid w:val="005845EE"/>
    <w:rsid w:val="00584AA8"/>
    <w:rsid w:val="00585190"/>
    <w:rsid w:val="0058537C"/>
    <w:rsid w:val="0058592D"/>
    <w:rsid w:val="00585C17"/>
    <w:rsid w:val="00585D25"/>
    <w:rsid w:val="00587EB5"/>
    <w:rsid w:val="00587FEC"/>
    <w:rsid w:val="00591599"/>
    <w:rsid w:val="00591986"/>
    <w:rsid w:val="005919B4"/>
    <w:rsid w:val="005929AF"/>
    <w:rsid w:val="0059419B"/>
    <w:rsid w:val="00594C4C"/>
    <w:rsid w:val="00594DDF"/>
    <w:rsid w:val="0059548A"/>
    <w:rsid w:val="00596986"/>
    <w:rsid w:val="00596B67"/>
    <w:rsid w:val="005A00CB"/>
    <w:rsid w:val="005A040C"/>
    <w:rsid w:val="005A126E"/>
    <w:rsid w:val="005A16E2"/>
    <w:rsid w:val="005A2839"/>
    <w:rsid w:val="005A287D"/>
    <w:rsid w:val="005A321D"/>
    <w:rsid w:val="005A3766"/>
    <w:rsid w:val="005A3D65"/>
    <w:rsid w:val="005A4766"/>
    <w:rsid w:val="005A58A6"/>
    <w:rsid w:val="005A59C6"/>
    <w:rsid w:val="005A5C8D"/>
    <w:rsid w:val="005A609E"/>
    <w:rsid w:val="005B0580"/>
    <w:rsid w:val="005B06F0"/>
    <w:rsid w:val="005B0740"/>
    <w:rsid w:val="005B14AB"/>
    <w:rsid w:val="005B23E9"/>
    <w:rsid w:val="005B31B9"/>
    <w:rsid w:val="005B35FC"/>
    <w:rsid w:val="005B382C"/>
    <w:rsid w:val="005B4B7F"/>
    <w:rsid w:val="005B4FCA"/>
    <w:rsid w:val="005B5BDB"/>
    <w:rsid w:val="005B628F"/>
    <w:rsid w:val="005B67AD"/>
    <w:rsid w:val="005B73FF"/>
    <w:rsid w:val="005B7B26"/>
    <w:rsid w:val="005B7E21"/>
    <w:rsid w:val="005C03C0"/>
    <w:rsid w:val="005C04AA"/>
    <w:rsid w:val="005C06AB"/>
    <w:rsid w:val="005C3273"/>
    <w:rsid w:val="005C3F73"/>
    <w:rsid w:val="005C5E43"/>
    <w:rsid w:val="005C6039"/>
    <w:rsid w:val="005C63F7"/>
    <w:rsid w:val="005C6F3E"/>
    <w:rsid w:val="005C7B66"/>
    <w:rsid w:val="005D20E0"/>
    <w:rsid w:val="005D237E"/>
    <w:rsid w:val="005D2782"/>
    <w:rsid w:val="005D36BE"/>
    <w:rsid w:val="005D3735"/>
    <w:rsid w:val="005D39D4"/>
    <w:rsid w:val="005D3AD1"/>
    <w:rsid w:val="005D440F"/>
    <w:rsid w:val="005D4478"/>
    <w:rsid w:val="005D4BB5"/>
    <w:rsid w:val="005D4F81"/>
    <w:rsid w:val="005D50B4"/>
    <w:rsid w:val="005D5AC0"/>
    <w:rsid w:val="005D6798"/>
    <w:rsid w:val="005D77DE"/>
    <w:rsid w:val="005D7FCB"/>
    <w:rsid w:val="005E05A1"/>
    <w:rsid w:val="005E0BD5"/>
    <w:rsid w:val="005E16B1"/>
    <w:rsid w:val="005E1A80"/>
    <w:rsid w:val="005E2A82"/>
    <w:rsid w:val="005E344F"/>
    <w:rsid w:val="005E3831"/>
    <w:rsid w:val="005E3C51"/>
    <w:rsid w:val="005E3D94"/>
    <w:rsid w:val="005E4692"/>
    <w:rsid w:val="005E4731"/>
    <w:rsid w:val="005E4E7C"/>
    <w:rsid w:val="005E538F"/>
    <w:rsid w:val="005E54C1"/>
    <w:rsid w:val="005E5550"/>
    <w:rsid w:val="005E5CFB"/>
    <w:rsid w:val="005E5F35"/>
    <w:rsid w:val="005E62B8"/>
    <w:rsid w:val="005E638F"/>
    <w:rsid w:val="005E6BD3"/>
    <w:rsid w:val="005E7342"/>
    <w:rsid w:val="005F1568"/>
    <w:rsid w:val="005F197E"/>
    <w:rsid w:val="005F1AB7"/>
    <w:rsid w:val="005F1E04"/>
    <w:rsid w:val="005F3E1B"/>
    <w:rsid w:val="005F46DC"/>
    <w:rsid w:val="005F4A93"/>
    <w:rsid w:val="005F4D14"/>
    <w:rsid w:val="005F539D"/>
    <w:rsid w:val="005F563C"/>
    <w:rsid w:val="005F565D"/>
    <w:rsid w:val="005F59E4"/>
    <w:rsid w:val="005F60E0"/>
    <w:rsid w:val="005F68FC"/>
    <w:rsid w:val="005F6923"/>
    <w:rsid w:val="005F713E"/>
    <w:rsid w:val="005F7DA1"/>
    <w:rsid w:val="006005D5"/>
    <w:rsid w:val="0060150E"/>
    <w:rsid w:val="00601E7E"/>
    <w:rsid w:val="00602E6F"/>
    <w:rsid w:val="00604101"/>
    <w:rsid w:val="006044CF"/>
    <w:rsid w:val="006057BD"/>
    <w:rsid w:val="0060728F"/>
    <w:rsid w:val="00607AB7"/>
    <w:rsid w:val="00607DFE"/>
    <w:rsid w:val="00610B07"/>
    <w:rsid w:val="00610DA9"/>
    <w:rsid w:val="00610FA8"/>
    <w:rsid w:val="006116D2"/>
    <w:rsid w:val="0061230C"/>
    <w:rsid w:val="00612FDF"/>
    <w:rsid w:val="00612FE3"/>
    <w:rsid w:val="00614047"/>
    <w:rsid w:val="006142AA"/>
    <w:rsid w:val="00614639"/>
    <w:rsid w:val="006147B3"/>
    <w:rsid w:val="0061480B"/>
    <w:rsid w:val="00615D4B"/>
    <w:rsid w:val="00615D5A"/>
    <w:rsid w:val="0061665B"/>
    <w:rsid w:val="00616706"/>
    <w:rsid w:val="00616899"/>
    <w:rsid w:val="006169B7"/>
    <w:rsid w:val="00616B32"/>
    <w:rsid w:val="00616BFF"/>
    <w:rsid w:val="00621C48"/>
    <w:rsid w:val="006228FF"/>
    <w:rsid w:val="00624395"/>
    <w:rsid w:val="006243E6"/>
    <w:rsid w:val="0062525E"/>
    <w:rsid w:val="006255A7"/>
    <w:rsid w:val="0062594A"/>
    <w:rsid w:val="00625D20"/>
    <w:rsid w:val="0062725C"/>
    <w:rsid w:val="00627311"/>
    <w:rsid w:val="00627F50"/>
    <w:rsid w:val="0063064B"/>
    <w:rsid w:val="00631084"/>
    <w:rsid w:val="00631631"/>
    <w:rsid w:val="006325E1"/>
    <w:rsid w:val="006327E0"/>
    <w:rsid w:val="00632B73"/>
    <w:rsid w:val="00632EAC"/>
    <w:rsid w:val="00633881"/>
    <w:rsid w:val="00634691"/>
    <w:rsid w:val="0063476E"/>
    <w:rsid w:val="0063560B"/>
    <w:rsid w:val="00635869"/>
    <w:rsid w:val="00635D8C"/>
    <w:rsid w:val="00635EC1"/>
    <w:rsid w:val="0063700E"/>
    <w:rsid w:val="0064012A"/>
    <w:rsid w:val="00640364"/>
    <w:rsid w:val="00641008"/>
    <w:rsid w:val="0064126F"/>
    <w:rsid w:val="006413F1"/>
    <w:rsid w:val="0064164F"/>
    <w:rsid w:val="006424AF"/>
    <w:rsid w:val="00642D61"/>
    <w:rsid w:val="00642D81"/>
    <w:rsid w:val="00643EBA"/>
    <w:rsid w:val="00644F18"/>
    <w:rsid w:val="00645363"/>
    <w:rsid w:val="00645552"/>
    <w:rsid w:val="006457F8"/>
    <w:rsid w:val="00645D44"/>
    <w:rsid w:val="0064635C"/>
    <w:rsid w:val="00646A65"/>
    <w:rsid w:val="00646D0B"/>
    <w:rsid w:val="00650415"/>
    <w:rsid w:val="006515C4"/>
    <w:rsid w:val="00651C15"/>
    <w:rsid w:val="00652E05"/>
    <w:rsid w:val="006532E8"/>
    <w:rsid w:val="00653574"/>
    <w:rsid w:val="0065409B"/>
    <w:rsid w:val="00654650"/>
    <w:rsid w:val="00654CA8"/>
    <w:rsid w:val="00655378"/>
    <w:rsid w:val="006553C1"/>
    <w:rsid w:val="0065554C"/>
    <w:rsid w:val="00655841"/>
    <w:rsid w:val="00657238"/>
    <w:rsid w:val="00657B69"/>
    <w:rsid w:val="00657EBC"/>
    <w:rsid w:val="006612C1"/>
    <w:rsid w:val="0066160E"/>
    <w:rsid w:val="00662394"/>
    <w:rsid w:val="00663788"/>
    <w:rsid w:val="00663B35"/>
    <w:rsid w:val="00664012"/>
    <w:rsid w:val="00664187"/>
    <w:rsid w:val="00664366"/>
    <w:rsid w:val="0066484F"/>
    <w:rsid w:val="00664C46"/>
    <w:rsid w:val="00666285"/>
    <w:rsid w:val="00666320"/>
    <w:rsid w:val="00666445"/>
    <w:rsid w:val="00666A42"/>
    <w:rsid w:val="006673A8"/>
    <w:rsid w:val="006703FA"/>
    <w:rsid w:val="00670792"/>
    <w:rsid w:val="00672797"/>
    <w:rsid w:val="006727E8"/>
    <w:rsid w:val="00672921"/>
    <w:rsid w:val="00672D9E"/>
    <w:rsid w:val="00673414"/>
    <w:rsid w:val="00673597"/>
    <w:rsid w:val="00674D6E"/>
    <w:rsid w:val="00674E50"/>
    <w:rsid w:val="00675678"/>
    <w:rsid w:val="006760A1"/>
    <w:rsid w:val="00677209"/>
    <w:rsid w:val="0067770E"/>
    <w:rsid w:val="00677AB1"/>
    <w:rsid w:val="00680480"/>
    <w:rsid w:val="00680A3A"/>
    <w:rsid w:val="00681376"/>
    <w:rsid w:val="00681DCA"/>
    <w:rsid w:val="006821BF"/>
    <w:rsid w:val="006823EE"/>
    <w:rsid w:val="0068272C"/>
    <w:rsid w:val="006835E6"/>
    <w:rsid w:val="00683837"/>
    <w:rsid w:val="00684263"/>
    <w:rsid w:val="0068592A"/>
    <w:rsid w:val="00685D26"/>
    <w:rsid w:val="00685E1A"/>
    <w:rsid w:val="006863DB"/>
    <w:rsid w:val="006871E2"/>
    <w:rsid w:val="0069080A"/>
    <w:rsid w:val="006909DA"/>
    <w:rsid w:val="00690C05"/>
    <w:rsid w:val="006912D7"/>
    <w:rsid w:val="00691850"/>
    <w:rsid w:val="00692B76"/>
    <w:rsid w:val="00692F1C"/>
    <w:rsid w:val="00693601"/>
    <w:rsid w:val="00694021"/>
    <w:rsid w:val="00694B56"/>
    <w:rsid w:val="00695691"/>
    <w:rsid w:val="006966D5"/>
    <w:rsid w:val="0069675A"/>
    <w:rsid w:val="006974FD"/>
    <w:rsid w:val="006977B7"/>
    <w:rsid w:val="006A0B87"/>
    <w:rsid w:val="006A0E88"/>
    <w:rsid w:val="006A1576"/>
    <w:rsid w:val="006A1B48"/>
    <w:rsid w:val="006A1F7A"/>
    <w:rsid w:val="006A2518"/>
    <w:rsid w:val="006A36F0"/>
    <w:rsid w:val="006A4DB5"/>
    <w:rsid w:val="006A51D7"/>
    <w:rsid w:val="006A5F89"/>
    <w:rsid w:val="006A6214"/>
    <w:rsid w:val="006A6333"/>
    <w:rsid w:val="006A71E1"/>
    <w:rsid w:val="006A7E64"/>
    <w:rsid w:val="006B00AB"/>
    <w:rsid w:val="006B088A"/>
    <w:rsid w:val="006B1F3B"/>
    <w:rsid w:val="006B1F43"/>
    <w:rsid w:val="006B23FC"/>
    <w:rsid w:val="006B256F"/>
    <w:rsid w:val="006B27A3"/>
    <w:rsid w:val="006B2FA6"/>
    <w:rsid w:val="006B31BD"/>
    <w:rsid w:val="006B33C3"/>
    <w:rsid w:val="006B382C"/>
    <w:rsid w:val="006B3CC1"/>
    <w:rsid w:val="006B4693"/>
    <w:rsid w:val="006B575D"/>
    <w:rsid w:val="006B58A1"/>
    <w:rsid w:val="006B65B2"/>
    <w:rsid w:val="006B6D39"/>
    <w:rsid w:val="006B758E"/>
    <w:rsid w:val="006C142B"/>
    <w:rsid w:val="006C16DD"/>
    <w:rsid w:val="006C1971"/>
    <w:rsid w:val="006C20F7"/>
    <w:rsid w:val="006C2119"/>
    <w:rsid w:val="006C23BA"/>
    <w:rsid w:val="006C2C64"/>
    <w:rsid w:val="006C2DF7"/>
    <w:rsid w:val="006C2E60"/>
    <w:rsid w:val="006C3789"/>
    <w:rsid w:val="006C4172"/>
    <w:rsid w:val="006C4364"/>
    <w:rsid w:val="006C4742"/>
    <w:rsid w:val="006C4B37"/>
    <w:rsid w:val="006C4B89"/>
    <w:rsid w:val="006C5292"/>
    <w:rsid w:val="006C5D14"/>
    <w:rsid w:val="006C6242"/>
    <w:rsid w:val="006C70E3"/>
    <w:rsid w:val="006C725F"/>
    <w:rsid w:val="006C745C"/>
    <w:rsid w:val="006C754B"/>
    <w:rsid w:val="006C7F4E"/>
    <w:rsid w:val="006D10B6"/>
    <w:rsid w:val="006D162F"/>
    <w:rsid w:val="006D1FE4"/>
    <w:rsid w:val="006D2403"/>
    <w:rsid w:val="006D25F9"/>
    <w:rsid w:val="006D29AC"/>
    <w:rsid w:val="006D2F2D"/>
    <w:rsid w:val="006D3576"/>
    <w:rsid w:val="006D4689"/>
    <w:rsid w:val="006D5183"/>
    <w:rsid w:val="006D5940"/>
    <w:rsid w:val="006D5BB7"/>
    <w:rsid w:val="006D5DAD"/>
    <w:rsid w:val="006D671A"/>
    <w:rsid w:val="006D6952"/>
    <w:rsid w:val="006D7283"/>
    <w:rsid w:val="006D7578"/>
    <w:rsid w:val="006D77C8"/>
    <w:rsid w:val="006E0F09"/>
    <w:rsid w:val="006E1AFB"/>
    <w:rsid w:val="006E1DD7"/>
    <w:rsid w:val="006E2131"/>
    <w:rsid w:val="006E21C3"/>
    <w:rsid w:val="006E2ABF"/>
    <w:rsid w:val="006E4006"/>
    <w:rsid w:val="006E423F"/>
    <w:rsid w:val="006E4241"/>
    <w:rsid w:val="006E6E36"/>
    <w:rsid w:val="006E7090"/>
    <w:rsid w:val="006E7099"/>
    <w:rsid w:val="006E7508"/>
    <w:rsid w:val="006E770B"/>
    <w:rsid w:val="006F0297"/>
    <w:rsid w:val="006F111A"/>
    <w:rsid w:val="006F1286"/>
    <w:rsid w:val="006F227E"/>
    <w:rsid w:val="006F2954"/>
    <w:rsid w:val="006F2959"/>
    <w:rsid w:val="006F2A60"/>
    <w:rsid w:val="006F2D0B"/>
    <w:rsid w:val="006F2F83"/>
    <w:rsid w:val="006F4C67"/>
    <w:rsid w:val="006F4E40"/>
    <w:rsid w:val="006F4EE8"/>
    <w:rsid w:val="006F5780"/>
    <w:rsid w:val="006F666D"/>
    <w:rsid w:val="006F7319"/>
    <w:rsid w:val="006F7643"/>
    <w:rsid w:val="006F7A47"/>
    <w:rsid w:val="00701C64"/>
    <w:rsid w:val="00703996"/>
    <w:rsid w:val="00703A8A"/>
    <w:rsid w:val="00704000"/>
    <w:rsid w:val="00704480"/>
    <w:rsid w:val="00706F10"/>
    <w:rsid w:val="007102DD"/>
    <w:rsid w:val="00710371"/>
    <w:rsid w:val="007105B8"/>
    <w:rsid w:val="00710D2B"/>
    <w:rsid w:val="0071152D"/>
    <w:rsid w:val="007118FE"/>
    <w:rsid w:val="0071236B"/>
    <w:rsid w:val="007139BC"/>
    <w:rsid w:val="00713ABF"/>
    <w:rsid w:val="0071441D"/>
    <w:rsid w:val="007145D5"/>
    <w:rsid w:val="00715BF5"/>
    <w:rsid w:val="0071705E"/>
    <w:rsid w:val="00717A9A"/>
    <w:rsid w:val="0072038B"/>
    <w:rsid w:val="00720F36"/>
    <w:rsid w:val="00721766"/>
    <w:rsid w:val="00721822"/>
    <w:rsid w:val="007238B8"/>
    <w:rsid w:val="00724A80"/>
    <w:rsid w:val="00725006"/>
    <w:rsid w:val="007256C0"/>
    <w:rsid w:val="00726D23"/>
    <w:rsid w:val="007276F9"/>
    <w:rsid w:val="00727ACF"/>
    <w:rsid w:val="00730025"/>
    <w:rsid w:val="00730FC0"/>
    <w:rsid w:val="007314BA"/>
    <w:rsid w:val="007316D2"/>
    <w:rsid w:val="007317C0"/>
    <w:rsid w:val="00732BEE"/>
    <w:rsid w:val="00732F31"/>
    <w:rsid w:val="007333BD"/>
    <w:rsid w:val="007337EF"/>
    <w:rsid w:val="00733EE5"/>
    <w:rsid w:val="00735176"/>
    <w:rsid w:val="007354B5"/>
    <w:rsid w:val="007356BF"/>
    <w:rsid w:val="00737A33"/>
    <w:rsid w:val="00737B4A"/>
    <w:rsid w:val="00740160"/>
    <w:rsid w:val="00740AC4"/>
    <w:rsid w:val="00740DF5"/>
    <w:rsid w:val="00741077"/>
    <w:rsid w:val="0074154C"/>
    <w:rsid w:val="007421CC"/>
    <w:rsid w:val="007423FA"/>
    <w:rsid w:val="00742811"/>
    <w:rsid w:val="007429BB"/>
    <w:rsid w:val="007449BF"/>
    <w:rsid w:val="00745244"/>
    <w:rsid w:val="00745F13"/>
    <w:rsid w:val="00746D51"/>
    <w:rsid w:val="007471D1"/>
    <w:rsid w:val="007477C8"/>
    <w:rsid w:val="00747C23"/>
    <w:rsid w:val="007505A5"/>
    <w:rsid w:val="0075084F"/>
    <w:rsid w:val="00751723"/>
    <w:rsid w:val="00751D57"/>
    <w:rsid w:val="007522C2"/>
    <w:rsid w:val="00755AB8"/>
    <w:rsid w:val="0075656B"/>
    <w:rsid w:val="00756FFF"/>
    <w:rsid w:val="007603BD"/>
    <w:rsid w:val="0076059E"/>
    <w:rsid w:val="00761496"/>
    <w:rsid w:val="00761565"/>
    <w:rsid w:val="007617C8"/>
    <w:rsid w:val="00761900"/>
    <w:rsid w:val="00761CEA"/>
    <w:rsid w:val="007628AE"/>
    <w:rsid w:val="00763D0B"/>
    <w:rsid w:val="00763D5E"/>
    <w:rsid w:val="007653F0"/>
    <w:rsid w:val="0076568B"/>
    <w:rsid w:val="0076598A"/>
    <w:rsid w:val="00765AE3"/>
    <w:rsid w:val="00766207"/>
    <w:rsid w:val="00770057"/>
    <w:rsid w:val="007709F2"/>
    <w:rsid w:val="00771EDA"/>
    <w:rsid w:val="007724E2"/>
    <w:rsid w:val="0077673B"/>
    <w:rsid w:val="00776E5B"/>
    <w:rsid w:val="00776E9B"/>
    <w:rsid w:val="00777535"/>
    <w:rsid w:val="00777A0F"/>
    <w:rsid w:val="00777A45"/>
    <w:rsid w:val="00780F31"/>
    <w:rsid w:val="00781540"/>
    <w:rsid w:val="007837EA"/>
    <w:rsid w:val="00784B54"/>
    <w:rsid w:val="00784D2F"/>
    <w:rsid w:val="00784D69"/>
    <w:rsid w:val="00785730"/>
    <w:rsid w:val="00786620"/>
    <w:rsid w:val="007867FE"/>
    <w:rsid w:val="007872F3"/>
    <w:rsid w:val="00787968"/>
    <w:rsid w:val="00787FC8"/>
    <w:rsid w:val="00790009"/>
    <w:rsid w:val="00790B59"/>
    <w:rsid w:val="00791E5E"/>
    <w:rsid w:val="0079212E"/>
    <w:rsid w:val="007927C0"/>
    <w:rsid w:val="00792BD6"/>
    <w:rsid w:val="00793974"/>
    <w:rsid w:val="00793B79"/>
    <w:rsid w:val="00794458"/>
    <w:rsid w:val="00794C3E"/>
    <w:rsid w:val="00794E88"/>
    <w:rsid w:val="00795365"/>
    <w:rsid w:val="0079561E"/>
    <w:rsid w:val="007965AF"/>
    <w:rsid w:val="00796C44"/>
    <w:rsid w:val="00796ED5"/>
    <w:rsid w:val="007971C3"/>
    <w:rsid w:val="00797361"/>
    <w:rsid w:val="007A0667"/>
    <w:rsid w:val="007A154D"/>
    <w:rsid w:val="007A187D"/>
    <w:rsid w:val="007A230B"/>
    <w:rsid w:val="007A24EF"/>
    <w:rsid w:val="007A288D"/>
    <w:rsid w:val="007A3144"/>
    <w:rsid w:val="007A3387"/>
    <w:rsid w:val="007A44D7"/>
    <w:rsid w:val="007A4E48"/>
    <w:rsid w:val="007A7791"/>
    <w:rsid w:val="007B165D"/>
    <w:rsid w:val="007B1950"/>
    <w:rsid w:val="007B216E"/>
    <w:rsid w:val="007B2817"/>
    <w:rsid w:val="007B396C"/>
    <w:rsid w:val="007B4060"/>
    <w:rsid w:val="007B45C8"/>
    <w:rsid w:val="007B4828"/>
    <w:rsid w:val="007B4C95"/>
    <w:rsid w:val="007B4CA6"/>
    <w:rsid w:val="007B4DAE"/>
    <w:rsid w:val="007B5218"/>
    <w:rsid w:val="007B53A4"/>
    <w:rsid w:val="007B6141"/>
    <w:rsid w:val="007B6250"/>
    <w:rsid w:val="007B6892"/>
    <w:rsid w:val="007B6A1B"/>
    <w:rsid w:val="007B6C67"/>
    <w:rsid w:val="007B745A"/>
    <w:rsid w:val="007B7B36"/>
    <w:rsid w:val="007B7C25"/>
    <w:rsid w:val="007C2202"/>
    <w:rsid w:val="007C28DD"/>
    <w:rsid w:val="007C2960"/>
    <w:rsid w:val="007C2B1D"/>
    <w:rsid w:val="007C2BB2"/>
    <w:rsid w:val="007C3289"/>
    <w:rsid w:val="007C328E"/>
    <w:rsid w:val="007C4776"/>
    <w:rsid w:val="007C4BE0"/>
    <w:rsid w:val="007C4C30"/>
    <w:rsid w:val="007C4E1A"/>
    <w:rsid w:val="007C5D18"/>
    <w:rsid w:val="007C5DA4"/>
    <w:rsid w:val="007C6F35"/>
    <w:rsid w:val="007C70AE"/>
    <w:rsid w:val="007C72BB"/>
    <w:rsid w:val="007C76FB"/>
    <w:rsid w:val="007C7CC6"/>
    <w:rsid w:val="007C7CC8"/>
    <w:rsid w:val="007C7D45"/>
    <w:rsid w:val="007C7EF3"/>
    <w:rsid w:val="007D0408"/>
    <w:rsid w:val="007D060C"/>
    <w:rsid w:val="007D0A51"/>
    <w:rsid w:val="007D16C2"/>
    <w:rsid w:val="007D27F0"/>
    <w:rsid w:val="007D38C2"/>
    <w:rsid w:val="007D4D3B"/>
    <w:rsid w:val="007D5A93"/>
    <w:rsid w:val="007D62FF"/>
    <w:rsid w:val="007D6669"/>
    <w:rsid w:val="007D73A0"/>
    <w:rsid w:val="007E1C03"/>
    <w:rsid w:val="007E1F60"/>
    <w:rsid w:val="007E21E9"/>
    <w:rsid w:val="007E28DA"/>
    <w:rsid w:val="007E2C2C"/>
    <w:rsid w:val="007E2F42"/>
    <w:rsid w:val="007E361F"/>
    <w:rsid w:val="007E36F9"/>
    <w:rsid w:val="007E399F"/>
    <w:rsid w:val="007E414A"/>
    <w:rsid w:val="007E4EB2"/>
    <w:rsid w:val="007E5700"/>
    <w:rsid w:val="007E5818"/>
    <w:rsid w:val="007E5AA1"/>
    <w:rsid w:val="007E6AE7"/>
    <w:rsid w:val="007E751B"/>
    <w:rsid w:val="007E7949"/>
    <w:rsid w:val="007F0609"/>
    <w:rsid w:val="007F182C"/>
    <w:rsid w:val="007F2139"/>
    <w:rsid w:val="007F2B65"/>
    <w:rsid w:val="007F2C96"/>
    <w:rsid w:val="007F39A8"/>
    <w:rsid w:val="007F3DFE"/>
    <w:rsid w:val="007F51BD"/>
    <w:rsid w:val="007F52F4"/>
    <w:rsid w:val="007F54A3"/>
    <w:rsid w:val="007F5B8E"/>
    <w:rsid w:val="007F64C7"/>
    <w:rsid w:val="007F7B98"/>
    <w:rsid w:val="007F7E0E"/>
    <w:rsid w:val="007F7F00"/>
    <w:rsid w:val="00800BF8"/>
    <w:rsid w:val="00800FEB"/>
    <w:rsid w:val="0080172C"/>
    <w:rsid w:val="008020C3"/>
    <w:rsid w:val="00803297"/>
    <w:rsid w:val="008044B6"/>
    <w:rsid w:val="00804560"/>
    <w:rsid w:val="00804E92"/>
    <w:rsid w:val="008057C1"/>
    <w:rsid w:val="00805AB4"/>
    <w:rsid w:val="00806B23"/>
    <w:rsid w:val="00806B62"/>
    <w:rsid w:val="00807071"/>
    <w:rsid w:val="0081031E"/>
    <w:rsid w:val="00810628"/>
    <w:rsid w:val="0081181A"/>
    <w:rsid w:val="0081254E"/>
    <w:rsid w:val="00812A57"/>
    <w:rsid w:val="00812F9D"/>
    <w:rsid w:val="00813A7B"/>
    <w:rsid w:val="0081424F"/>
    <w:rsid w:val="00814529"/>
    <w:rsid w:val="00814A02"/>
    <w:rsid w:val="00817861"/>
    <w:rsid w:val="00820334"/>
    <w:rsid w:val="00821D66"/>
    <w:rsid w:val="00821ED8"/>
    <w:rsid w:val="00822689"/>
    <w:rsid w:val="00823B1A"/>
    <w:rsid w:val="00823F12"/>
    <w:rsid w:val="00824F61"/>
    <w:rsid w:val="008250E0"/>
    <w:rsid w:val="00825E1F"/>
    <w:rsid w:val="00826005"/>
    <w:rsid w:val="00827D49"/>
    <w:rsid w:val="00831104"/>
    <w:rsid w:val="00831B57"/>
    <w:rsid w:val="00832D65"/>
    <w:rsid w:val="00833329"/>
    <w:rsid w:val="00833CEF"/>
    <w:rsid w:val="00833DF2"/>
    <w:rsid w:val="00833F1A"/>
    <w:rsid w:val="00835129"/>
    <w:rsid w:val="0083553F"/>
    <w:rsid w:val="008367C6"/>
    <w:rsid w:val="00837505"/>
    <w:rsid w:val="008379F8"/>
    <w:rsid w:val="00841759"/>
    <w:rsid w:val="0084220B"/>
    <w:rsid w:val="00842B06"/>
    <w:rsid w:val="00842C65"/>
    <w:rsid w:val="00843E57"/>
    <w:rsid w:val="00844661"/>
    <w:rsid w:val="00844EE5"/>
    <w:rsid w:val="0084509C"/>
    <w:rsid w:val="00845304"/>
    <w:rsid w:val="008454DC"/>
    <w:rsid w:val="008465B4"/>
    <w:rsid w:val="0085083B"/>
    <w:rsid w:val="00850D51"/>
    <w:rsid w:val="00851078"/>
    <w:rsid w:val="008511C4"/>
    <w:rsid w:val="008519A3"/>
    <w:rsid w:val="00851AE0"/>
    <w:rsid w:val="00853ABB"/>
    <w:rsid w:val="00853F1C"/>
    <w:rsid w:val="00854FE1"/>
    <w:rsid w:val="008558F3"/>
    <w:rsid w:val="00855B95"/>
    <w:rsid w:val="00856586"/>
    <w:rsid w:val="008567B7"/>
    <w:rsid w:val="008572BF"/>
    <w:rsid w:val="008573AA"/>
    <w:rsid w:val="00861353"/>
    <w:rsid w:val="008614D3"/>
    <w:rsid w:val="008614E4"/>
    <w:rsid w:val="00862276"/>
    <w:rsid w:val="00862CD2"/>
    <w:rsid w:val="008630DC"/>
    <w:rsid w:val="008636F2"/>
    <w:rsid w:val="00863A58"/>
    <w:rsid w:val="008644A4"/>
    <w:rsid w:val="008649F3"/>
    <w:rsid w:val="0086528E"/>
    <w:rsid w:val="00866744"/>
    <w:rsid w:val="0086725C"/>
    <w:rsid w:val="008675FC"/>
    <w:rsid w:val="008708F1"/>
    <w:rsid w:val="00870C2D"/>
    <w:rsid w:val="008719BC"/>
    <w:rsid w:val="00873943"/>
    <w:rsid w:val="00874F3A"/>
    <w:rsid w:val="00874F4A"/>
    <w:rsid w:val="00874F7C"/>
    <w:rsid w:val="00875931"/>
    <w:rsid w:val="00876136"/>
    <w:rsid w:val="00876455"/>
    <w:rsid w:val="0087650E"/>
    <w:rsid w:val="0087704E"/>
    <w:rsid w:val="00877B0B"/>
    <w:rsid w:val="00877D70"/>
    <w:rsid w:val="0088211C"/>
    <w:rsid w:val="008834A2"/>
    <w:rsid w:val="0088462F"/>
    <w:rsid w:val="00884A78"/>
    <w:rsid w:val="00884F5F"/>
    <w:rsid w:val="00884F99"/>
    <w:rsid w:val="0088515F"/>
    <w:rsid w:val="00885BAE"/>
    <w:rsid w:val="008865CA"/>
    <w:rsid w:val="008868BD"/>
    <w:rsid w:val="00886FDF"/>
    <w:rsid w:val="00890653"/>
    <w:rsid w:val="008913C1"/>
    <w:rsid w:val="00891D25"/>
    <w:rsid w:val="0089284D"/>
    <w:rsid w:val="00893318"/>
    <w:rsid w:val="0089373C"/>
    <w:rsid w:val="00893976"/>
    <w:rsid w:val="00893BDF"/>
    <w:rsid w:val="00893FE4"/>
    <w:rsid w:val="008960DD"/>
    <w:rsid w:val="008A0CCB"/>
    <w:rsid w:val="008A1272"/>
    <w:rsid w:val="008A15E2"/>
    <w:rsid w:val="008A25E8"/>
    <w:rsid w:val="008A2976"/>
    <w:rsid w:val="008A2E0B"/>
    <w:rsid w:val="008A31BC"/>
    <w:rsid w:val="008A3507"/>
    <w:rsid w:val="008A394F"/>
    <w:rsid w:val="008A446B"/>
    <w:rsid w:val="008A4CDA"/>
    <w:rsid w:val="008A595B"/>
    <w:rsid w:val="008A5F7C"/>
    <w:rsid w:val="008A61DF"/>
    <w:rsid w:val="008A65A4"/>
    <w:rsid w:val="008A6889"/>
    <w:rsid w:val="008A6AB4"/>
    <w:rsid w:val="008A7EE4"/>
    <w:rsid w:val="008B0064"/>
    <w:rsid w:val="008B034E"/>
    <w:rsid w:val="008B038D"/>
    <w:rsid w:val="008B07E3"/>
    <w:rsid w:val="008B1469"/>
    <w:rsid w:val="008B1C57"/>
    <w:rsid w:val="008B1FCF"/>
    <w:rsid w:val="008B2436"/>
    <w:rsid w:val="008B3CE0"/>
    <w:rsid w:val="008B3D68"/>
    <w:rsid w:val="008B4174"/>
    <w:rsid w:val="008B43C6"/>
    <w:rsid w:val="008B47D4"/>
    <w:rsid w:val="008B568A"/>
    <w:rsid w:val="008B6028"/>
    <w:rsid w:val="008B6E19"/>
    <w:rsid w:val="008B7120"/>
    <w:rsid w:val="008B7859"/>
    <w:rsid w:val="008C1916"/>
    <w:rsid w:val="008C2CDC"/>
    <w:rsid w:val="008C367A"/>
    <w:rsid w:val="008C4624"/>
    <w:rsid w:val="008C5914"/>
    <w:rsid w:val="008C5B80"/>
    <w:rsid w:val="008D0026"/>
    <w:rsid w:val="008D0228"/>
    <w:rsid w:val="008D110E"/>
    <w:rsid w:val="008D124D"/>
    <w:rsid w:val="008D19E3"/>
    <w:rsid w:val="008D280E"/>
    <w:rsid w:val="008D3499"/>
    <w:rsid w:val="008D3EB5"/>
    <w:rsid w:val="008D5406"/>
    <w:rsid w:val="008D630A"/>
    <w:rsid w:val="008D67FE"/>
    <w:rsid w:val="008D6EB6"/>
    <w:rsid w:val="008D6EB7"/>
    <w:rsid w:val="008D7B18"/>
    <w:rsid w:val="008E0411"/>
    <w:rsid w:val="008E1102"/>
    <w:rsid w:val="008E18A1"/>
    <w:rsid w:val="008E250E"/>
    <w:rsid w:val="008E3956"/>
    <w:rsid w:val="008E3E58"/>
    <w:rsid w:val="008E40A6"/>
    <w:rsid w:val="008E4D34"/>
    <w:rsid w:val="008E4F66"/>
    <w:rsid w:val="008E4F7B"/>
    <w:rsid w:val="008E5E55"/>
    <w:rsid w:val="008E7342"/>
    <w:rsid w:val="008E756F"/>
    <w:rsid w:val="008F0664"/>
    <w:rsid w:val="008F09C6"/>
    <w:rsid w:val="008F1E28"/>
    <w:rsid w:val="008F24CA"/>
    <w:rsid w:val="008F25E4"/>
    <w:rsid w:val="008F3619"/>
    <w:rsid w:val="008F3AD0"/>
    <w:rsid w:val="008F4007"/>
    <w:rsid w:val="008F5B55"/>
    <w:rsid w:val="008F5D34"/>
    <w:rsid w:val="008F64C3"/>
    <w:rsid w:val="008F674C"/>
    <w:rsid w:val="008F67AF"/>
    <w:rsid w:val="008F7346"/>
    <w:rsid w:val="008F7EE6"/>
    <w:rsid w:val="00900229"/>
    <w:rsid w:val="00900C4F"/>
    <w:rsid w:val="009018F6"/>
    <w:rsid w:val="00901E72"/>
    <w:rsid w:val="00902D94"/>
    <w:rsid w:val="00902F1A"/>
    <w:rsid w:val="00903DF7"/>
    <w:rsid w:val="00905536"/>
    <w:rsid w:val="00905AF2"/>
    <w:rsid w:val="009061E9"/>
    <w:rsid w:val="0091042B"/>
    <w:rsid w:val="00910C02"/>
    <w:rsid w:val="0091191D"/>
    <w:rsid w:val="00911AB4"/>
    <w:rsid w:val="009128CD"/>
    <w:rsid w:val="009134D8"/>
    <w:rsid w:val="009139B6"/>
    <w:rsid w:val="00913E2F"/>
    <w:rsid w:val="00914179"/>
    <w:rsid w:val="009142DC"/>
    <w:rsid w:val="0091450F"/>
    <w:rsid w:val="00915A4B"/>
    <w:rsid w:val="00915AA6"/>
    <w:rsid w:val="00915C68"/>
    <w:rsid w:val="009168FB"/>
    <w:rsid w:val="0091698D"/>
    <w:rsid w:val="00917175"/>
    <w:rsid w:val="009171CB"/>
    <w:rsid w:val="009172A2"/>
    <w:rsid w:val="00917C6F"/>
    <w:rsid w:val="0092010F"/>
    <w:rsid w:val="00920793"/>
    <w:rsid w:val="00920A0C"/>
    <w:rsid w:val="009213EA"/>
    <w:rsid w:val="00922133"/>
    <w:rsid w:val="00922437"/>
    <w:rsid w:val="009231AF"/>
    <w:rsid w:val="0092449F"/>
    <w:rsid w:val="009248A5"/>
    <w:rsid w:val="009256F1"/>
    <w:rsid w:val="00925AA9"/>
    <w:rsid w:val="00926DA7"/>
    <w:rsid w:val="00930EE8"/>
    <w:rsid w:val="00931FAA"/>
    <w:rsid w:val="00932434"/>
    <w:rsid w:val="00932A86"/>
    <w:rsid w:val="0093300B"/>
    <w:rsid w:val="00934FE2"/>
    <w:rsid w:val="00935423"/>
    <w:rsid w:val="00935B32"/>
    <w:rsid w:val="00935D85"/>
    <w:rsid w:val="009360EF"/>
    <w:rsid w:val="009363B3"/>
    <w:rsid w:val="0093690C"/>
    <w:rsid w:val="00936F02"/>
    <w:rsid w:val="0093720D"/>
    <w:rsid w:val="00941EBA"/>
    <w:rsid w:val="00942D10"/>
    <w:rsid w:val="00944537"/>
    <w:rsid w:val="00944AF0"/>
    <w:rsid w:val="00944E96"/>
    <w:rsid w:val="00945E15"/>
    <w:rsid w:val="00946855"/>
    <w:rsid w:val="00947059"/>
    <w:rsid w:val="0094722B"/>
    <w:rsid w:val="00947E1B"/>
    <w:rsid w:val="00950F7F"/>
    <w:rsid w:val="00951293"/>
    <w:rsid w:val="00951342"/>
    <w:rsid w:val="0095207A"/>
    <w:rsid w:val="009521C0"/>
    <w:rsid w:val="009521F5"/>
    <w:rsid w:val="00953B40"/>
    <w:rsid w:val="00953D48"/>
    <w:rsid w:val="009555F3"/>
    <w:rsid w:val="00955E1E"/>
    <w:rsid w:val="00956E23"/>
    <w:rsid w:val="00957580"/>
    <w:rsid w:val="00961595"/>
    <w:rsid w:val="00961790"/>
    <w:rsid w:val="0096213D"/>
    <w:rsid w:val="009637F6"/>
    <w:rsid w:val="009638A8"/>
    <w:rsid w:val="00963C23"/>
    <w:rsid w:val="00963C70"/>
    <w:rsid w:val="00964AFA"/>
    <w:rsid w:val="00965570"/>
    <w:rsid w:val="0096641A"/>
    <w:rsid w:val="009664D4"/>
    <w:rsid w:val="00966CFD"/>
    <w:rsid w:val="0096713D"/>
    <w:rsid w:val="00970F45"/>
    <w:rsid w:val="00973606"/>
    <w:rsid w:val="00974B32"/>
    <w:rsid w:val="00974D51"/>
    <w:rsid w:val="00974DB2"/>
    <w:rsid w:val="00974F07"/>
    <w:rsid w:val="00975081"/>
    <w:rsid w:val="00975630"/>
    <w:rsid w:val="00976639"/>
    <w:rsid w:val="0097702A"/>
    <w:rsid w:val="009770C9"/>
    <w:rsid w:val="00977664"/>
    <w:rsid w:val="00977BEE"/>
    <w:rsid w:val="009808B8"/>
    <w:rsid w:val="00981221"/>
    <w:rsid w:val="0098239A"/>
    <w:rsid w:val="00983252"/>
    <w:rsid w:val="0098347C"/>
    <w:rsid w:val="009840DD"/>
    <w:rsid w:val="0098430B"/>
    <w:rsid w:val="009848DF"/>
    <w:rsid w:val="00984ADB"/>
    <w:rsid w:val="0098551B"/>
    <w:rsid w:val="00985AC3"/>
    <w:rsid w:val="009861A6"/>
    <w:rsid w:val="0098644C"/>
    <w:rsid w:val="0098720E"/>
    <w:rsid w:val="009876DB"/>
    <w:rsid w:val="00987EC9"/>
    <w:rsid w:val="0099044F"/>
    <w:rsid w:val="00991390"/>
    <w:rsid w:val="00991F61"/>
    <w:rsid w:val="009920B1"/>
    <w:rsid w:val="00993EFF"/>
    <w:rsid w:val="0099488A"/>
    <w:rsid w:val="00994BA3"/>
    <w:rsid w:val="00994F30"/>
    <w:rsid w:val="009954CC"/>
    <w:rsid w:val="009955FF"/>
    <w:rsid w:val="00996664"/>
    <w:rsid w:val="009967F8"/>
    <w:rsid w:val="009A036F"/>
    <w:rsid w:val="009A1DA3"/>
    <w:rsid w:val="009A243C"/>
    <w:rsid w:val="009A4625"/>
    <w:rsid w:val="009A4A48"/>
    <w:rsid w:val="009A4DCA"/>
    <w:rsid w:val="009A52A6"/>
    <w:rsid w:val="009A5B98"/>
    <w:rsid w:val="009A601E"/>
    <w:rsid w:val="009A6145"/>
    <w:rsid w:val="009A7B37"/>
    <w:rsid w:val="009B01BD"/>
    <w:rsid w:val="009B0219"/>
    <w:rsid w:val="009B165E"/>
    <w:rsid w:val="009B1B0F"/>
    <w:rsid w:val="009B364A"/>
    <w:rsid w:val="009B38EF"/>
    <w:rsid w:val="009B4274"/>
    <w:rsid w:val="009B42BA"/>
    <w:rsid w:val="009B4959"/>
    <w:rsid w:val="009B50CA"/>
    <w:rsid w:val="009B56F9"/>
    <w:rsid w:val="009B5B14"/>
    <w:rsid w:val="009B5DFC"/>
    <w:rsid w:val="009B5F05"/>
    <w:rsid w:val="009B65EE"/>
    <w:rsid w:val="009B7689"/>
    <w:rsid w:val="009B78C7"/>
    <w:rsid w:val="009B7C65"/>
    <w:rsid w:val="009B7DD1"/>
    <w:rsid w:val="009C02DC"/>
    <w:rsid w:val="009C043D"/>
    <w:rsid w:val="009C05B5"/>
    <w:rsid w:val="009C06B5"/>
    <w:rsid w:val="009C29F0"/>
    <w:rsid w:val="009C3E56"/>
    <w:rsid w:val="009C3FB6"/>
    <w:rsid w:val="009C4E52"/>
    <w:rsid w:val="009C57C6"/>
    <w:rsid w:val="009C626F"/>
    <w:rsid w:val="009C6AA7"/>
    <w:rsid w:val="009C712F"/>
    <w:rsid w:val="009C718D"/>
    <w:rsid w:val="009C7BD2"/>
    <w:rsid w:val="009C7F2B"/>
    <w:rsid w:val="009D03B9"/>
    <w:rsid w:val="009D0452"/>
    <w:rsid w:val="009D2538"/>
    <w:rsid w:val="009D35E2"/>
    <w:rsid w:val="009D367F"/>
    <w:rsid w:val="009D37F7"/>
    <w:rsid w:val="009D4AC5"/>
    <w:rsid w:val="009D6B64"/>
    <w:rsid w:val="009D6F00"/>
    <w:rsid w:val="009E0025"/>
    <w:rsid w:val="009E048B"/>
    <w:rsid w:val="009E0527"/>
    <w:rsid w:val="009E0A13"/>
    <w:rsid w:val="009E0FCB"/>
    <w:rsid w:val="009E0FCE"/>
    <w:rsid w:val="009E27D4"/>
    <w:rsid w:val="009E34DA"/>
    <w:rsid w:val="009E3DA5"/>
    <w:rsid w:val="009E436C"/>
    <w:rsid w:val="009E4800"/>
    <w:rsid w:val="009E5A8E"/>
    <w:rsid w:val="009E5BFA"/>
    <w:rsid w:val="009E5C9B"/>
    <w:rsid w:val="009E5D40"/>
    <w:rsid w:val="009E6618"/>
    <w:rsid w:val="009E7441"/>
    <w:rsid w:val="009E7868"/>
    <w:rsid w:val="009F07D2"/>
    <w:rsid w:val="009F16AE"/>
    <w:rsid w:val="009F1E62"/>
    <w:rsid w:val="009F22C3"/>
    <w:rsid w:val="009F2A72"/>
    <w:rsid w:val="009F3C7F"/>
    <w:rsid w:val="009F3CF1"/>
    <w:rsid w:val="009F4702"/>
    <w:rsid w:val="009F570B"/>
    <w:rsid w:val="009F5D9D"/>
    <w:rsid w:val="009F66FA"/>
    <w:rsid w:val="00A00AF7"/>
    <w:rsid w:val="00A00BBA"/>
    <w:rsid w:val="00A015EE"/>
    <w:rsid w:val="00A018E7"/>
    <w:rsid w:val="00A02110"/>
    <w:rsid w:val="00A026BD"/>
    <w:rsid w:val="00A028ED"/>
    <w:rsid w:val="00A03610"/>
    <w:rsid w:val="00A03678"/>
    <w:rsid w:val="00A03748"/>
    <w:rsid w:val="00A03CED"/>
    <w:rsid w:val="00A03F31"/>
    <w:rsid w:val="00A04316"/>
    <w:rsid w:val="00A04657"/>
    <w:rsid w:val="00A067B6"/>
    <w:rsid w:val="00A072FE"/>
    <w:rsid w:val="00A10280"/>
    <w:rsid w:val="00A10D00"/>
    <w:rsid w:val="00A115FD"/>
    <w:rsid w:val="00A12054"/>
    <w:rsid w:val="00A12826"/>
    <w:rsid w:val="00A12B82"/>
    <w:rsid w:val="00A12FA7"/>
    <w:rsid w:val="00A13751"/>
    <w:rsid w:val="00A13B2C"/>
    <w:rsid w:val="00A13EE1"/>
    <w:rsid w:val="00A15073"/>
    <w:rsid w:val="00A15B62"/>
    <w:rsid w:val="00A16067"/>
    <w:rsid w:val="00A16C92"/>
    <w:rsid w:val="00A176AC"/>
    <w:rsid w:val="00A17F73"/>
    <w:rsid w:val="00A20714"/>
    <w:rsid w:val="00A2079B"/>
    <w:rsid w:val="00A20DAC"/>
    <w:rsid w:val="00A21506"/>
    <w:rsid w:val="00A2196A"/>
    <w:rsid w:val="00A21B51"/>
    <w:rsid w:val="00A21C5A"/>
    <w:rsid w:val="00A21C6E"/>
    <w:rsid w:val="00A224F1"/>
    <w:rsid w:val="00A22E00"/>
    <w:rsid w:val="00A2364F"/>
    <w:rsid w:val="00A2370B"/>
    <w:rsid w:val="00A237A6"/>
    <w:rsid w:val="00A25062"/>
    <w:rsid w:val="00A2583A"/>
    <w:rsid w:val="00A25B7A"/>
    <w:rsid w:val="00A261FE"/>
    <w:rsid w:val="00A26626"/>
    <w:rsid w:val="00A3035A"/>
    <w:rsid w:val="00A3062D"/>
    <w:rsid w:val="00A30873"/>
    <w:rsid w:val="00A30DFA"/>
    <w:rsid w:val="00A311FF"/>
    <w:rsid w:val="00A3193B"/>
    <w:rsid w:val="00A31C52"/>
    <w:rsid w:val="00A32190"/>
    <w:rsid w:val="00A327B8"/>
    <w:rsid w:val="00A32DFC"/>
    <w:rsid w:val="00A3335C"/>
    <w:rsid w:val="00A33460"/>
    <w:rsid w:val="00A3433D"/>
    <w:rsid w:val="00A3459C"/>
    <w:rsid w:val="00A34A41"/>
    <w:rsid w:val="00A34A8C"/>
    <w:rsid w:val="00A34AD8"/>
    <w:rsid w:val="00A351E6"/>
    <w:rsid w:val="00A4002A"/>
    <w:rsid w:val="00A40941"/>
    <w:rsid w:val="00A409EA"/>
    <w:rsid w:val="00A41136"/>
    <w:rsid w:val="00A4349B"/>
    <w:rsid w:val="00A44880"/>
    <w:rsid w:val="00A44BD7"/>
    <w:rsid w:val="00A45096"/>
    <w:rsid w:val="00A45FAE"/>
    <w:rsid w:val="00A46030"/>
    <w:rsid w:val="00A4664B"/>
    <w:rsid w:val="00A469AA"/>
    <w:rsid w:val="00A4716F"/>
    <w:rsid w:val="00A47530"/>
    <w:rsid w:val="00A4797C"/>
    <w:rsid w:val="00A50DD6"/>
    <w:rsid w:val="00A50FD5"/>
    <w:rsid w:val="00A51190"/>
    <w:rsid w:val="00A52891"/>
    <w:rsid w:val="00A53A8C"/>
    <w:rsid w:val="00A54118"/>
    <w:rsid w:val="00A551CD"/>
    <w:rsid w:val="00A5671C"/>
    <w:rsid w:val="00A6023C"/>
    <w:rsid w:val="00A60EE4"/>
    <w:rsid w:val="00A61118"/>
    <w:rsid w:val="00A611A0"/>
    <w:rsid w:val="00A612B5"/>
    <w:rsid w:val="00A61A20"/>
    <w:rsid w:val="00A61BDE"/>
    <w:rsid w:val="00A62D31"/>
    <w:rsid w:val="00A637A1"/>
    <w:rsid w:val="00A63FE2"/>
    <w:rsid w:val="00A64728"/>
    <w:rsid w:val="00A647FC"/>
    <w:rsid w:val="00A648C7"/>
    <w:rsid w:val="00A64A77"/>
    <w:rsid w:val="00A667E9"/>
    <w:rsid w:val="00A67403"/>
    <w:rsid w:val="00A67835"/>
    <w:rsid w:val="00A67B69"/>
    <w:rsid w:val="00A67DDA"/>
    <w:rsid w:val="00A67E09"/>
    <w:rsid w:val="00A70893"/>
    <w:rsid w:val="00A70AC2"/>
    <w:rsid w:val="00A71A4A"/>
    <w:rsid w:val="00A72183"/>
    <w:rsid w:val="00A72D14"/>
    <w:rsid w:val="00A730B8"/>
    <w:rsid w:val="00A736AA"/>
    <w:rsid w:val="00A73E0F"/>
    <w:rsid w:val="00A74722"/>
    <w:rsid w:val="00A7489A"/>
    <w:rsid w:val="00A74AE1"/>
    <w:rsid w:val="00A75024"/>
    <w:rsid w:val="00A75BD8"/>
    <w:rsid w:val="00A763B1"/>
    <w:rsid w:val="00A81BEE"/>
    <w:rsid w:val="00A843C3"/>
    <w:rsid w:val="00A843CA"/>
    <w:rsid w:val="00A851AC"/>
    <w:rsid w:val="00A85545"/>
    <w:rsid w:val="00A85930"/>
    <w:rsid w:val="00A85EB2"/>
    <w:rsid w:val="00A86134"/>
    <w:rsid w:val="00A871EC"/>
    <w:rsid w:val="00A87CB6"/>
    <w:rsid w:val="00A90452"/>
    <w:rsid w:val="00A90E3D"/>
    <w:rsid w:val="00A914E0"/>
    <w:rsid w:val="00A919E3"/>
    <w:rsid w:val="00A922D5"/>
    <w:rsid w:val="00A9317D"/>
    <w:rsid w:val="00A93254"/>
    <w:rsid w:val="00A94743"/>
    <w:rsid w:val="00A94A61"/>
    <w:rsid w:val="00A94D8A"/>
    <w:rsid w:val="00A95279"/>
    <w:rsid w:val="00A9590D"/>
    <w:rsid w:val="00A95C7A"/>
    <w:rsid w:val="00A97A41"/>
    <w:rsid w:val="00A97AAF"/>
    <w:rsid w:val="00A97F03"/>
    <w:rsid w:val="00AA02CF"/>
    <w:rsid w:val="00AA08B1"/>
    <w:rsid w:val="00AA1EE0"/>
    <w:rsid w:val="00AA2089"/>
    <w:rsid w:val="00AA3AC5"/>
    <w:rsid w:val="00AA3C90"/>
    <w:rsid w:val="00AA3DE8"/>
    <w:rsid w:val="00AA4910"/>
    <w:rsid w:val="00AA5F13"/>
    <w:rsid w:val="00AA65A0"/>
    <w:rsid w:val="00AA71FB"/>
    <w:rsid w:val="00AA7339"/>
    <w:rsid w:val="00AA7B28"/>
    <w:rsid w:val="00AB0CD2"/>
    <w:rsid w:val="00AB1900"/>
    <w:rsid w:val="00AB2268"/>
    <w:rsid w:val="00AB2B07"/>
    <w:rsid w:val="00AB2D0B"/>
    <w:rsid w:val="00AB3A04"/>
    <w:rsid w:val="00AB5522"/>
    <w:rsid w:val="00AB594E"/>
    <w:rsid w:val="00AB5B03"/>
    <w:rsid w:val="00AB68EA"/>
    <w:rsid w:val="00AB6E3D"/>
    <w:rsid w:val="00AB71D6"/>
    <w:rsid w:val="00AC0CF9"/>
    <w:rsid w:val="00AC15E3"/>
    <w:rsid w:val="00AC1B2D"/>
    <w:rsid w:val="00AC25D1"/>
    <w:rsid w:val="00AC2EBB"/>
    <w:rsid w:val="00AC44FA"/>
    <w:rsid w:val="00AC4A3C"/>
    <w:rsid w:val="00AC53C6"/>
    <w:rsid w:val="00AC5482"/>
    <w:rsid w:val="00AC6473"/>
    <w:rsid w:val="00AC6533"/>
    <w:rsid w:val="00AC6F13"/>
    <w:rsid w:val="00AC7687"/>
    <w:rsid w:val="00AD0FF1"/>
    <w:rsid w:val="00AD10E0"/>
    <w:rsid w:val="00AD1EBE"/>
    <w:rsid w:val="00AD23BC"/>
    <w:rsid w:val="00AD24D7"/>
    <w:rsid w:val="00AD2835"/>
    <w:rsid w:val="00AD29B5"/>
    <w:rsid w:val="00AD390F"/>
    <w:rsid w:val="00AD4047"/>
    <w:rsid w:val="00AD562A"/>
    <w:rsid w:val="00AD597C"/>
    <w:rsid w:val="00AD688C"/>
    <w:rsid w:val="00AD69B2"/>
    <w:rsid w:val="00AD744C"/>
    <w:rsid w:val="00AD7795"/>
    <w:rsid w:val="00AD78E6"/>
    <w:rsid w:val="00AD7BDA"/>
    <w:rsid w:val="00AD7C41"/>
    <w:rsid w:val="00AD7E98"/>
    <w:rsid w:val="00AE01BC"/>
    <w:rsid w:val="00AE0AA3"/>
    <w:rsid w:val="00AE10CA"/>
    <w:rsid w:val="00AE115E"/>
    <w:rsid w:val="00AE13F6"/>
    <w:rsid w:val="00AE1756"/>
    <w:rsid w:val="00AE2208"/>
    <w:rsid w:val="00AE29B9"/>
    <w:rsid w:val="00AE2B36"/>
    <w:rsid w:val="00AE36CA"/>
    <w:rsid w:val="00AE383B"/>
    <w:rsid w:val="00AE3E2F"/>
    <w:rsid w:val="00AE4143"/>
    <w:rsid w:val="00AE454C"/>
    <w:rsid w:val="00AE479E"/>
    <w:rsid w:val="00AE4A15"/>
    <w:rsid w:val="00AE4AE6"/>
    <w:rsid w:val="00AE615C"/>
    <w:rsid w:val="00AE6AAC"/>
    <w:rsid w:val="00AF0075"/>
    <w:rsid w:val="00AF01A7"/>
    <w:rsid w:val="00AF02DA"/>
    <w:rsid w:val="00AF0A3A"/>
    <w:rsid w:val="00AF181B"/>
    <w:rsid w:val="00AF1A9B"/>
    <w:rsid w:val="00AF1B5A"/>
    <w:rsid w:val="00AF4C5C"/>
    <w:rsid w:val="00AF4ECB"/>
    <w:rsid w:val="00AF5F1E"/>
    <w:rsid w:val="00AF728A"/>
    <w:rsid w:val="00AF7B34"/>
    <w:rsid w:val="00B001BB"/>
    <w:rsid w:val="00B01007"/>
    <w:rsid w:val="00B011B5"/>
    <w:rsid w:val="00B01735"/>
    <w:rsid w:val="00B020DA"/>
    <w:rsid w:val="00B02603"/>
    <w:rsid w:val="00B02DD8"/>
    <w:rsid w:val="00B031AC"/>
    <w:rsid w:val="00B03DE6"/>
    <w:rsid w:val="00B03F5F"/>
    <w:rsid w:val="00B0557D"/>
    <w:rsid w:val="00B06A44"/>
    <w:rsid w:val="00B0762A"/>
    <w:rsid w:val="00B07C35"/>
    <w:rsid w:val="00B07C40"/>
    <w:rsid w:val="00B10B29"/>
    <w:rsid w:val="00B10D13"/>
    <w:rsid w:val="00B11316"/>
    <w:rsid w:val="00B11325"/>
    <w:rsid w:val="00B11D92"/>
    <w:rsid w:val="00B12891"/>
    <w:rsid w:val="00B12B1C"/>
    <w:rsid w:val="00B12C2E"/>
    <w:rsid w:val="00B12F99"/>
    <w:rsid w:val="00B13348"/>
    <w:rsid w:val="00B14711"/>
    <w:rsid w:val="00B150D5"/>
    <w:rsid w:val="00B16454"/>
    <w:rsid w:val="00B16EA8"/>
    <w:rsid w:val="00B17779"/>
    <w:rsid w:val="00B2078E"/>
    <w:rsid w:val="00B20BED"/>
    <w:rsid w:val="00B21C81"/>
    <w:rsid w:val="00B22722"/>
    <w:rsid w:val="00B227A6"/>
    <w:rsid w:val="00B22ED4"/>
    <w:rsid w:val="00B23A7B"/>
    <w:rsid w:val="00B24388"/>
    <w:rsid w:val="00B247A2"/>
    <w:rsid w:val="00B2519F"/>
    <w:rsid w:val="00B25309"/>
    <w:rsid w:val="00B2562F"/>
    <w:rsid w:val="00B256AE"/>
    <w:rsid w:val="00B258E2"/>
    <w:rsid w:val="00B260A8"/>
    <w:rsid w:val="00B277C4"/>
    <w:rsid w:val="00B27A27"/>
    <w:rsid w:val="00B3056E"/>
    <w:rsid w:val="00B313C1"/>
    <w:rsid w:val="00B320C0"/>
    <w:rsid w:val="00B329BF"/>
    <w:rsid w:val="00B34435"/>
    <w:rsid w:val="00B34C23"/>
    <w:rsid w:val="00B3571C"/>
    <w:rsid w:val="00B3691C"/>
    <w:rsid w:val="00B36F9E"/>
    <w:rsid w:val="00B41FDB"/>
    <w:rsid w:val="00B42E3D"/>
    <w:rsid w:val="00B430E3"/>
    <w:rsid w:val="00B44B9E"/>
    <w:rsid w:val="00B4504D"/>
    <w:rsid w:val="00B45785"/>
    <w:rsid w:val="00B4628D"/>
    <w:rsid w:val="00B478AE"/>
    <w:rsid w:val="00B47BF0"/>
    <w:rsid w:val="00B5007E"/>
    <w:rsid w:val="00B50BD6"/>
    <w:rsid w:val="00B519FF"/>
    <w:rsid w:val="00B51F7D"/>
    <w:rsid w:val="00B5219A"/>
    <w:rsid w:val="00B55AAA"/>
    <w:rsid w:val="00B5696F"/>
    <w:rsid w:val="00B61513"/>
    <w:rsid w:val="00B61CBB"/>
    <w:rsid w:val="00B61E5A"/>
    <w:rsid w:val="00B639F0"/>
    <w:rsid w:val="00B648CC"/>
    <w:rsid w:val="00B64CCC"/>
    <w:rsid w:val="00B64E7E"/>
    <w:rsid w:val="00B64ED7"/>
    <w:rsid w:val="00B666E6"/>
    <w:rsid w:val="00B66E38"/>
    <w:rsid w:val="00B679F8"/>
    <w:rsid w:val="00B67CF6"/>
    <w:rsid w:val="00B70105"/>
    <w:rsid w:val="00B70171"/>
    <w:rsid w:val="00B70E22"/>
    <w:rsid w:val="00B7165D"/>
    <w:rsid w:val="00B71EE5"/>
    <w:rsid w:val="00B725EC"/>
    <w:rsid w:val="00B74201"/>
    <w:rsid w:val="00B74E57"/>
    <w:rsid w:val="00B74EA9"/>
    <w:rsid w:val="00B75A57"/>
    <w:rsid w:val="00B75CED"/>
    <w:rsid w:val="00B774B0"/>
    <w:rsid w:val="00B8000E"/>
    <w:rsid w:val="00B80417"/>
    <w:rsid w:val="00B80487"/>
    <w:rsid w:val="00B80DD5"/>
    <w:rsid w:val="00B80FF9"/>
    <w:rsid w:val="00B81D3E"/>
    <w:rsid w:val="00B81ECE"/>
    <w:rsid w:val="00B8312D"/>
    <w:rsid w:val="00B83C0D"/>
    <w:rsid w:val="00B83E71"/>
    <w:rsid w:val="00B84C3B"/>
    <w:rsid w:val="00B84CDE"/>
    <w:rsid w:val="00B84FB5"/>
    <w:rsid w:val="00B85DB3"/>
    <w:rsid w:val="00B870AB"/>
    <w:rsid w:val="00B87C6E"/>
    <w:rsid w:val="00B90092"/>
    <w:rsid w:val="00B90C2E"/>
    <w:rsid w:val="00B917A6"/>
    <w:rsid w:val="00B92600"/>
    <w:rsid w:val="00B92F6D"/>
    <w:rsid w:val="00B94E00"/>
    <w:rsid w:val="00B95073"/>
    <w:rsid w:val="00B95490"/>
    <w:rsid w:val="00B95744"/>
    <w:rsid w:val="00B958AE"/>
    <w:rsid w:val="00B9591D"/>
    <w:rsid w:val="00B96BF9"/>
    <w:rsid w:val="00BA062D"/>
    <w:rsid w:val="00BA075F"/>
    <w:rsid w:val="00BA0844"/>
    <w:rsid w:val="00BA0986"/>
    <w:rsid w:val="00BA0F1B"/>
    <w:rsid w:val="00BA123C"/>
    <w:rsid w:val="00BA1B15"/>
    <w:rsid w:val="00BA3806"/>
    <w:rsid w:val="00BA3FAE"/>
    <w:rsid w:val="00BA4537"/>
    <w:rsid w:val="00BA5446"/>
    <w:rsid w:val="00BA5E5C"/>
    <w:rsid w:val="00BA64CA"/>
    <w:rsid w:val="00BA65B3"/>
    <w:rsid w:val="00BA6BCE"/>
    <w:rsid w:val="00BA7178"/>
    <w:rsid w:val="00BA7353"/>
    <w:rsid w:val="00BB0077"/>
    <w:rsid w:val="00BB02D8"/>
    <w:rsid w:val="00BB11AD"/>
    <w:rsid w:val="00BB252F"/>
    <w:rsid w:val="00BB33C6"/>
    <w:rsid w:val="00BB36EB"/>
    <w:rsid w:val="00BB39CE"/>
    <w:rsid w:val="00BB3A4A"/>
    <w:rsid w:val="00BB3C84"/>
    <w:rsid w:val="00BB3D57"/>
    <w:rsid w:val="00BB4B72"/>
    <w:rsid w:val="00BB5057"/>
    <w:rsid w:val="00BB50C8"/>
    <w:rsid w:val="00BB52F9"/>
    <w:rsid w:val="00BB60EA"/>
    <w:rsid w:val="00BB7BDC"/>
    <w:rsid w:val="00BB7D87"/>
    <w:rsid w:val="00BB7E49"/>
    <w:rsid w:val="00BB7F9B"/>
    <w:rsid w:val="00BC0546"/>
    <w:rsid w:val="00BC09C6"/>
    <w:rsid w:val="00BC0E9B"/>
    <w:rsid w:val="00BC1C25"/>
    <w:rsid w:val="00BC1DAD"/>
    <w:rsid w:val="00BC1EF0"/>
    <w:rsid w:val="00BC2B27"/>
    <w:rsid w:val="00BC2EAC"/>
    <w:rsid w:val="00BC3036"/>
    <w:rsid w:val="00BC3813"/>
    <w:rsid w:val="00BC4FE1"/>
    <w:rsid w:val="00BC523E"/>
    <w:rsid w:val="00BC583F"/>
    <w:rsid w:val="00BC66F9"/>
    <w:rsid w:val="00BC7185"/>
    <w:rsid w:val="00BC7688"/>
    <w:rsid w:val="00BC7E9D"/>
    <w:rsid w:val="00BD0658"/>
    <w:rsid w:val="00BD1204"/>
    <w:rsid w:val="00BD1215"/>
    <w:rsid w:val="00BD1AE5"/>
    <w:rsid w:val="00BD249D"/>
    <w:rsid w:val="00BD255B"/>
    <w:rsid w:val="00BD29D0"/>
    <w:rsid w:val="00BD2C3C"/>
    <w:rsid w:val="00BD5282"/>
    <w:rsid w:val="00BD6802"/>
    <w:rsid w:val="00BD7290"/>
    <w:rsid w:val="00BD7584"/>
    <w:rsid w:val="00BE0E8E"/>
    <w:rsid w:val="00BE118B"/>
    <w:rsid w:val="00BE2B86"/>
    <w:rsid w:val="00BE32EB"/>
    <w:rsid w:val="00BE3F6E"/>
    <w:rsid w:val="00BE4DD5"/>
    <w:rsid w:val="00BE54E3"/>
    <w:rsid w:val="00BE5806"/>
    <w:rsid w:val="00BE5AFA"/>
    <w:rsid w:val="00BE6134"/>
    <w:rsid w:val="00BE7816"/>
    <w:rsid w:val="00BE7C11"/>
    <w:rsid w:val="00BE7FCE"/>
    <w:rsid w:val="00BF0A2D"/>
    <w:rsid w:val="00BF197A"/>
    <w:rsid w:val="00BF1D5C"/>
    <w:rsid w:val="00BF2169"/>
    <w:rsid w:val="00BF2998"/>
    <w:rsid w:val="00BF3168"/>
    <w:rsid w:val="00BF3499"/>
    <w:rsid w:val="00BF3780"/>
    <w:rsid w:val="00BF3EA7"/>
    <w:rsid w:val="00BF4104"/>
    <w:rsid w:val="00BF4ADC"/>
    <w:rsid w:val="00BF4E7D"/>
    <w:rsid w:val="00BF5021"/>
    <w:rsid w:val="00BF50D0"/>
    <w:rsid w:val="00BF5ABD"/>
    <w:rsid w:val="00BF5FD3"/>
    <w:rsid w:val="00BF7145"/>
    <w:rsid w:val="00BF7160"/>
    <w:rsid w:val="00BF71E4"/>
    <w:rsid w:val="00C00022"/>
    <w:rsid w:val="00C00089"/>
    <w:rsid w:val="00C00103"/>
    <w:rsid w:val="00C0075E"/>
    <w:rsid w:val="00C00C65"/>
    <w:rsid w:val="00C00D1D"/>
    <w:rsid w:val="00C01642"/>
    <w:rsid w:val="00C0290F"/>
    <w:rsid w:val="00C03063"/>
    <w:rsid w:val="00C03538"/>
    <w:rsid w:val="00C03B75"/>
    <w:rsid w:val="00C04DDF"/>
    <w:rsid w:val="00C051F8"/>
    <w:rsid w:val="00C05413"/>
    <w:rsid w:val="00C055F4"/>
    <w:rsid w:val="00C0579B"/>
    <w:rsid w:val="00C05B79"/>
    <w:rsid w:val="00C05C98"/>
    <w:rsid w:val="00C061D2"/>
    <w:rsid w:val="00C064F1"/>
    <w:rsid w:val="00C0684B"/>
    <w:rsid w:val="00C06ABF"/>
    <w:rsid w:val="00C06B77"/>
    <w:rsid w:val="00C077BE"/>
    <w:rsid w:val="00C078C7"/>
    <w:rsid w:val="00C07BED"/>
    <w:rsid w:val="00C07CD0"/>
    <w:rsid w:val="00C1042D"/>
    <w:rsid w:val="00C10ADE"/>
    <w:rsid w:val="00C11034"/>
    <w:rsid w:val="00C11518"/>
    <w:rsid w:val="00C1166B"/>
    <w:rsid w:val="00C11FFF"/>
    <w:rsid w:val="00C120B7"/>
    <w:rsid w:val="00C12766"/>
    <w:rsid w:val="00C12D6A"/>
    <w:rsid w:val="00C13843"/>
    <w:rsid w:val="00C13A0D"/>
    <w:rsid w:val="00C13E7F"/>
    <w:rsid w:val="00C140AF"/>
    <w:rsid w:val="00C15144"/>
    <w:rsid w:val="00C15158"/>
    <w:rsid w:val="00C158BB"/>
    <w:rsid w:val="00C15CB0"/>
    <w:rsid w:val="00C15E84"/>
    <w:rsid w:val="00C15FF1"/>
    <w:rsid w:val="00C16D18"/>
    <w:rsid w:val="00C173C5"/>
    <w:rsid w:val="00C200F6"/>
    <w:rsid w:val="00C20538"/>
    <w:rsid w:val="00C20B49"/>
    <w:rsid w:val="00C20B92"/>
    <w:rsid w:val="00C20E5E"/>
    <w:rsid w:val="00C20EEB"/>
    <w:rsid w:val="00C21A6B"/>
    <w:rsid w:val="00C2287B"/>
    <w:rsid w:val="00C22991"/>
    <w:rsid w:val="00C24BEF"/>
    <w:rsid w:val="00C26022"/>
    <w:rsid w:val="00C26FD9"/>
    <w:rsid w:val="00C27406"/>
    <w:rsid w:val="00C2794B"/>
    <w:rsid w:val="00C279FF"/>
    <w:rsid w:val="00C30CD3"/>
    <w:rsid w:val="00C3155C"/>
    <w:rsid w:val="00C3206E"/>
    <w:rsid w:val="00C32C13"/>
    <w:rsid w:val="00C3312C"/>
    <w:rsid w:val="00C337B5"/>
    <w:rsid w:val="00C33AA7"/>
    <w:rsid w:val="00C34270"/>
    <w:rsid w:val="00C3473D"/>
    <w:rsid w:val="00C357DD"/>
    <w:rsid w:val="00C35DAE"/>
    <w:rsid w:val="00C361D7"/>
    <w:rsid w:val="00C3639A"/>
    <w:rsid w:val="00C3668F"/>
    <w:rsid w:val="00C3697E"/>
    <w:rsid w:val="00C36AFE"/>
    <w:rsid w:val="00C36CC9"/>
    <w:rsid w:val="00C3723D"/>
    <w:rsid w:val="00C409D8"/>
    <w:rsid w:val="00C40E16"/>
    <w:rsid w:val="00C41812"/>
    <w:rsid w:val="00C41D39"/>
    <w:rsid w:val="00C42630"/>
    <w:rsid w:val="00C42812"/>
    <w:rsid w:val="00C433FA"/>
    <w:rsid w:val="00C44325"/>
    <w:rsid w:val="00C44A96"/>
    <w:rsid w:val="00C45545"/>
    <w:rsid w:val="00C45652"/>
    <w:rsid w:val="00C46235"/>
    <w:rsid w:val="00C46CC8"/>
    <w:rsid w:val="00C4764D"/>
    <w:rsid w:val="00C519C1"/>
    <w:rsid w:val="00C52EDC"/>
    <w:rsid w:val="00C52F69"/>
    <w:rsid w:val="00C53BBA"/>
    <w:rsid w:val="00C542E1"/>
    <w:rsid w:val="00C5475F"/>
    <w:rsid w:val="00C548D4"/>
    <w:rsid w:val="00C55523"/>
    <w:rsid w:val="00C55A86"/>
    <w:rsid w:val="00C5632D"/>
    <w:rsid w:val="00C57CDB"/>
    <w:rsid w:val="00C57DF5"/>
    <w:rsid w:val="00C60BD7"/>
    <w:rsid w:val="00C60E13"/>
    <w:rsid w:val="00C623FE"/>
    <w:rsid w:val="00C62D1C"/>
    <w:rsid w:val="00C631A7"/>
    <w:rsid w:val="00C63B99"/>
    <w:rsid w:val="00C63BA2"/>
    <w:rsid w:val="00C641DF"/>
    <w:rsid w:val="00C64F6A"/>
    <w:rsid w:val="00C65160"/>
    <w:rsid w:val="00C6526A"/>
    <w:rsid w:val="00C658E7"/>
    <w:rsid w:val="00C660F7"/>
    <w:rsid w:val="00C671A6"/>
    <w:rsid w:val="00C6793C"/>
    <w:rsid w:val="00C67F5F"/>
    <w:rsid w:val="00C67FBA"/>
    <w:rsid w:val="00C705A7"/>
    <w:rsid w:val="00C7080E"/>
    <w:rsid w:val="00C71D6E"/>
    <w:rsid w:val="00C720D1"/>
    <w:rsid w:val="00C7344E"/>
    <w:rsid w:val="00C7450A"/>
    <w:rsid w:val="00C75431"/>
    <w:rsid w:val="00C759BF"/>
    <w:rsid w:val="00C75A7D"/>
    <w:rsid w:val="00C760C5"/>
    <w:rsid w:val="00C7641A"/>
    <w:rsid w:val="00C764F0"/>
    <w:rsid w:val="00C8021E"/>
    <w:rsid w:val="00C80925"/>
    <w:rsid w:val="00C81120"/>
    <w:rsid w:val="00C81E50"/>
    <w:rsid w:val="00C81F7C"/>
    <w:rsid w:val="00C82BBC"/>
    <w:rsid w:val="00C83882"/>
    <w:rsid w:val="00C83D95"/>
    <w:rsid w:val="00C842E5"/>
    <w:rsid w:val="00C856F1"/>
    <w:rsid w:val="00C85A36"/>
    <w:rsid w:val="00C85C32"/>
    <w:rsid w:val="00C86B35"/>
    <w:rsid w:val="00C87658"/>
    <w:rsid w:val="00C87F81"/>
    <w:rsid w:val="00C9058A"/>
    <w:rsid w:val="00C9071B"/>
    <w:rsid w:val="00C90A9B"/>
    <w:rsid w:val="00C918C9"/>
    <w:rsid w:val="00C91DEE"/>
    <w:rsid w:val="00C9292A"/>
    <w:rsid w:val="00C942B7"/>
    <w:rsid w:val="00C95BEA"/>
    <w:rsid w:val="00C974D0"/>
    <w:rsid w:val="00C97F6F"/>
    <w:rsid w:val="00CA02F0"/>
    <w:rsid w:val="00CA083A"/>
    <w:rsid w:val="00CA0AE3"/>
    <w:rsid w:val="00CA108A"/>
    <w:rsid w:val="00CA1090"/>
    <w:rsid w:val="00CA255A"/>
    <w:rsid w:val="00CA2EEB"/>
    <w:rsid w:val="00CA340B"/>
    <w:rsid w:val="00CA380A"/>
    <w:rsid w:val="00CA447D"/>
    <w:rsid w:val="00CA5E4A"/>
    <w:rsid w:val="00CA660E"/>
    <w:rsid w:val="00CA6EEC"/>
    <w:rsid w:val="00CA749D"/>
    <w:rsid w:val="00CA7E43"/>
    <w:rsid w:val="00CB0BF5"/>
    <w:rsid w:val="00CB0F90"/>
    <w:rsid w:val="00CB1C2D"/>
    <w:rsid w:val="00CB378D"/>
    <w:rsid w:val="00CB4308"/>
    <w:rsid w:val="00CB44D3"/>
    <w:rsid w:val="00CB5224"/>
    <w:rsid w:val="00CB5380"/>
    <w:rsid w:val="00CB557E"/>
    <w:rsid w:val="00CB59BC"/>
    <w:rsid w:val="00CB608F"/>
    <w:rsid w:val="00CB6DEE"/>
    <w:rsid w:val="00CB70EF"/>
    <w:rsid w:val="00CB7CEE"/>
    <w:rsid w:val="00CB7F54"/>
    <w:rsid w:val="00CC074D"/>
    <w:rsid w:val="00CC08E8"/>
    <w:rsid w:val="00CC0A86"/>
    <w:rsid w:val="00CC2460"/>
    <w:rsid w:val="00CC24A5"/>
    <w:rsid w:val="00CC2DD9"/>
    <w:rsid w:val="00CC2F2C"/>
    <w:rsid w:val="00CC390D"/>
    <w:rsid w:val="00CC4442"/>
    <w:rsid w:val="00CC4D6E"/>
    <w:rsid w:val="00CC578C"/>
    <w:rsid w:val="00CC5B09"/>
    <w:rsid w:val="00CC5D2F"/>
    <w:rsid w:val="00CC60DE"/>
    <w:rsid w:val="00CC7594"/>
    <w:rsid w:val="00CC76D9"/>
    <w:rsid w:val="00CC783C"/>
    <w:rsid w:val="00CC7E17"/>
    <w:rsid w:val="00CD0AF5"/>
    <w:rsid w:val="00CD2057"/>
    <w:rsid w:val="00CD2A52"/>
    <w:rsid w:val="00CD3404"/>
    <w:rsid w:val="00CD34C1"/>
    <w:rsid w:val="00CD3BFC"/>
    <w:rsid w:val="00CD49E7"/>
    <w:rsid w:val="00CD57F1"/>
    <w:rsid w:val="00CD5969"/>
    <w:rsid w:val="00CD5F31"/>
    <w:rsid w:val="00CD6A30"/>
    <w:rsid w:val="00CE0030"/>
    <w:rsid w:val="00CE017F"/>
    <w:rsid w:val="00CE01EF"/>
    <w:rsid w:val="00CE2717"/>
    <w:rsid w:val="00CE2BD3"/>
    <w:rsid w:val="00CE3403"/>
    <w:rsid w:val="00CE3DC3"/>
    <w:rsid w:val="00CE5022"/>
    <w:rsid w:val="00CE5269"/>
    <w:rsid w:val="00CE5854"/>
    <w:rsid w:val="00CE5C7C"/>
    <w:rsid w:val="00CE6588"/>
    <w:rsid w:val="00CE7911"/>
    <w:rsid w:val="00CE795F"/>
    <w:rsid w:val="00CE7F39"/>
    <w:rsid w:val="00CF01B1"/>
    <w:rsid w:val="00CF064E"/>
    <w:rsid w:val="00CF1F75"/>
    <w:rsid w:val="00CF2910"/>
    <w:rsid w:val="00CF336D"/>
    <w:rsid w:val="00CF37DB"/>
    <w:rsid w:val="00CF48FC"/>
    <w:rsid w:val="00CF4EC1"/>
    <w:rsid w:val="00CF53C7"/>
    <w:rsid w:val="00CF5FB7"/>
    <w:rsid w:val="00CF6E0F"/>
    <w:rsid w:val="00CF74B2"/>
    <w:rsid w:val="00CF7BC8"/>
    <w:rsid w:val="00CF7F8A"/>
    <w:rsid w:val="00D0007A"/>
    <w:rsid w:val="00D00525"/>
    <w:rsid w:val="00D00814"/>
    <w:rsid w:val="00D0219C"/>
    <w:rsid w:val="00D02C9C"/>
    <w:rsid w:val="00D03388"/>
    <w:rsid w:val="00D04288"/>
    <w:rsid w:val="00D04351"/>
    <w:rsid w:val="00D056FB"/>
    <w:rsid w:val="00D0587A"/>
    <w:rsid w:val="00D05D96"/>
    <w:rsid w:val="00D064D2"/>
    <w:rsid w:val="00D06C88"/>
    <w:rsid w:val="00D074B1"/>
    <w:rsid w:val="00D07B5C"/>
    <w:rsid w:val="00D11044"/>
    <w:rsid w:val="00D11308"/>
    <w:rsid w:val="00D12060"/>
    <w:rsid w:val="00D127D3"/>
    <w:rsid w:val="00D12E91"/>
    <w:rsid w:val="00D13475"/>
    <w:rsid w:val="00D14168"/>
    <w:rsid w:val="00D15264"/>
    <w:rsid w:val="00D1533D"/>
    <w:rsid w:val="00D15F77"/>
    <w:rsid w:val="00D16F84"/>
    <w:rsid w:val="00D17001"/>
    <w:rsid w:val="00D171BC"/>
    <w:rsid w:val="00D175F2"/>
    <w:rsid w:val="00D2092D"/>
    <w:rsid w:val="00D20E86"/>
    <w:rsid w:val="00D21260"/>
    <w:rsid w:val="00D21927"/>
    <w:rsid w:val="00D2209B"/>
    <w:rsid w:val="00D22202"/>
    <w:rsid w:val="00D22EF8"/>
    <w:rsid w:val="00D236D6"/>
    <w:rsid w:val="00D23A1A"/>
    <w:rsid w:val="00D23F59"/>
    <w:rsid w:val="00D2417F"/>
    <w:rsid w:val="00D246F7"/>
    <w:rsid w:val="00D2505D"/>
    <w:rsid w:val="00D257DD"/>
    <w:rsid w:val="00D268F9"/>
    <w:rsid w:val="00D26A2A"/>
    <w:rsid w:val="00D26B9C"/>
    <w:rsid w:val="00D2748D"/>
    <w:rsid w:val="00D27641"/>
    <w:rsid w:val="00D31141"/>
    <w:rsid w:val="00D313B4"/>
    <w:rsid w:val="00D3221A"/>
    <w:rsid w:val="00D322CE"/>
    <w:rsid w:val="00D3280C"/>
    <w:rsid w:val="00D32897"/>
    <w:rsid w:val="00D32E6D"/>
    <w:rsid w:val="00D3456B"/>
    <w:rsid w:val="00D367CB"/>
    <w:rsid w:val="00D37DEB"/>
    <w:rsid w:val="00D40497"/>
    <w:rsid w:val="00D43314"/>
    <w:rsid w:val="00D43CB5"/>
    <w:rsid w:val="00D43DE8"/>
    <w:rsid w:val="00D444A1"/>
    <w:rsid w:val="00D44699"/>
    <w:rsid w:val="00D44A10"/>
    <w:rsid w:val="00D44CF7"/>
    <w:rsid w:val="00D4509B"/>
    <w:rsid w:val="00D45105"/>
    <w:rsid w:val="00D4517A"/>
    <w:rsid w:val="00D45B86"/>
    <w:rsid w:val="00D46F43"/>
    <w:rsid w:val="00D4716B"/>
    <w:rsid w:val="00D50305"/>
    <w:rsid w:val="00D50A73"/>
    <w:rsid w:val="00D50D15"/>
    <w:rsid w:val="00D50DFC"/>
    <w:rsid w:val="00D511D0"/>
    <w:rsid w:val="00D51C73"/>
    <w:rsid w:val="00D530C8"/>
    <w:rsid w:val="00D55DA5"/>
    <w:rsid w:val="00D563F1"/>
    <w:rsid w:val="00D56880"/>
    <w:rsid w:val="00D56BD0"/>
    <w:rsid w:val="00D60C6D"/>
    <w:rsid w:val="00D61C68"/>
    <w:rsid w:val="00D61CC7"/>
    <w:rsid w:val="00D61EE2"/>
    <w:rsid w:val="00D62C74"/>
    <w:rsid w:val="00D62E5C"/>
    <w:rsid w:val="00D638EA"/>
    <w:rsid w:val="00D641B5"/>
    <w:rsid w:val="00D64DC2"/>
    <w:rsid w:val="00D66676"/>
    <w:rsid w:val="00D66A73"/>
    <w:rsid w:val="00D66DF8"/>
    <w:rsid w:val="00D67DC0"/>
    <w:rsid w:val="00D67F8D"/>
    <w:rsid w:val="00D707A3"/>
    <w:rsid w:val="00D71384"/>
    <w:rsid w:val="00D72DC5"/>
    <w:rsid w:val="00D72EF9"/>
    <w:rsid w:val="00D736D9"/>
    <w:rsid w:val="00D73A53"/>
    <w:rsid w:val="00D73BC3"/>
    <w:rsid w:val="00D745B1"/>
    <w:rsid w:val="00D746CC"/>
    <w:rsid w:val="00D746F6"/>
    <w:rsid w:val="00D74F32"/>
    <w:rsid w:val="00D75CC6"/>
    <w:rsid w:val="00D760D6"/>
    <w:rsid w:val="00D80B32"/>
    <w:rsid w:val="00D80F1F"/>
    <w:rsid w:val="00D81141"/>
    <w:rsid w:val="00D8159B"/>
    <w:rsid w:val="00D819C6"/>
    <w:rsid w:val="00D81AFE"/>
    <w:rsid w:val="00D81D7C"/>
    <w:rsid w:val="00D81EE8"/>
    <w:rsid w:val="00D82419"/>
    <w:rsid w:val="00D82EFC"/>
    <w:rsid w:val="00D82F9A"/>
    <w:rsid w:val="00D83A24"/>
    <w:rsid w:val="00D84534"/>
    <w:rsid w:val="00D862E1"/>
    <w:rsid w:val="00D86E3B"/>
    <w:rsid w:val="00D87172"/>
    <w:rsid w:val="00D8741D"/>
    <w:rsid w:val="00D874CC"/>
    <w:rsid w:val="00D87BEB"/>
    <w:rsid w:val="00D901E1"/>
    <w:rsid w:val="00D90920"/>
    <w:rsid w:val="00D91143"/>
    <w:rsid w:val="00D91188"/>
    <w:rsid w:val="00D91A86"/>
    <w:rsid w:val="00D930A0"/>
    <w:rsid w:val="00D93214"/>
    <w:rsid w:val="00D937DB"/>
    <w:rsid w:val="00D9426C"/>
    <w:rsid w:val="00D9468B"/>
    <w:rsid w:val="00D95CEE"/>
    <w:rsid w:val="00D9635B"/>
    <w:rsid w:val="00D96409"/>
    <w:rsid w:val="00D96D30"/>
    <w:rsid w:val="00D97048"/>
    <w:rsid w:val="00D97432"/>
    <w:rsid w:val="00D978B2"/>
    <w:rsid w:val="00DA0603"/>
    <w:rsid w:val="00DA0812"/>
    <w:rsid w:val="00DA1F95"/>
    <w:rsid w:val="00DA3629"/>
    <w:rsid w:val="00DA3AC3"/>
    <w:rsid w:val="00DA3C3D"/>
    <w:rsid w:val="00DA3E5B"/>
    <w:rsid w:val="00DA4235"/>
    <w:rsid w:val="00DA4654"/>
    <w:rsid w:val="00DA507D"/>
    <w:rsid w:val="00DA5C6C"/>
    <w:rsid w:val="00DA5D31"/>
    <w:rsid w:val="00DA619C"/>
    <w:rsid w:val="00DA768C"/>
    <w:rsid w:val="00DA7E9D"/>
    <w:rsid w:val="00DB0524"/>
    <w:rsid w:val="00DB0EEE"/>
    <w:rsid w:val="00DB116C"/>
    <w:rsid w:val="00DB1250"/>
    <w:rsid w:val="00DB19DD"/>
    <w:rsid w:val="00DB1BE2"/>
    <w:rsid w:val="00DB48FF"/>
    <w:rsid w:val="00DB5E2F"/>
    <w:rsid w:val="00DB684E"/>
    <w:rsid w:val="00DB7538"/>
    <w:rsid w:val="00DB7C1F"/>
    <w:rsid w:val="00DC02F8"/>
    <w:rsid w:val="00DC0516"/>
    <w:rsid w:val="00DC06B7"/>
    <w:rsid w:val="00DC077F"/>
    <w:rsid w:val="00DC2133"/>
    <w:rsid w:val="00DC21CB"/>
    <w:rsid w:val="00DC2BF2"/>
    <w:rsid w:val="00DC4B38"/>
    <w:rsid w:val="00DC5015"/>
    <w:rsid w:val="00DC506C"/>
    <w:rsid w:val="00DC66E1"/>
    <w:rsid w:val="00DC7BD1"/>
    <w:rsid w:val="00DC7E2B"/>
    <w:rsid w:val="00DC7F3A"/>
    <w:rsid w:val="00DD0611"/>
    <w:rsid w:val="00DD1A8A"/>
    <w:rsid w:val="00DD22FB"/>
    <w:rsid w:val="00DD2A70"/>
    <w:rsid w:val="00DD2AD5"/>
    <w:rsid w:val="00DD2B00"/>
    <w:rsid w:val="00DD3F49"/>
    <w:rsid w:val="00DD3FFC"/>
    <w:rsid w:val="00DD43F6"/>
    <w:rsid w:val="00DD4E0F"/>
    <w:rsid w:val="00DD5993"/>
    <w:rsid w:val="00DD5D5E"/>
    <w:rsid w:val="00DD5F2F"/>
    <w:rsid w:val="00DD5F53"/>
    <w:rsid w:val="00DD6419"/>
    <w:rsid w:val="00DD6EF3"/>
    <w:rsid w:val="00DD6F89"/>
    <w:rsid w:val="00DD7220"/>
    <w:rsid w:val="00DD743A"/>
    <w:rsid w:val="00DD75B3"/>
    <w:rsid w:val="00DD7F86"/>
    <w:rsid w:val="00DE013F"/>
    <w:rsid w:val="00DE0267"/>
    <w:rsid w:val="00DE19B8"/>
    <w:rsid w:val="00DE21D8"/>
    <w:rsid w:val="00DE25F9"/>
    <w:rsid w:val="00DE376B"/>
    <w:rsid w:val="00DE4BD1"/>
    <w:rsid w:val="00DE6D3D"/>
    <w:rsid w:val="00DE74E2"/>
    <w:rsid w:val="00DF0B6E"/>
    <w:rsid w:val="00DF1311"/>
    <w:rsid w:val="00DF1348"/>
    <w:rsid w:val="00DF1AE5"/>
    <w:rsid w:val="00DF1B7F"/>
    <w:rsid w:val="00DF1CB0"/>
    <w:rsid w:val="00DF1D94"/>
    <w:rsid w:val="00DF36CF"/>
    <w:rsid w:val="00DF46FE"/>
    <w:rsid w:val="00DF5277"/>
    <w:rsid w:val="00DF58F2"/>
    <w:rsid w:val="00DF746F"/>
    <w:rsid w:val="00DF7932"/>
    <w:rsid w:val="00DF7E7C"/>
    <w:rsid w:val="00E0046C"/>
    <w:rsid w:val="00E01498"/>
    <w:rsid w:val="00E018E6"/>
    <w:rsid w:val="00E01C70"/>
    <w:rsid w:val="00E02CB3"/>
    <w:rsid w:val="00E03960"/>
    <w:rsid w:val="00E03BEC"/>
    <w:rsid w:val="00E04BFE"/>
    <w:rsid w:val="00E05CB4"/>
    <w:rsid w:val="00E072C8"/>
    <w:rsid w:val="00E07C32"/>
    <w:rsid w:val="00E1044A"/>
    <w:rsid w:val="00E121EA"/>
    <w:rsid w:val="00E12A7E"/>
    <w:rsid w:val="00E12E9A"/>
    <w:rsid w:val="00E130F5"/>
    <w:rsid w:val="00E13AC6"/>
    <w:rsid w:val="00E13BBA"/>
    <w:rsid w:val="00E14990"/>
    <w:rsid w:val="00E14FE2"/>
    <w:rsid w:val="00E161B9"/>
    <w:rsid w:val="00E166E9"/>
    <w:rsid w:val="00E172E1"/>
    <w:rsid w:val="00E17AF1"/>
    <w:rsid w:val="00E17BBD"/>
    <w:rsid w:val="00E20DAA"/>
    <w:rsid w:val="00E22F15"/>
    <w:rsid w:val="00E23469"/>
    <w:rsid w:val="00E2371D"/>
    <w:rsid w:val="00E23759"/>
    <w:rsid w:val="00E23D9C"/>
    <w:rsid w:val="00E23F6D"/>
    <w:rsid w:val="00E24997"/>
    <w:rsid w:val="00E254B4"/>
    <w:rsid w:val="00E25996"/>
    <w:rsid w:val="00E2618D"/>
    <w:rsid w:val="00E273BA"/>
    <w:rsid w:val="00E300C3"/>
    <w:rsid w:val="00E30114"/>
    <w:rsid w:val="00E31471"/>
    <w:rsid w:val="00E3167B"/>
    <w:rsid w:val="00E31807"/>
    <w:rsid w:val="00E32A1D"/>
    <w:rsid w:val="00E3393E"/>
    <w:rsid w:val="00E3437B"/>
    <w:rsid w:val="00E34874"/>
    <w:rsid w:val="00E34C66"/>
    <w:rsid w:val="00E3755D"/>
    <w:rsid w:val="00E37982"/>
    <w:rsid w:val="00E4098D"/>
    <w:rsid w:val="00E40C58"/>
    <w:rsid w:val="00E41020"/>
    <w:rsid w:val="00E420B5"/>
    <w:rsid w:val="00E428B7"/>
    <w:rsid w:val="00E43D1B"/>
    <w:rsid w:val="00E4446B"/>
    <w:rsid w:val="00E447F8"/>
    <w:rsid w:val="00E44988"/>
    <w:rsid w:val="00E44BE3"/>
    <w:rsid w:val="00E45113"/>
    <w:rsid w:val="00E452FB"/>
    <w:rsid w:val="00E4567C"/>
    <w:rsid w:val="00E45C4F"/>
    <w:rsid w:val="00E46B73"/>
    <w:rsid w:val="00E47404"/>
    <w:rsid w:val="00E52080"/>
    <w:rsid w:val="00E530A7"/>
    <w:rsid w:val="00E5317C"/>
    <w:rsid w:val="00E532F5"/>
    <w:rsid w:val="00E5447E"/>
    <w:rsid w:val="00E55456"/>
    <w:rsid w:val="00E556DC"/>
    <w:rsid w:val="00E55A8B"/>
    <w:rsid w:val="00E5622B"/>
    <w:rsid w:val="00E57E47"/>
    <w:rsid w:val="00E6033E"/>
    <w:rsid w:val="00E60485"/>
    <w:rsid w:val="00E60CAB"/>
    <w:rsid w:val="00E6222F"/>
    <w:rsid w:val="00E62E70"/>
    <w:rsid w:val="00E63273"/>
    <w:rsid w:val="00E63BA0"/>
    <w:rsid w:val="00E63ED5"/>
    <w:rsid w:val="00E6407D"/>
    <w:rsid w:val="00E64159"/>
    <w:rsid w:val="00E64366"/>
    <w:rsid w:val="00E656DA"/>
    <w:rsid w:val="00E65B5F"/>
    <w:rsid w:val="00E6610B"/>
    <w:rsid w:val="00E66189"/>
    <w:rsid w:val="00E663C2"/>
    <w:rsid w:val="00E66BC9"/>
    <w:rsid w:val="00E70C06"/>
    <w:rsid w:val="00E716D6"/>
    <w:rsid w:val="00E71991"/>
    <w:rsid w:val="00E71A35"/>
    <w:rsid w:val="00E71E8F"/>
    <w:rsid w:val="00E72064"/>
    <w:rsid w:val="00E726D1"/>
    <w:rsid w:val="00E72728"/>
    <w:rsid w:val="00E7345B"/>
    <w:rsid w:val="00E75A74"/>
    <w:rsid w:val="00E76570"/>
    <w:rsid w:val="00E767E0"/>
    <w:rsid w:val="00E77A87"/>
    <w:rsid w:val="00E80431"/>
    <w:rsid w:val="00E8117B"/>
    <w:rsid w:val="00E81372"/>
    <w:rsid w:val="00E81AD4"/>
    <w:rsid w:val="00E81C88"/>
    <w:rsid w:val="00E81DB0"/>
    <w:rsid w:val="00E8239D"/>
    <w:rsid w:val="00E838AB"/>
    <w:rsid w:val="00E841A0"/>
    <w:rsid w:val="00E841B9"/>
    <w:rsid w:val="00E8468C"/>
    <w:rsid w:val="00E8517E"/>
    <w:rsid w:val="00E86689"/>
    <w:rsid w:val="00E873AA"/>
    <w:rsid w:val="00E901C8"/>
    <w:rsid w:val="00E90324"/>
    <w:rsid w:val="00E9045C"/>
    <w:rsid w:val="00E906D6"/>
    <w:rsid w:val="00E90AAA"/>
    <w:rsid w:val="00E90D4A"/>
    <w:rsid w:val="00E91240"/>
    <w:rsid w:val="00E91D69"/>
    <w:rsid w:val="00E91DFF"/>
    <w:rsid w:val="00E92409"/>
    <w:rsid w:val="00E925FA"/>
    <w:rsid w:val="00E92E82"/>
    <w:rsid w:val="00E9389C"/>
    <w:rsid w:val="00E94437"/>
    <w:rsid w:val="00E944D2"/>
    <w:rsid w:val="00E946B9"/>
    <w:rsid w:val="00E96577"/>
    <w:rsid w:val="00E96886"/>
    <w:rsid w:val="00E96913"/>
    <w:rsid w:val="00E972AC"/>
    <w:rsid w:val="00E975C1"/>
    <w:rsid w:val="00EA044A"/>
    <w:rsid w:val="00EA0C46"/>
    <w:rsid w:val="00EA16F0"/>
    <w:rsid w:val="00EA2D1C"/>
    <w:rsid w:val="00EA3DFF"/>
    <w:rsid w:val="00EA47BE"/>
    <w:rsid w:val="00EA4EA9"/>
    <w:rsid w:val="00EA67D9"/>
    <w:rsid w:val="00EA6BB6"/>
    <w:rsid w:val="00EB1EA7"/>
    <w:rsid w:val="00EB2443"/>
    <w:rsid w:val="00EB47D7"/>
    <w:rsid w:val="00EB5971"/>
    <w:rsid w:val="00EB5A94"/>
    <w:rsid w:val="00EB6FEF"/>
    <w:rsid w:val="00EB7B63"/>
    <w:rsid w:val="00EC012D"/>
    <w:rsid w:val="00EC0A4C"/>
    <w:rsid w:val="00EC0A7F"/>
    <w:rsid w:val="00EC1022"/>
    <w:rsid w:val="00EC1316"/>
    <w:rsid w:val="00EC15B0"/>
    <w:rsid w:val="00EC20B9"/>
    <w:rsid w:val="00EC3219"/>
    <w:rsid w:val="00EC33B0"/>
    <w:rsid w:val="00EC4E76"/>
    <w:rsid w:val="00EC5060"/>
    <w:rsid w:val="00EC5293"/>
    <w:rsid w:val="00EC5C6A"/>
    <w:rsid w:val="00ED1F17"/>
    <w:rsid w:val="00ED3A6C"/>
    <w:rsid w:val="00ED501C"/>
    <w:rsid w:val="00ED55C7"/>
    <w:rsid w:val="00ED56F5"/>
    <w:rsid w:val="00ED5B78"/>
    <w:rsid w:val="00ED6484"/>
    <w:rsid w:val="00ED66EE"/>
    <w:rsid w:val="00ED7375"/>
    <w:rsid w:val="00EE088C"/>
    <w:rsid w:val="00EE0A84"/>
    <w:rsid w:val="00EE1479"/>
    <w:rsid w:val="00EE1A25"/>
    <w:rsid w:val="00EE1C8C"/>
    <w:rsid w:val="00EE26C5"/>
    <w:rsid w:val="00EE3FE6"/>
    <w:rsid w:val="00EE4401"/>
    <w:rsid w:val="00EE6890"/>
    <w:rsid w:val="00EE7437"/>
    <w:rsid w:val="00EE74DB"/>
    <w:rsid w:val="00EE77BC"/>
    <w:rsid w:val="00EF03A4"/>
    <w:rsid w:val="00EF095E"/>
    <w:rsid w:val="00EF0A63"/>
    <w:rsid w:val="00EF2DF6"/>
    <w:rsid w:val="00EF3684"/>
    <w:rsid w:val="00EF4F4F"/>
    <w:rsid w:val="00EF5264"/>
    <w:rsid w:val="00EF6DE8"/>
    <w:rsid w:val="00EF6F83"/>
    <w:rsid w:val="00F0009A"/>
    <w:rsid w:val="00F01C5F"/>
    <w:rsid w:val="00F035BB"/>
    <w:rsid w:val="00F03688"/>
    <w:rsid w:val="00F03712"/>
    <w:rsid w:val="00F04382"/>
    <w:rsid w:val="00F0478B"/>
    <w:rsid w:val="00F04E2E"/>
    <w:rsid w:val="00F04FDD"/>
    <w:rsid w:val="00F0581D"/>
    <w:rsid w:val="00F07664"/>
    <w:rsid w:val="00F07B18"/>
    <w:rsid w:val="00F10932"/>
    <w:rsid w:val="00F109C9"/>
    <w:rsid w:val="00F10C81"/>
    <w:rsid w:val="00F111DF"/>
    <w:rsid w:val="00F12049"/>
    <w:rsid w:val="00F121E6"/>
    <w:rsid w:val="00F12C46"/>
    <w:rsid w:val="00F131D4"/>
    <w:rsid w:val="00F136F3"/>
    <w:rsid w:val="00F13F8C"/>
    <w:rsid w:val="00F14447"/>
    <w:rsid w:val="00F15BF5"/>
    <w:rsid w:val="00F16E09"/>
    <w:rsid w:val="00F1764A"/>
    <w:rsid w:val="00F202CF"/>
    <w:rsid w:val="00F21352"/>
    <w:rsid w:val="00F24069"/>
    <w:rsid w:val="00F24092"/>
    <w:rsid w:val="00F25D28"/>
    <w:rsid w:val="00F26B89"/>
    <w:rsid w:val="00F26DE9"/>
    <w:rsid w:val="00F2777F"/>
    <w:rsid w:val="00F27DAC"/>
    <w:rsid w:val="00F300DB"/>
    <w:rsid w:val="00F3073A"/>
    <w:rsid w:val="00F3076E"/>
    <w:rsid w:val="00F30E29"/>
    <w:rsid w:val="00F3159D"/>
    <w:rsid w:val="00F32B20"/>
    <w:rsid w:val="00F32DED"/>
    <w:rsid w:val="00F336BD"/>
    <w:rsid w:val="00F339AB"/>
    <w:rsid w:val="00F33D78"/>
    <w:rsid w:val="00F34899"/>
    <w:rsid w:val="00F34D6B"/>
    <w:rsid w:val="00F34DF2"/>
    <w:rsid w:val="00F3510D"/>
    <w:rsid w:val="00F358D5"/>
    <w:rsid w:val="00F36B99"/>
    <w:rsid w:val="00F3727B"/>
    <w:rsid w:val="00F41899"/>
    <w:rsid w:val="00F41B2B"/>
    <w:rsid w:val="00F41CBB"/>
    <w:rsid w:val="00F42161"/>
    <w:rsid w:val="00F42431"/>
    <w:rsid w:val="00F4267F"/>
    <w:rsid w:val="00F433A1"/>
    <w:rsid w:val="00F434CF"/>
    <w:rsid w:val="00F439E5"/>
    <w:rsid w:val="00F441EF"/>
    <w:rsid w:val="00F44232"/>
    <w:rsid w:val="00F44C72"/>
    <w:rsid w:val="00F451CC"/>
    <w:rsid w:val="00F45C1C"/>
    <w:rsid w:val="00F45D51"/>
    <w:rsid w:val="00F46BD9"/>
    <w:rsid w:val="00F476B1"/>
    <w:rsid w:val="00F47ACA"/>
    <w:rsid w:val="00F50371"/>
    <w:rsid w:val="00F508DC"/>
    <w:rsid w:val="00F50B0C"/>
    <w:rsid w:val="00F50F14"/>
    <w:rsid w:val="00F516B9"/>
    <w:rsid w:val="00F52339"/>
    <w:rsid w:val="00F524F8"/>
    <w:rsid w:val="00F5363C"/>
    <w:rsid w:val="00F54973"/>
    <w:rsid w:val="00F54BB4"/>
    <w:rsid w:val="00F54EEF"/>
    <w:rsid w:val="00F55060"/>
    <w:rsid w:val="00F5704A"/>
    <w:rsid w:val="00F609D2"/>
    <w:rsid w:val="00F60BBA"/>
    <w:rsid w:val="00F614F1"/>
    <w:rsid w:val="00F61758"/>
    <w:rsid w:val="00F61FDE"/>
    <w:rsid w:val="00F6273F"/>
    <w:rsid w:val="00F62845"/>
    <w:rsid w:val="00F634B1"/>
    <w:rsid w:val="00F6457C"/>
    <w:rsid w:val="00F64D58"/>
    <w:rsid w:val="00F64F00"/>
    <w:rsid w:val="00F65556"/>
    <w:rsid w:val="00F65CEB"/>
    <w:rsid w:val="00F66036"/>
    <w:rsid w:val="00F702F7"/>
    <w:rsid w:val="00F70402"/>
    <w:rsid w:val="00F7064C"/>
    <w:rsid w:val="00F715E9"/>
    <w:rsid w:val="00F716A0"/>
    <w:rsid w:val="00F716B8"/>
    <w:rsid w:val="00F726FA"/>
    <w:rsid w:val="00F72D47"/>
    <w:rsid w:val="00F73A4C"/>
    <w:rsid w:val="00F73D22"/>
    <w:rsid w:val="00F73E15"/>
    <w:rsid w:val="00F744B9"/>
    <w:rsid w:val="00F75025"/>
    <w:rsid w:val="00F75E44"/>
    <w:rsid w:val="00F76FE6"/>
    <w:rsid w:val="00F77359"/>
    <w:rsid w:val="00F77A22"/>
    <w:rsid w:val="00F8019E"/>
    <w:rsid w:val="00F801F0"/>
    <w:rsid w:val="00F80AFE"/>
    <w:rsid w:val="00F810C2"/>
    <w:rsid w:val="00F81C8D"/>
    <w:rsid w:val="00F8308D"/>
    <w:rsid w:val="00F85997"/>
    <w:rsid w:val="00F85C7E"/>
    <w:rsid w:val="00F8632A"/>
    <w:rsid w:val="00F87B3D"/>
    <w:rsid w:val="00F87CF4"/>
    <w:rsid w:val="00F90357"/>
    <w:rsid w:val="00F90FE8"/>
    <w:rsid w:val="00F9126D"/>
    <w:rsid w:val="00F914BA"/>
    <w:rsid w:val="00F9159B"/>
    <w:rsid w:val="00F936BD"/>
    <w:rsid w:val="00F9394C"/>
    <w:rsid w:val="00F93DF5"/>
    <w:rsid w:val="00F9407C"/>
    <w:rsid w:val="00F9415D"/>
    <w:rsid w:val="00F942F8"/>
    <w:rsid w:val="00F95102"/>
    <w:rsid w:val="00F95CF1"/>
    <w:rsid w:val="00F9678E"/>
    <w:rsid w:val="00F97505"/>
    <w:rsid w:val="00F97CFD"/>
    <w:rsid w:val="00FA08EF"/>
    <w:rsid w:val="00FA0AAE"/>
    <w:rsid w:val="00FA0E22"/>
    <w:rsid w:val="00FA108E"/>
    <w:rsid w:val="00FA113C"/>
    <w:rsid w:val="00FA165A"/>
    <w:rsid w:val="00FA1AB5"/>
    <w:rsid w:val="00FA22BA"/>
    <w:rsid w:val="00FA23BA"/>
    <w:rsid w:val="00FA28B1"/>
    <w:rsid w:val="00FA42F4"/>
    <w:rsid w:val="00FA43BD"/>
    <w:rsid w:val="00FA6BB2"/>
    <w:rsid w:val="00FA7977"/>
    <w:rsid w:val="00FA7B24"/>
    <w:rsid w:val="00FB208A"/>
    <w:rsid w:val="00FB26CD"/>
    <w:rsid w:val="00FB2822"/>
    <w:rsid w:val="00FB2AF0"/>
    <w:rsid w:val="00FB2CC7"/>
    <w:rsid w:val="00FB2D9B"/>
    <w:rsid w:val="00FB3F38"/>
    <w:rsid w:val="00FB5C60"/>
    <w:rsid w:val="00FB671D"/>
    <w:rsid w:val="00FB70CF"/>
    <w:rsid w:val="00FB7B0C"/>
    <w:rsid w:val="00FB7B3F"/>
    <w:rsid w:val="00FB7CE7"/>
    <w:rsid w:val="00FC0213"/>
    <w:rsid w:val="00FC1161"/>
    <w:rsid w:val="00FC11EF"/>
    <w:rsid w:val="00FC1D12"/>
    <w:rsid w:val="00FC1D49"/>
    <w:rsid w:val="00FC1E59"/>
    <w:rsid w:val="00FC23FC"/>
    <w:rsid w:val="00FC2EA3"/>
    <w:rsid w:val="00FC2F5F"/>
    <w:rsid w:val="00FC3B1C"/>
    <w:rsid w:val="00FC441E"/>
    <w:rsid w:val="00FC4ED9"/>
    <w:rsid w:val="00FC525F"/>
    <w:rsid w:val="00FC5C33"/>
    <w:rsid w:val="00FC6BF7"/>
    <w:rsid w:val="00FC7693"/>
    <w:rsid w:val="00FC7995"/>
    <w:rsid w:val="00FD065D"/>
    <w:rsid w:val="00FD12FA"/>
    <w:rsid w:val="00FD19ED"/>
    <w:rsid w:val="00FD2304"/>
    <w:rsid w:val="00FD2776"/>
    <w:rsid w:val="00FD36E1"/>
    <w:rsid w:val="00FD3B5F"/>
    <w:rsid w:val="00FD59AE"/>
    <w:rsid w:val="00FD6022"/>
    <w:rsid w:val="00FD7848"/>
    <w:rsid w:val="00FD7877"/>
    <w:rsid w:val="00FD7FF7"/>
    <w:rsid w:val="00FE05B3"/>
    <w:rsid w:val="00FE11D8"/>
    <w:rsid w:val="00FE1397"/>
    <w:rsid w:val="00FE1B26"/>
    <w:rsid w:val="00FE1F82"/>
    <w:rsid w:val="00FE26A7"/>
    <w:rsid w:val="00FE2C70"/>
    <w:rsid w:val="00FE3C75"/>
    <w:rsid w:val="00FE4121"/>
    <w:rsid w:val="00FE417F"/>
    <w:rsid w:val="00FE48BD"/>
    <w:rsid w:val="00FE4EC9"/>
    <w:rsid w:val="00FE6030"/>
    <w:rsid w:val="00FE63F1"/>
    <w:rsid w:val="00FE71E1"/>
    <w:rsid w:val="00FE797C"/>
    <w:rsid w:val="00FE7B6B"/>
    <w:rsid w:val="00FF0221"/>
    <w:rsid w:val="00FF04C0"/>
    <w:rsid w:val="00FF075D"/>
    <w:rsid w:val="00FF09C6"/>
    <w:rsid w:val="00FF118C"/>
    <w:rsid w:val="00FF1BD3"/>
    <w:rsid w:val="00FF2397"/>
    <w:rsid w:val="00FF2A45"/>
    <w:rsid w:val="00FF4AD4"/>
    <w:rsid w:val="00FF502C"/>
    <w:rsid w:val="00FF5C79"/>
    <w:rsid w:val="00FF79B9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81"/>
    <w:pPr>
      <w:widowControl w:val="0"/>
    </w:pPr>
    <w:rPr>
      <w:kern w:val="2"/>
      <w:sz w:val="24"/>
      <w:szCs w:val="24"/>
    </w:rPr>
  </w:style>
  <w:style w:type="paragraph" w:styleId="11">
    <w:name w:val="heading 1"/>
    <w:basedOn w:val="a"/>
    <w:next w:val="a"/>
    <w:link w:val="12"/>
    <w:qFormat/>
    <w:rsid w:val="00AF4ECB"/>
    <w:pPr>
      <w:keepNext/>
      <w:adjustRightInd w:val="0"/>
      <w:spacing w:before="180" w:after="180" w:line="720" w:lineRule="atLeast"/>
      <w:textAlignment w:val="baseline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AF4ECB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0B6A5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6A5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"/>
    <w:basedOn w:val="a"/>
    <w:rsid w:val="00AF4ECB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character" w:styleId="a4">
    <w:name w:val="Hyperlink"/>
    <w:uiPriority w:val="99"/>
    <w:rsid w:val="00AF4ECB"/>
    <w:rPr>
      <w:color w:val="0253B7"/>
      <w:u w:val="single"/>
    </w:rPr>
  </w:style>
  <w:style w:type="character" w:customStyle="1" w:styleId="atime1">
    <w:name w:val="atime1"/>
    <w:rsid w:val="00AF4ECB"/>
    <w:rPr>
      <w:rFonts w:ascii="Times New Roman" w:hAnsi="Times New Roman" w:hint="default"/>
      <w:i/>
      <w:iCs/>
    </w:rPr>
  </w:style>
  <w:style w:type="paragraph" w:customStyle="1" w:styleId="story">
    <w:name w:val="story"/>
    <w:basedOn w:val="a"/>
    <w:uiPriority w:val="99"/>
    <w:rsid w:val="00AF4ECB"/>
    <w:pPr>
      <w:widowControl/>
      <w:spacing w:before="100" w:beforeAutospacing="1" w:after="100" w:afterAutospacing="1" w:line="360" w:lineRule="atLeast"/>
    </w:pPr>
    <w:rPr>
      <w:rFonts w:ascii="Verdana" w:hAnsi="Verdana" w:cs="新細明體"/>
      <w:color w:val="414141"/>
      <w:kern w:val="0"/>
      <w:sz w:val="22"/>
      <w:szCs w:val="22"/>
      <w:lang w:bidi="hi-IN"/>
    </w:rPr>
  </w:style>
  <w:style w:type="paragraph" w:styleId="Web">
    <w:name w:val="Normal (Web)"/>
    <w:basedOn w:val="a"/>
    <w:uiPriority w:val="99"/>
    <w:rsid w:val="00AF4EC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character" w:customStyle="1" w:styleId="story1">
    <w:name w:val="story1"/>
    <w:rsid w:val="00AF4ECB"/>
    <w:rPr>
      <w:rFonts w:ascii="Verdana" w:hAnsi="Verdana" w:hint="default"/>
      <w:color w:val="414141"/>
      <w:sz w:val="22"/>
      <w:szCs w:val="22"/>
      <w:bdr w:val="single" w:sz="6" w:space="0" w:color="CBCBCB" w:frame="1"/>
      <w:shd w:val="clear" w:color="auto" w:fill="FDFCE3"/>
    </w:rPr>
  </w:style>
  <w:style w:type="character" w:customStyle="1" w:styleId="author1">
    <w:name w:val="author1"/>
    <w:rsid w:val="00AF4ECB"/>
    <w:rPr>
      <w:rFonts w:ascii="Verdana" w:hAnsi="Verdana" w:hint="default"/>
      <w:color w:val="696969"/>
      <w:sz w:val="17"/>
      <w:szCs w:val="17"/>
      <w:bdr w:val="single" w:sz="6" w:space="0" w:color="CBCBCB" w:frame="1"/>
      <w:shd w:val="clear" w:color="auto" w:fill="FDFCE3"/>
    </w:rPr>
  </w:style>
  <w:style w:type="character" w:customStyle="1" w:styleId="text11">
    <w:name w:val="text11"/>
    <w:rsid w:val="00AF4ECB"/>
    <w:rPr>
      <w:color w:val="000000"/>
      <w:sz w:val="22"/>
      <w:szCs w:val="22"/>
    </w:rPr>
  </w:style>
  <w:style w:type="character" w:styleId="a5">
    <w:name w:val="Strong"/>
    <w:qFormat/>
    <w:rsid w:val="00AF4ECB"/>
    <w:rPr>
      <w:b/>
      <w:bCs/>
    </w:rPr>
  </w:style>
  <w:style w:type="paragraph" w:styleId="a6">
    <w:name w:val="footnote text"/>
    <w:basedOn w:val="a"/>
    <w:link w:val="a7"/>
    <w:uiPriority w:val="99"/>
    <w:semiHidden/>
    <w:rsid w:val="00AF4ECB"/>
    <w:pPr>
      <w:snapToGrid w:val="0"/>
    </w:pPr>
    <w:rPr>
      <w:sz w:val="20"/>
      <w:szCs w:val="20"/>
    </w:rPr>
  </w:style>
  <w:style w:type="character" w:styleId="a8">
    <w:name w:val="footnote reference"/>
    <w:uiPriority w:val="99"/>
    <w:semiHidden/>
    <w:rsid w:val="00AF4ECB"/>
    <w:rPr>
      <w:vertAlign w:val="superscript"/>
    </w:rPr>
  </w:style>
  <w:style w:type="character" w:customStyle="1" w:styleId="yqlink">
    <w:name w:val="yqlink"/>
    <w:basedOn w:val="a0"/>
    <w:rsid w:val="00AF4ECB"/>
  </w:style>
  <w:style w:type="paragraph" w:styleId="z-">
    <w:name w:val="HTML Top of Form"/>
    <w:basedOn w:val="a"/>
    <w:next w:val="a"/>
    <w:link w:val="z-0"/>
    <w:hidden/>
    <w:rsid w:val="00AF4ECB"/>
    <w:pPr>
      <w:widowControl/>
      <w:pBdr>
        <w:bottom w:val="single" w:sz="6" w:space="1" w:color="auto"/>
      </w:pBdr>
      <w:jc w:val="center"/>
    </w:pPr>
    <w:rPr>
      <w:rFonts w:ascii="Arial" w:hAnsi="Arial" w:cs="新細明體"/>
      <w:vanish/>
      <w:kern w:val="0"/>
      <w:sz w:val="16"/>
      <w:szCs w:val="16"/>
      <w:lang w:bidi="hi-IN"/>
    </w:rPr>
  </w:style>
  <w:style w:type="paragraph" w:styleId="z-1">
    <w:name w:val="HTML Bottom of Form"/>
    <w:basedOn w:val="a"/>
    <w:next w:val="a"/>
    <w:link w:val="z-2"/>
    <w:hidden/>
    <w:rsid w:val="00AF4ECB"/>
    <w:pPr>
      <w:widowControl/>
      <w:pBdr>
        <w:top w:val="single" w:sz="6" w:space="1" w:color="auto"/>
      </w:pBdr>
      <w:jc w:val="center"/>
    </w:pPr>
    <w:rPr>
      <w:rFonts w:ascii="Arial" w:hAnsi="Arial" w:cs="新細明體"/>
      <w:vanish/>
      <w:kern w:val="0"/>
      <w:sz w:val="16"/>
      <w:szCs w:val="16"/>
      <w:lang w:bidi="hi-IN"/>
    </w:rPr>
  </w:style>
  <w:style w:type="paragraph" w:styleId="a9">
    <w:name w:val="footer"/>
    <w:basedOn w:val="a"/>
    <w:link w:val="aa"/>
    <w:uiPriority w:val="99"/>
    <w:rsid w:val="00AF4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AF4ECB"/>
  </w:style>
  <w:style w:type="paragraph" w:styleId="ac">
    <w:name w:val="header"/>
    <w:basedOn w:val="a"/>
    <w:link w:val="ad"/>
    <w:uiPriority w:val="99"/>
    <w:rsid w:val="00AF4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y2">
    <w:name w:val="sty2"/>
    <w:basedOn w:val="a0"/>
    <w:rsid w:val="00AF4ECB"/>
  </w:style>
  <w:style w:type="character" w:customStyle="1" w:styleId="ttag">
    <w:name w:val="t_tag"/>
    <w:basedOn w:val="a0"/>
    <w:rsid w:val="00AF4ECB"/>
  </w:style>
  <w:style w:type="paragraph" w:customStyle="1" w:styleId="Web45">
    <w:name w:val="內文 (Web)45"/>
    <w:basedOn w:val="a"/>
    <w:uiPriority w:val="99"/>
    <w:rsid w:val="00AF4ECB"/>
    <w:pPr>
      <w:widowControl/>
      <w:spacing w:before="240" w:after="360"/>
    </w:pPr>
    <w:rPr>
      <w:rFonts w:ascii="新細明體" w:hAnsi="新細明體" w:cs="新細明體"/>
      <w:kern w:val="0"/>
      <w:sz w:val="23"/>
      <w:szCs w:val="23"/>
    </w:rPr>
  </w:style>
  <w:style w:type="paragraph" w:customStyle="1" w:styleId="210">
    <w:name w:val="標題 21"/>
    <w:basedOn w:val="a"/>
    <w:uiPriority w:val="99"/>
    <w:rsid w:val="00AF4EC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36"/>
      <w:szCs w:val="36"/>
    </w:rPr>
  </w:style>
  <w:style w:type="paragraph" w:customStyle="1" w:styleId="Web7">
    <w:name w:val="內文 (Web)7"/>
    <w:basedOn w:val="a"/>
    <w:uiPriority w:val="99"/>
    <w:rsid w:val="00AF4ECB"/>
    <w:pPr>
      <w:widowControl/>
      <w:spacing w:line="330" w:lineRule="atLeast"/>
      <w:ind w:left="150" w:right="150"/>
    </w:pPr>
    <w:rPr>
      <w:rFonts w:ascii="新細明體" w:hAnsi="新細明體" w:cs="新細明體"/>
      <w:kern w:val="0"/>
    </w:rPr>
  </w:style>
  <w:style w:type="paragraph" w:customStyle="1" w:styleId="32">
    <w:name w:val="字元 字元3 字元 字元 字元"/>
    <w:basedOn w:val="a"/>
    <w:rsid w:val="00AF4ECB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table" w:styleId="ae">
    <w:name w:val="Table Grid"/>
    <w:basedOn w:val="a1"/>
    <w:uiPriority w:val="59"/>
    <w:rsid w:val="004171A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字元 字元 字元1 字元 字元 字元 字元 字元 字元 字元 字元"/>
    <w:basedOn w:val="a"/>
    <w:semiHidden/>
    <w:rsid w:val="008F7EE6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">
    <w:name w:val="Body Text Indent"/>
    <w:basedOn w:val="a"/>
    <w:link w:val="af0"/>
    <w:uiPriority w:val="99"/>
    <w:rsid w:val="00C20538"/>
    <w:pPr>
      <w:spacing w:after="120"/>
      <w:ind w:leftChars="200" w:left="480"/>
    </w:pPr>
  </w:style>
  <w:style w:type="paragraph" w:styleId="HTML">
    <w:name w:val="HTML Preformatted"/>
    <w:basedOn w:val="a"/>
    <w:link w:val="HTML0"/>
    <w:rsid w:val="00C205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  <w:lang w:bidi="hi-IN"/>
    </w:rPr>
  </w:style>
  <w:style w:type="paragraph" w:customStyle="1" w:styleId="xl30">
    <w:name w:val="xl30"/>
    <w:basedOn w:val="a"/>
    <w:uiPriority w:val="99"/>
    <w:rsid w:val="00651C15"/>
    <w:pPr>
      <w:widowControl/>
      <w:spacing w:before="100" w:beforeAutospacing="1" w:after="100" w:afterAutospacing="1"/>
      <w:jc w:val="center"/>
      <w:textAlignment w:val="center"/>
    </w:pPr>
    <w:rPr>
      <w:rFonts w:ascii="全真楷書" w:eastAsia="全真楷書" w:hAnsi="Arial Unicode MS" w:cs="Arial Unicode MS" w:hint="eastAsia"/>
      <w:kern w:val="0"/>
    </w:rPr>
  </w:style>
  <w:style w:type="character" w:styleId="af1">
    <w:name w:val="FollowedHyperlink"/>
    <w:rsid w:val="00FC1D12"/>
    <w:rPr>
      <w:color w:val="800080"/>
      <w:u w:val="single"/>
    </w:rPr>
  </w:style>
  <w:style w:type="paragraph" w:customStyle="1" w:styleId="14">
    <w:name w:val="字元 字元1"/>
    <w:basedOn w:val="a"/>
    <w:semiHidden/>
    <w:rsid w:val="009134D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f2">
    <w:name w:val="字元 字元"/>
    <w:basedOn w:val="a"/>
    <w:rsid w:val="00915C6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2">
    <w:name w:val="字元 字元2"/>
    <w:basedOn w:val="a"/>
    <w:rsid w:val="00DA081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storytitle1">
    <w:name w:val="story_title1"/>
    <w:rsid w:val="00B25309"/>
    <w:rPr>
      <w:rFonts w:ascii="Verdana" w:hAnsi="Verdana" w:hint="default"/>
      <w:b/>
      <w:bCs/>
      <w:color w:val="FF8000"/>
      <w:sz w:val="19"/>
      <w:szCs w:val="19"/>
    </w:rPr>
  </w:style>
  <w:style w:type="character" w:customStyle="1" w:styleId="storysubtitle1">
    <w:name w:val="story_sub_title1"/>
    <w:rsid w:val="00B25309"/>
    <w:rPr>
      <w:rFonts w:ascii="Verdana" w:hAnsi="Verdana" w:hint="default"/>
      <w:color w:val="FF8000"/>
      <w:sz w:val="19"/>
      <w:szCs w:val="19"/>
    </w:rPr>
  </w:style>
  <w:style w:type="character" w:customStyle="1" w:styleId="15">
    <w:name w:val="超連結1"/>
    <w:rsid w:val="0021664B"/>
    <w:rPr>
      <w:i w:val="0"/>
      <w:iCs w:val="0"/>
      <w:strike w:val="0"/>
      <w:dstrike w:val="0"/>
      <w:color w:val="ED145B"/>
      <w:u w:val="none"/>
      <w:effect w:val="none"/>
    </w:rPr>
  </w:style>
  <w:style w:type="paragraph" w:customStyle="1" w:styleId="t1">
    <w:name w:val="t1"/>
    <w:basedOn w:val="a"/>
    <w:uiPriority w:val="99"/>
    <w:rsid w:val="006228FF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271D0"/>
      <w:kern w:val="0"/>
      <w:sz w:val="18"/>
      <w:szCs w:val="18"/>
    </w:rPr>
  </w:style>
  <w:style w:type="paragraph" w:customStyle="1" w:styleId="16">
    <w:name w:val="內文1"/>
    <w:basedOn w:val="a"/>
    <w:uiPriority w:val="99"/>
    <w:rsid w:val="008E7342"/>
    <w:pPr>
      <w:widowControl/>
      <w:spacing w:line="330" w:lineRule="atLeast"/>
      <w:ind w:left="150" w:right="150"/>
    </w:pPr>
    <w:rPr>
      <w:rFonts w:ascii="新細明體" w:hAnsi="新細明體" w:cs="新細明體"/>
      <w:kern w:val="0"/>
      <w:lang w:bidi="hi-IN"/>
    </w:rPr>
  </w:style>
  <w:style w:type="paragraph" w:styleId="af3">
    <w:name w:val="Date"/>
    <w:basedOn w:val="a"/>
    <w:next w:val="a"/>
    <w:link w:val="af4"/>
    <w:uiPriority w:val="99"/>
    <w:rsid w:val="00602E6F"/>
    <w:pPr>
      <w:jc w:val="right"/>
    </w:pPr>
  </w:style>
  <w:style w:type="paragraph" w:styleId="af5">
    <w:name w:val="Balloon Text"/>
    <w:basedOn w:val="a"/>
    <w:link w:val="af6"/>
    <w:uiPriority w:val="99"/>
    <w:semiHidden/>
    <w:unhideWhenUsed/>
    <w:rsid w:val="001559A2"/>
    <w:rPr>
      <w:rFonts w:ascii="Cambria" w:hAnsi="Cambria"/>
      <w:sz w:val="18"/>
      <w:szCs w:val="18"/>
    </w:rPr>
  </w:style>
  <w:style w:type="character" w:customStyle="1" w:styleId="af6">
    <w:name w:val="註解方塊文字 字元"/>
    <w:link w:val="af5"/>
    <w:uiPriority w:val="99"/>
    <w:semiHidden/>
    <w:rsid w:val="001559A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a">
    <w:name w:val="頁尾 字元"/>
    <w:link w:val="a9"/>
    <w:uiPriority w:val="99"/>
    <w:rsid w:val="00A63FE2"/>
    <w:rPr>
      <w:kern w:val="2"/>
    </w:rPr>
  </w:style>
  <w:style w:type="table" w:customStyle="1" w:styleId="17">
    <w:name w:val="表格格線1"/>
    <w:basedOn w:val="a1"/>
    <w:next w:val="ae"/>
    <w:uiPriority w:val="59"/>
    <w:rsid w:val="00A1507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格格線2"/>
    <w:basedOn w:val="a1"/>
    <w:next w:val="ae"/>
    <w:uiPriority w:val="59"/>
    <w:rsid w:val="00FC11E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1"/>
    <w:next w:val="ae"/>
    <w:uiPriority w:val="59"/>
    <w:rsid w:val="00FC11E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"/>
    <w:link w:val="af8"/>
    <w:unhideWhenUsed/>
    <w:rsid w:val="00DD5D5E"/>
    <w:pPr>
      <w:spacing w:after="120"/>
    </w:pPr>
  </w:style>
  <w:style w:type="character" w:customStyle="1" w:styleId="af8">
    <w:name w:val="本文 字元"/>
    <w:link w:val="af7"/>
    <w:rsid w:val="00DD5D5E"/>
    <w:rPr>
      <w:kern w:val="2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3135BF"/>
    <w:pPr>
      <w:ind w:leftChars="200" w:left="480"/>
    </w:pPr>
  </w:style>
  <w:style w:type="character" w:customStyle="1" w:styleId="a7">
    <w:name w:val="註腳文字 字元"/>
    <w:basedOn w:val="a0"/>
    <w:link w:val="a6"/>
    <w:uiPriority w:val="99"/>
    <w:semiHidden/>
    <w:rsid w:val="00FE417F"/>
    <w:rPr>
      <w:kern w:val="2"/>
    </w:rPr>
  </w:style>
  <w:style w:type="table" w:customStyle="1" w:styleId="41">
    <w:name w:val="表格格線4"/>
    <w:basedOn w:val="a1"/>
    <w:next w:val="ae"/>
    <w:rsid w:val="00FE417F"/>
    <w:pPr>
      <w:widowControl w:val="0"/>
      <w:adjustRightInd w:val="0"/>
      <w:spacing w:line="360" w:lineRule="atLeast"/>
      <w:textAlignment w:val="center"/>
    </w:pPr>
    <w:rPr>
      <w:rFonts w:eastAsia="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字元 字元"/>
    <w:basedOn w:val="a"/>
    <w:semiHidden/>
    <w:rsid w:val="00FE417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c">
    <w:name w:val="Note Heading"/>
    <w:basedOn w:val="a"/>
    <w:next w:val="a"/>
    <w:link w:val="afd"/>
    <w:uiPriority w:val="99"/>
    <w:rsid w:val="00FE417F"/>
    <w:pPr>
      <w:jc w:val="center"/>
    </w:pPr>
    <w:rPr>
      <w:rFonts w:eastAsia="標楷體"/>
      <w:b/>
      <w:bCs/>
      <w:sz w:val="32"/>
      <w:szCs w:val="32"/>
    </w:rPr>
  </w:style>
  <w:style w:type="character" w:customStyle="1" w:styleId="afd">
    <w:name w:val="註釋標題 字元"/>
    <w:basedOn w:val="a0"/>
    <w:link w:val="afc"/>
    <w:uiPriority w:val="99"/>
    <w:rsid w:val="00FE417F"/>
    <w:rPr>
      <w:rFonts w:eastAsia="標楷體"/>
      <w:b/>
      <w:bCs/>
      <w:kern w:val="2"/>
      <w:sz w:val="32"/>
      <w:szCs w:val="32"/>
    </w:rPr>
  </w:style>
  <w:style w:type="paragraph" w:styleId="afe">
    <w:name w:val="Closing"/>
    <w:basedOn w:val="a"/>
    <w:link w:val="aff"/>
    <w:uiPriority w:val="99"/>
    <w:rsid w:val="00FE417F"/>
    <w:pPr>
      <w:ind w:leftChars="1800" w:left="100"/>
    </w:pPr>
    <w:rPr>
      <w:rFonts w:eastAsia="標楷體"/>
      <w:b/>
      <w:bCs/>
      <w:sz w:val="32"/>
      <w:szCs w:val="32"/>
    </w:rPr>
  </w:style>
  <w:style w:type="character" w:customStyle="1" w:styleId="aff">
    <w:name w:val="結語 字元"/>
    <w:basedOn w:val="a0"/>
    <w:link w:val="afe"/>
    <w:uiPriority w:val="99"/>
    <w:rsid w:val="00FE417F"/>
    <w:rPr>
      <w:rFonts w:eastAsia="標楷體"/>
      <w:b/>
      <w:bCs/>
      <w:kern w:val="2"/>
      <w:sz w:val="32"/>
      <w:szCs w:val="32"/>
    </w:rPr>
  </w:style>
  <w:style w:type="character" w:customStyle="1" w:styleId="ad">
    <w:name w:val="頁首 字元"/>
    <w:basedOn w:val="a0"/>
    <w:link w:val="ac"/>
    <w:uiPriority w:val="99"/>
    <w:rsid w:val="00FE417F"/>
    <w:rPr>
      <w:kern w:val="2"/>
    </w:rPr>
  </w:style>
  <w:style w:type="paragraph" w:customStyle="1" w:styleId="18">
    <w:name w:val="字元 字元1 字元 字元 字元 字元 字元 字元 字元 字元 字元 字元 字元 字元"/>
    <w:basedOn w:val="a"/>
    <w:rsid w:val="00FE417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customStyle="1" w:styleId="5">
    <w:name w:val="表格格線5"/>
    <w:basedOn w:val="a1"/>
    <w:next w:val="ae"/>
    <w:uiPriority w:val="59"/>
    <w:rsid w:val="00FE417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e"/>
    <w:uiPriority w:val="59"/>
    <w:rsid w:val="00323BB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字元 字元1 字元 字元 字元 字元 字元 字元 字元 字元 字元 字元 字元 字元"/>
    <w:basedOn w:val="a"/>
    <w:rsid w:val="00F50F1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k1a">
    <w:name w:val="k1a"/>
    <w:basedOn w:val="a"/>
    <w:link w:val="k1a0"/>
    <w:rsid w:val="00395EF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pacing w:before="120" w:after="120" w:line="450" w:lineRule="exact"/>
      <w:ind w:left="284" w:hanging="284"/>
      <w:jc w:val="both"/>
      <w:textAlignment w:val="center"/>
    </w:pPr>
    <w:rPr>
      <w:rFonts w:eastAsia="標楷體"/>
      <w:kern w:val="0"/>
      <w:sz w:val="28"/>
      <w:szCs w:val="20"/>
    </w:rPr>
  </w:style>
  <w:style w:type="table" w:customStyle="1" w:styleId="6">
    <w:name w:val="表格格線6"/>
    <w:basedOn w:val="a1"/>
    <w:next w:val="ae"/>
    <w:rsid w:val="00395EFD"/>
    <w:pPr>
      <w:widowControl w:val="0"/>
      <w:adjustRightInd w:val="0"/>
      <w:spacing w:line="360" w:lineRule="atLeast"/>
      <w:textAlignment w:val="center"/>
    </w:pPr>
    <w:rPr>
      <w:rFonts w:eastAsia="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e"/>
    <w:uiPriority w:val="59"/>
    <w:rsid w:val="003F1CA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e"/>
    <w:uiPriority w:val="59"/>
    <w:rsid w:val="000B6A5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標題 3 字元"/>
    <w:basedOn w:val="a0"/>
    <w:link w:val="30"/>
    <w:uiPriority w:val="9"/>
    <w:semiHidden/>
    <w:rsid w:val="000B6A54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0B6A54"/>
    <w:rPr>
      <w:rFonts w:asciiTheme="majorHAnsi" w:eastAsiaTheme="majorEastAsia" w:hAnsiTheme="majorHAnsi" w:cstheme="majorBidi"/>
      <w:kern w:val="2"/>
      <w:sz w:val="36"/>
      <w:szCs w:val="36"/>
    </w:rPr>
  </w:style>
  <w:style w:type="table" w:customStyle="1" w:styleId="120">
    <w:name w:val="表格格線12"/>
    <w:basedOn w:val="a1"/>
    <w:next w:val="ae"/>
    <w:rsid w:val="000B6A5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字元 字元 字元"/>
    <w:basedOn w:val="a"/>
    <w:uiPriority w:val="99"/>
    <w:rsid w:val="00D22EF8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4">
    <w:name w:val="字元 字元3 字元 字元 字元"/>
    <w:basedOn w:val="a"/>
    <w:uiPriority w:val="99"/>
    <w:rsid w:val="00D22EF8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1a">
    <w:name w:val="字元 字元 字元1 字元 字元 字元 字元 字元 字元 字元 字元"/>
    <w:basedOn w:val="a"/>
    <w:uiPriority w:val="99"/>
    <w:semiHidden/>
    <w:rsid w:val="00D22EF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b">
    <w:name w:val="字元 字元1"/>
    <w:basedOn w:val="a"/>
    <w:uiPriority w:val="99"/>
    <w:semiHidden/>
    <w:rsid w:val="00D22EF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ff1">
    <w:name w:val="字元 字元"/>
    <w:basedOn w:val="a"/>
    <w:uiPriority w:val="99"/>
    <w:rsid w:val="00D22EF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4">
    <w:name w:val="字元 字元2"/>
    <w:basedOn w:val="a"/>
    <w:uiPriority w:val="99"/>
    <w:rsid w:val="00D22EF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2">
    <w:name w:val="No Spacing"/>
    <w:uiPriority w:val="1"/>
    <w:qFormat/>
    <w:rsid w:val="00D22EF8"/>
    <w:pPr>
      <w:widowControl w:val="0"/>
    </w:pPr>
    <w:rPr>
      <w:kern w:val="2"/>
      <w:sz w:val="24"/>
      <w:szCs w:val="24"/>
    </w:rPr>
  </w:style>
  <w:style w:type="paragraph" w:styleId="aff3">
    <w:name w:val="Revision"/>
    <w:hidden/>
    <w:uiPriority w:val="99"/>
    <w:semiHidden/>
    <w:rsid w:val="00D22EF8"/>
    <w:rPr>
      <w:kern w:val="2"/>
      <w:sz w:val="24"/>
      <w:szCs w:val="24"/>
    </w:rPr>
  </w:style>
  <w:style w:type="table" w:customStyle="1" w:styleId="9">
    <w:name w:val="表格格線9"/>
    <w:basedOn w:val="a1"/>
    <w:next w:val="ae"/>
    <w:uiPriority w:val="59"/>
    <w:rsid w:val="009E0FCE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樣式1"/>
    <w:basedOn w:val="af9"/>
    <w:link w:val="1c"/>
    <w:qFormat/>
    <w:rsid w:val="007F182C"/>
    <w:pPr>
      <w:numPr>
        <w:numId w:val="1"/>
      </w:numPr>
      <w:tabs>
        <w:tab w:val="left" w:pos="1276"/>
      </w:tabs>
      <w:autoSpaceDE w:val="0"/>
      <w:spacing w:before="120" w:line="520" w:lineRule="exact"/>
      <w:ind w:leftChars="0" w:left="0"/>
      <w:jc w:val="both"/>
    </w:pPr>
    <w:rPr>
      <w:rFonts w:eastAsia="標楷體"/>
      <w:b/>
      <w:sz w:val="32"/>
      <w:szCs w:val="32"/>
    </w:rPr>
  </w:style>
  <w:style w:type="paragraph" w:customStyle="1" w:styleId="2">
    <w:name w:val="標題2"/>
    <w:basedOn w:val="af9"/>
    <w:link w:val="25"/>
    <w:qFormat/>
    <w:rsid w:val="001B6FAA"/>
    <w:pPr>
      <w:numPr>
        <w:ilvl w:val="1"/>
        <w:numId w:val="3"/>
      </w:numPr>
      <w:autoSpaceDE w:val="0"/>
      <w:spacing w:before="120" w:line="520" w:lineRule="exact"/>
      <w:ind w:leftChars="0" w:left="0"/>
      <w:jc w:val="both"/>
    </w:pPr>
    <w:rPr>
      <w:rFonts w:eastAsia="標楷體"/>
      <w:b/>
      <w:sz w:val="36"/>
      <w:szCs w:val="36"/>
    </w:rPr>
  </w:style>
  <w:style w:type="character" w:customStyle="1" w:styleId="afa">
    <w:name w:val="清單段落 字元"/>
    <w:basedOn w:val="a0"/>
    <w:link w:val="af9"/>
    <w:uiPriority w:val="34"/>
    <w:rsid w:val="007F182C"/>
    <w:rPr>
      <w:kern w:val="2"/>
      <w:sz w:val="24"/>
      <w:szCs w:val="24"/>
    </w:rPr>
  </w:style>
  <w:style w:type="character" w:customStyle="1" w:styleId="1c">
    <w:name w:val="樣式1 字元"/>
    <w:basedOn w:val="afa"/>
    <w:link w:val="10"/>
    <w:rsid w:val="007F182C"/>
    <w:rPr>
      <w:rFonts w:eastAsia="標楷體"/>
      <w:b/>
      <w:kern w:val="2"/>
      <w:sz w:val="32"/>
      <w:szCs w:val="32"/>
    </w:rPr>
  </w:style>
  <w:style w:type="paragraph" w:customStyle="1" w:styleId="3">
    <w:name w:val="標題3"/>
    <w:basedOn w:val="2"/>
    <w:link w:val="35"/>
    <w:qFormat/>
    <w:rsid w:val="002A49BF"/>
    <w:pPr>
      <w:numPr>
        <w:ilvl w:val="2"/>
      </w:numPr>
      <w:tabs>
        <w:tab w:val="left" w:pos="1701"/>
      </w:tabs>
    </w:pPr>
    <w:rPr>
      <w:sz w:val="32"/>
      <w:szCs w:val="32"/>
    </w:rPr>
  </w:style>
  <w:style w:type="character" w:customStyle="1" w:styleId="25">
    <w:name w:val="標題2 字元"/>
    <w:basedOn w:val="afa"/>
    <w:link w:val="2"/>
    <w:rsid w:val="001B6FAA"/>
    <w:rPr>
      <w:rFonts w:eastAsia="標楷體"/>
      <w:b/>
      <w:kern w:val="2"/>
      <w:sz w:val="36"/>
      <w:szCs w:val="36"/>
    </w:rPr>
  </w:style>
  <w:style w:type="paragraph" w:customStyle="1" w:styleId="42">
    <w:name w:val="標題4"/>
    <w:basedOn w:val="3"/>
    <w:link w:val="43"/>
    <w:qFormat/>
    <w:rsid w:val="001F78C8"/>
    <w:pPr>
      <w:numPr>
        <w:ilvl w:val="0"/>
        <w:numId w:val="0"/>
      </w:numPr>
    </w:pPr>
  </w:style>
  <w:style w:type="character" w:customStyle="1" w:styleId="35">
    <w:name w:val="標題3 字元"/>
    <w:basedOn w:val="1c"/>
    <w:link w:val="3"/>
    <w:rsid w:val="002A49BF"/>
    <w:rPr>
      <w:rFonts w:eastAsia="標楷體"/>
      <w:b/>
      <w:kern w:val="2"/>
      <w:sz w:val="32"/>
      <w:szCs w:val="32"/>
    </w:rPr>
  </w:style>
  <w:style w:type="paragraph" w:customStyle="1" w:styleId="1">
    <w:name w:val="標題1"/>
    <w:basedOn w:val="10"/>
    <w:link w:val="1d"/>
    <w:qFormat/>
    <w:rsid w:val="001B6FAA"/>
    <w:pPr>
      <w:numPr>
        <w:numId w:val="2"/>
      </w:numPr>
      <w:tabs>
        <w:tab w:val="clear" w:pos="1276"/>
      </w:tabs>
    </w:pPr>
    <w:rPr>
      <w:b w:val="0"/>
      <w:sz w:val="40"/>
      <w:szCs w:val="40"/>
    </w:rPr>
  </w:style>
  <w:style w:type="character" w:customStyle="1" w:styleId="43">
    <w:name w:val="標題4 字元"/>
    <w:basedOn w:val="a0"/>
    <w:link w:val="42"/>
    <w:rsid w:val="001F78C8"/>
    <w:rPr>
      <w:rFonts w:eastAsia="標楷體"/>
      <w:b/>
      <w:kern w:val="2"/>
      <w:sz w:val="32"/>
      <w:szCs w:val="32"/>
    </w:rPr>
  </w:style>
  <w:style w:type="character" w:customStyle="1" w:styleId="1d">
    <w:name w:val="標題1 字元"/>
    <w:basedOn w:val="1c"/>
    <w:link w:val="1"/>
    <w:rsid w:val="001B6FAA"/>
    <w:rPr>
      <w:rFonts w:eastAsia="標楷體"/>
      <w:b w:val="0"/>
      <w:kern w:val="2"/>
      <w:sz w:val="40"/>
      <w:szCs w:val="40"/>
    </w:rPr>
  </w:style>
  <w:style w:type="paragraph" w:customStyle="1" w:styleId="1e">
    <w:name w:val="專題樣式1"/>
    <w:basedOn w:val="af9"/>
    <w:link w:val="1f"/>
    <w:qFormat/>
    <w:rsid w:val="001A0556"/>
    <w:pPr>
      <w:tabs>
        <w:tab w:val="left" w:pos="709"/>
      </w:tabs>
      <w:spacing w:beforeLines="100" w:before="240" w:line="500" w:lineRule="exact"/>
      <w:ind w:leftChars="0" w:left="0"/>
    </w:pPr>
    <w:rPr>
      <w:rFonts w:ascii="標楷體" w:eastAsia="標楷體" w:hAnsi="標楷體" w:cstheme="minorBidi"/>
      <w:b/>
      <w:sz w:val="32"/>
      <w:szCs w:val="32"/>
    </w:rPr>
  </w:style>
  <w:style w:type="character" w:customStyle="1" w:styleId="1f">
    <w:name w:val="專題樣式1 字元"/>
    <w:basedOn w:val="afa"/>
    <w:link w:val="1e"/>
    <w:rsid w:val="001A0556"/>
    <w:rPr>
      <w:rFonts w:ascii="標楷體" w:eastAsia="標楷體" w:hAnsi="標楷體" w:cstheme="minorBidi"/>
      <w:b/>
      <w:kern w:val="2"/>
      <w:sz w:val="32"/>
      <w:szCs w:val="32"/>
    </w:rPr>
  </w:style>
  <w:style w:type="paragraph" w:styleId="1f0">
    <w:name w:val="toc 1"/>
    <w:basedOn w:val="a"/>
    <w:next w:val="a"/>
    <w:autoRedefine/>
    <w:uiPriority w:val="39"/>
    <w:unhideWhenUsed/>
    <w:qFormat/>
    <w:rsid w:val="00386EF7"/>
    <w:pPr>
      <w:widowControl/>
      <w:tabs>
        <w:tab w:val="left" w:pos="567"/>
        <w:tab w:val="right" w:leader="dot" w:pos="8296"/>
      </w:tabs>
      <w:adjustRightInd w:val="0"/>
      <w:snapToGrid w:val="0"/>
      <w:spacing w:beforeLines="50" w:before="180" w:line="360" w:lineRule="exact"/>
    </w:pPr>
    <w:rPr>
      <w:rFonts w:ascii="標楷體" w:eastAsia="標楷體" w:hAnsi="標楷體" w:cstheme="minorBidi"/>
      <w:b/>
      <w:noProof/>
      <w:kern w:val="0"/>
      <w:sz w:val="28"/>
      <w:szCs w:val="28"/>
    </w:rPr>
  </w:style>
  <w:style w:type="paragraph" w:styleId="26">
    <w:name w:val="toc 2"/>
    <w:basedOn w:val="a"/>
    <w:next w:val="a"/>
    <w:autoRedefine/>
    <w:uiPriority w:val="39"/>
    <w:unhideWhenUsed/>
    <w:qFormat/>
    <w:rsid w:val="003B3845"/>
    <w:pPr>
      <w:widowControl/>
      <w:tabs>
        <w:tab w:val="right" w:leader="dot" w:pos="8296"/>
      </w:tabs>
      <w:adjustRightInd w:val="0"/>
      <w:snapToGrid w:val="0"/>
      <w:spacing w:before="50" w:line="360" w:lineRule="exact"/>
      <w:ind w:leftChars="101" w:left="242"/>
    </w:pPr>
    <w:rPr>
      <w:rFonts w:ascii="微軟正黑體" w:eastAsia="微軟正黑體" w:hAnsi="微軟正黑體" w:cstheme="minorBidi"/>
      <w:bCs/>
      <w:noProof/>
      <w:kern w:val="0"/>
      <w:sz w:val="28"/>
      <w:szCs w:val="28"/>
    </w:rPr>
  </w:style>
  <w:style w:type="paragraph" w:styleId="aff4">
    <w:name w:val="TOC Heading"/>
    <w:basedOn w:val="11"/>
    <w:next w:val="a"/>
    <w:uiPriority w:val="39"/>
    <w:semiHidden/>
    <w:unhideWhenUsed/>
    <w:qFormat/>
    <w:rsid w:val="00430C5A"/>
    <w:pPr>
      <w:keepLines/>
      <w:widowControl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f1">
    <w:name w:val="字元 字元1 字元 字元 字元 字元 字元 字元 字元 字元 字元 字元 字元 字元"/>
    <w:basedOn w:val="a"/>
    <w:uiPriority w:val="99"/>
    <w:rsid w:val="00F801F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numbering" w:customStyle="1" w:styleId="1f2">
    <w:name w:val="無清單1"/>
    <w:next w:val="a2"/>
    <w:uiPriority w:val="99"/>
    <w:semiHidden/>
    <w:unhideWhenUsed/>
    <w:rsid w:val="00DC506C"/>
  </w:style>
  <w:style w:type="table" w:customStyle="1" w:styleId="100">
    <w:name w:val="表格格線10"/>
    <w:basedOn w:val="a1"/>
    <w:next w:val="ae"/>
    <w:uiPriority w:val="59"/>
    <w:rsid w:val="00DC506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日期 字元"/>
    <w:basedOn w:val="a0"/>
    <w:link w:val="af3"/>
    <w:uiPriority w:val="99"/>
    <w:rsid w:val="00DC506C"/>
    <w:rPr>
      <w:kern w:val="2"/>
      <w:sz w:val="24"/>
      <w:szCs w:val="24"/>
    </w:rPr>
  </w:style>
  <w:style w:type="numbering" w:customStyle="1" w:styleId="27">
    <w:name w:val="無清單2"/>
    <w:next w:val="a2"/>
    <w:uiPriority w:val="99"/>
    <w:semiHidden/>
    <w:unhideWhenUsed/>
    <w:rsid w:val="001F22C0"/>
  </w:style>
  <w:style w:type="table" w:customStyle="1" w:styleId="130">
    <w:name w:val="表格格線13"/>
    <w:basedOn w:val="a1"/>
    <w:next w:val="ae"/>
    <w:rsid w:val="001F22C0"/>
    <w:pPr>
      <w:widowControl w:val="0"/>
      <w:spacing w:line="240" w:lineRule="exact"/>
    </w:pPr>
    <w:rPr>
      <w:rFonts w:eastAsia="微軟正黑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e"/>
    <w:uiPriority w:val="59"/>
    <w:rsid w:val="001F22C0"/>
    <w:pPr>
      <w:spacing w:line="240" w:lineRule="exact"/>
    </w:pPr>
    <w:rPr>
      <w:rFonts w:ascii="Calibri" w:eastAsia="微軟正黑體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格格線21"/>
    <w:basedOn w:val="a1"/>
    <w:next w:val="ae"/>
    <w:uiPriority w:val="59"/>
    <w:rsid w:val="001F22C0"/>
    <w:pPr>
      <w:spacing w:line="240" w:lineRule="exact"/>
    </w:pPr>
    <w:rPr>
      <w:rFonts w:ascii="Calibri" w:eastAsia="微軟正黑體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1"/>
    <w:next w:val="ae"/>
    <w:uiPriority w:val="59"/>
    <w:rsid w:val="001F22C0"/>
    <w:pPr>
      <w:spacing w:line="240" w:lineRule="exact"/>
    </w:pPr>
    <w:rPr>
      <w:rFonts w:ascii="Calibri" w:eastAsia="微軟正黑體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字元 字元5"/>
    <w:basedOn w:val="a"/>
    <w:uiPriority w:val="99"/>
    <w:semiHidden/>
    <w:rsid w:val="001F22C0"/>
    <w:pPr>
      <w:widowControl/>
      <w:spacing w:after="160" w:line="240" w:lineRule="exact"/>
    </w:pPr>
    <w:rPr>
      <w:rFonts w:ascii="Verdana" w:eastAsia="Times New Roman" w:hAnsi="Verdana" w:cs="Mangal"/>
      <w:kern w:val="0"/>
      <w:sz w:val="20"/>
      <w:szCs w:val="20"/>
      <w:lang w:eastAsia="en-US" w:bidi="hi-IN"/>
    </w:rPr>
  </w:style>
  <w:style w:type="table" w:customStyle="1" w:styleId="51">
    <w:name w:val="表格格線51"/>
    <w:basedOn w:val="a1"/>
    <w:next w:val="ae"/>
    <w:uiPriority w:val="59"/>
    <w:rsid w:val="001F22C0"/>
    <w:pPr>
      <w:spacing w:line="240" w:lineRule="exact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1"/>
    <w:basedOn w:val="a1"/>
    <w:next w:val="ae"/>
    <w:uiPriority w:val="59"/>
    <w:rsid w:val="001F22C0"/>
    <w:pPr>
      <w:spacing w:line="240" w:lineRule="exact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1">
    <w:name w:val="字元 字元1 字元 字元 字元 字元 字元 字元 字元 字元 字元 字元 字元 字元2"/>
    <w:basedOn w:val="a"/>
    <w:uiPriority w:val="99"/>
    <w:rsid w:val="001F22C0"/>
    <w:pPr>
      <w:widowControl/>
      <w:spacing w:after="160" w:line="240" w:lineRule="exact"/>
    </w:pPr>
    <w:rPr>
      <w:rFonts w:ascii="Tahoma" w:eastAsia="微軟正黑體" w:hAnsi="Tahoma"/>
      <w:kern w:val="0"/>
      <w:sz w:val="20"/>
      <w:szCs w:val="20"/>
      <w:lang w:eastAsia="en-US"/>
    </w:rPr>
  </w:style>
  <w:style w:type="table" w:customStyle="1" w:styleId="71">
    <w:name w:val="表格格線71"/>
    <w:basedOn w:val="a1"/>
    <w:next w:val="ae"/>
    <w:uiPriority w:val="59"/>
    <w:rsid w:val="001F22C0"/>
    <w:pPr>
      <w:spacing w:line="240" w:lineRule="exact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1"/>
    <w:basedOn w:val="a1"/>
    <w:next w:val="ae"/>
    <w:uiPriority w:val="59"/>
    <w:rsid w:val="001F22C0"/>
    <w:pPr>
      <w:spacing w:line="240" w:lineRule="exact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表格格線121"/>
    <w:basedOn w:val="a1"/>
    <w:next w:val="ae"/>
    <w:rsid w:val="001F22C0"/>
    <w:pPr>
      <w:widowControl w:val="0"/>
      <w:spacing w:line="240" w:lineRule="exact"/>
    </w:pPr>
    <w:rPr>
      <w:rFonts w:eastAsia="微軟正黑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字元 字元 字元2"/>
    <w:basedOn w:val="a"/>
    <w:uiPriority w:val="99"/>
    <w:rsid w:val="001F22C0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20">
    <w:name w:val="字元 字元3 字元 字元 字元2"/>
    <w:basedOn w:val="a"/>
    <w:uiPriority w:val="99"/>
    <w:rsid w:val="001F22C0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122">
    <w:name w:val="字元 字元 字元1 字元 字元 字元 字元 字元 字元 字元 字元2"/>
    <w:basedOn w:val="a"/>
    <w:uiPriority w:val="99"/>
    <w:semiHidden/>
    <w:rsid w:val="001F22C0"/>
    <w:pPr>
      <w:widowControl/>
      <w:spacing w:after="160" w:line="240" w:lineRule="exact"/>
    </w:pPr>
    <w:rPr>
      <w:rFonts w:ascii="Verdana" w:eastAsia="Times New Roman" w:hAnsi="Verdana" w:cs="Mangal"/>
      <w:kern w:val="0"/>
      <w:sz w:val="20"/>
      <w:szCs w:val="20"/>
      <w:lang w:eastAsia="en-US" w:bidi="hi-IN"/>
    </w:rPr>
  </w:style>
  <w:style w:type="paragraph" w:customStyle="1" w:styleId="123">
    <w:name w:val="字元 字元12"/>
    <w:basedOn w:val="a"/>
    <w:uiPriority w:val="99"/>
    <w:semiHidden/>
    <w:rsid w:val="001F22C0"/>
    <w:pPr>
      <w:widowControl/>
      <w:spacing w:after="160" w:line="240" w:lineRule="exact"/>
    </w:pPr>
    <w:rPr>
      <w:rFonts w:ascii="Verdana" w:eastAsia="Times New Roman" w:hAnsi="Verdana" w:cs="Mangal"/>
      <w:kern w:val="0"/>
      <w:sz w:val="20"/>
      <w:szCs w:val="20"/>
      <w:lang w:eastAsia="en-US" w:bidi="hi-IN"/>
    </w:rPr>
  </w:style>
  <w:style w:type="paragraph" w:customStyle="1" w:styleId="44">
    <w:name w:val="字元 字元4"/>
    <w:basedOn w:val="a"/>
    <w:uiPriority w:val="99"/>
    <w:rsid w:val="001F22C0"/>
    <w:pPr>
      <w:widowControl/>
      <w:spacing w:after="160" w:line="240" w:lineRule="exact"/>
    </w:pPr>
    <w:rPr>
      <w:rFonts w:ascii="Tahoma" w:eastAsia="微軟正黑體" w:hAnsi="Tahoma"/>
      <w:kern w:val="0"/>
      <w:sz w:val="20"/>
      <w:szCs w:val="20"/>
      <w:lang w:eastAsia="en-US"/>
    </w:rPr>
  </w:style>
  <w:style w:type="paragraph" w:customStyle="1" w:styleId="220">
    <w:name w:val="字元 字元22"/>
    <w:basedOn w:val="a"/>
    <w:uiPriority w:val="99"/>
    <w:rsid w:val="001F22C0"/>
    <w:pPr>
      <w:widowControl/>
      <w:spacing w:after="160" w:line="240" w:lineRule="exact"/>
    </w:pPr>
    <w:rPr>
      <w:rFonts w:ascii="Tahoma" w:eastAsia="微軟正黑體" w:hAnsi="Tahoma"/>
      <w:kern w:val="0"/>
      <w:sz w:val="20"/>
      <w:szCs w:val="20"/>
      <w:lang w:eastAsia="en-US"/>
    </w:rPr>
  </w:style>
  <w:style w:type="table" w:customStyle="1" w:styleId="91">
    <w:name w:val="表格格線91"/>
    <w:basedOn w:val="a1"/>
    <w:next w:val="ae"/>
    <w:uiPriority w:val="59"/>
    <w:rsid w:val="001F22C0"/>
    <w:pPr>
      <w:spacing w:line="240" w:lineRule="exact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字元 字元1 字元 字元 字元 字元 字元 字元 字元 字元 字元 字元 字元 字元1"/>
    <w:basedOn w:val="a"/>
    <w:uiPriority w:val="99"/>
    <w:rsid w:val="001F22C0"/>
    <w:pPr>
      <w:widowControl/>
      <w:spacing w:after="160" w:line="240" w:lineRule="exact"/>
    </w:pPr>
    <w:rPr>
      <w:rFonts w:ascii="Tahoma" w:eastAsia="微軟正黑體" w:hAnsi="Tahoma"/>
      <w:kern w:val="0"/>
      <w:sz w:val="20"/>
      <w:szCs w:val="20"/>
      <w:lang w:eastAsia="en-US"/>
    </w:rPr>
  </w:style>
  <w:style w:type="numbering" w:customStyle="1" w:styleId="113">
    <w:name w:val="無清單11"/>
    <w:next w:val="a2"/>
    <w:uiPriority w:val="99"/>
    <w:semiHidden/>
    <w:unhideWhenUsed/>
    <w:rsid w:val="001F22C0"/>
  </w:style>
  <w:style w:type="table" w:customStyle="1" w:styleId="101">
    <w:name w:val="表格格線101"/>
    <w:basedOn w:val="a1"/>
    <w:next w:val="ae"/>
    <w:uiPriority w:val="59"/>
    <w:rsid w:val="001F22C0"/>
    <w:pPr>
      <w:spacing w:line="240" w:lineRule="exact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標題 1 字元"/>
    <w:basedOn w:val="a0"/>
    <w:link w:val="11"/>
    <w:rsid w:val="001F22C0"/>
    <w:rPr>
      <w:rFonts w:ascii="Arial" w:hAnsi="Arial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rsid w:val="001F22C0"/>
    <w:rPr>
      <w:rFonts w:ascii="Arial" w:hAnsi="Arial"/>
      <w:b/>
      <w:bCs/>
      <w:kern w:val="2"/>
      <w:sz w:val="48"/>
      <w:szCs w:val="48"/>
    </w:rPr>
  </w:style>
  <w:style w:type="paragraph" w:customStyle="1" w:styleId="1f3">
    <w:name w:val="字元 字元 字元1"/>
    <w:basedOn w:val="a"/>
    <w:uiPriority w:val="99"/>
    <w:rsid w:val="001F22C0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character" w:customStyle="1" w:styleId="z-0">
    <w:name w:val="z-表單的頂端 字元"/>
    <w:basedOn w:val="a0"/>
    <w:link w:val="z-"/>
    <w:rsid w:val="001F22C0"/>
    <w:rPr>
      <w:rFonts w:ascii="Arial" w:hAnsi="Arial" w:cs="新細明體"/>
      <w:vanish/>
      <w:sz w:val="16"/>
      <w:szCs w:val="16"/>
      <w:lang w:bidi="hi-IN"/>
    </w:rPr>
  </w:style>
  <w:style w:type="character" w:customStyle="1" w:styleId="z-2">
    <w:name w:val="z-表單的底部 字元"/>
    <w:basedOn w:val="a0"/>
    <w:link w:val="z-1"/>
    <w:rsid w:val="001F22C0"/>
    <w:rPr>
      <w:rFonts w:ascii="Arial" w:hAnsi="Arial" w:cs="新細明體"/>
      <w:vanish/>
      <w:sz w:val="16"/>
      <w:szCs w:val="16"/>
      <w:lang w:bidi="hi-IN"/>
    </w:rPr>
  </w:style>
  <w:style w:type="paragraph" w:customStyle="1" w:styleId="311">
    <w:name w:val="字元 字元3 字元 字元 字元1"/>
    <w:basedOn w:val="a"/>
    <w:uiPriority w:val="99"/>
    <w:rsid w:val="001F22C0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114">
    <w:name w:val="字元 字元 字元1 字元 字元 字元 字元 字元 字元 字元 字元1"/>
    <w:basedOn w:val="a"/>
    <w:uiPriority w:val="99"/>
    <w:semiHidden/>
    <w:rsid w:val="001F22C0"/>
    <w:pPr>
      <w:widowControl/>
      <w:spacing w:after="160" w:line="240" w:lineRule="exact"/>
    </w:pPr>
    <w:rPr>
      <w:rFonts w:ascii="Verdana" w:eastAsia="Times New Roman" w:hAnsi="Verdana" w:cs="Mangal"/>
      <w:kern w:val="0"/>
      <w:sz w:val="20"/>
      <w:szCs w:val="20"/>
      <w:lang w:eastAsia="en-US" w:bidi="hi-IN"/>
    </w:rPr>
  </w:style>
  <w:style w:type="character" w:customStyle="1" w:styleId="af0">
    <w:name w:val="本文縮排 字元"/>
    <w:basedOn w:val="a0"/>
    <w:link w:val="af"/>
    <w:uiPriority w:val="99"/>
    <w:rsid w:val="001F22C0"/>
    <w:rPr>
      <w:kern w:val="2"/>
      <w:sz w:val="24"/>
      <w:szCs w:val="24"/>
    </w:rPr>
  </w:style>
  <w:style w:type="character" w:customStyle="1" w:styleId="HTML0">
    <w:name w:val="HTML 預設格式 字元"/>
    <w:basedOn w:val="a0"/>
    <w:link w:val="HTML"/>
    <w:rsid w:val="001F22C0"/>
    <w:rPr>
      <w:rFonts w:ascii="細明體" w:eastAsia="細明體" w:hAnsi="細明體" w:cs="細明體"/>
      <w:color w:val="000000"/>
      <w:sz w:val="24"/>
      <w:szCs w:val="24"/>
      <w:lang w:bidi="hi-IN"/>
    </w:rPr>
  </w:style>
  <w:style w:type="paragraph" w:customStyle="1" w:styleId="115">
    <w:name w:val="字元 字元11"/>
    <w:basedOn w:val="a"/>
    <w:uiPriority w:val="99"/>
    <w:semiHidden/>
    <w:rsid w:val="001F22C0"/>
    <w:pPr>
      <w:widowControl/>
      <w:spacing w:after="160" w:line="240" w:lineRule="exact"/>
    </w:pPr>
    <w:rPr>
      <w:rFonts w:ascii="Verdana" w:eastAsia="Times New Roman" w:hAnsi="Verdana" w:cs="Mangal"/>
      <w:kern w:val="0"/>
      <w:sz w:val="20"/>
      <w:szCs w:val="20"/>
      <w:lang w:eastAsia="en-US" w:bidi="hi-IN"/>
    </w:rPr>
  </w:style>
  <w:style w:type="paragraph" w:customStyle="1" w:styleId="36">
    <w:name w:val="字元 字元3"/>
    <w:basedOn w:val="a"/>
    <w:uiPriority w:val="99"/>
    <w:rsid w:val="001F22C0"/>
    <w:pPr>
      <w:widowControl/>
      <w:spacing w:after="160" w:line="240" w:lineRule="exact"/>
    </w:pPr>
    <w:rPr>
      <w:rFonts w:ascii="Tahoma" w:eastAsia="微軟正黑體" w:hAnsi="Tahoma"/>
      <w:kern w:val="0"/>
      <w:sz w:val="20"/>
      <w:szCs w:val="20"/>
      <w:lang w:eastAsia="en-US"/>
    </w:rPr>
  </w:style>
  <w:style w:type="paragraph" w:customStyle="1" w:styleId="212">
    <w:name w:val="字元 字元21"/>
    <w:basedOn w:val="a"/>
    <w:uiPriority w:val="99"/>
    <w:rsid w:val="001F22C0"/>
    <w:pPr>
      <w:widowControl/>
      <w:spacing w:after="160" w:line="240" w:lineRule="exact"/>
    </w:pPr>
    <w:rPr>
      <w:rFonts w:ascii="Tahoma" w:eastAsia="微軟正黑體" w:hAnsi="Tahoma"/>
      <w:kern w:val="0"/>
      <w:sz w:val="20"/>
      <w:szCs w:val="20"/>
      <w:lang w:eastAsia="en-US"/>
    </w:rPr>
  </w:style>
  <w:style w:type="numbering" w:customStyle="1" w:styleId="213">
    <w:name w:val="無清單21"/>
    <w:next w:val="a2"/>
    <w:uiPriority w:val="99"/>
    <w:semiHidden/>
    <w:unhideWhenUsed/>
    <w:rsid w:val="001F22C0"/>
  </w:style>
  <w:style w:type="table" w:customStyle="1" w:styleId="131">
    <w:name w:val="表格格線131"/>
    <w:basedOn w:val="a1"/>
    <w:next w:val="ae"/>
    <w:rsid w:val="001F22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格格線141"/>
    <w:basedOn w:val="a1"/>
    <w:next w:val="ae"/>
    <w:uiPriority w:val="59"/>
    <w:rsid w:val="001F22C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格格線211"/>
    <w:basedOn w:val="a1"/>
    <w:next w:val="ae"/>
    <w:uiPriority w:val="59"/>
    <w:rsid w:val="001F22C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表格格線311"/>
    <w:basedOn w:val="a1"/>
    <w:next w:val="ae"/>
    <w:uiPriority w:val="59"/>
    <w:rsid w:val="001F22C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格格線511"/>
    <w:basedOn w:val="a1"/>
    <w:next w:val="ae"/>
    <w:uiPriority w:val="59"/>
    <w:rsid w:val="001F22C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格格線1111"/>
    <w:basedOn w:val="a1"/>
    <w:next w:val="ae"/>
    <w:uiPriority w:val="59"/>
    <w:rsid w:val="001F22C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表格格線711"/>
    <w:basedOn w:val="a1"/>
    <w:next w:val="ae"/>
    <w:uiPriority w:val="59"/>
    <w:rsid w:val="001F22C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表格格線811"/>
    <w:basedOn w:val="a1"/>
    <w:next w:val="ae"/>
    <w:uiPriority w:val="59"/>
    <w:rsid w:val="001F22C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表格格線1211"/>
    <w:basedOn w:val="a1"/>
    <w:next w:val="ae"/>
    <w:rsid w:val="001F22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表格格線911"/>
    <w:basedOn w:val="a1"/>
    <w:next w:val="ae"/>
    <w:uiPriority w:val="59"/>
    <w:rsid w:val="001F22C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無清單111"/>
    <w:next w:val="a2"/>
    <w:uiPriority w:val="99"/>
    <w:semiHidden/>
    <w:unhideWhenUsed/>
    <w:rsid w:val="001F22C0"/>
  </w:style>
  <w:style w:type="table" w:customStyle="1" w:styleId="1011">
    <w:name w:val="表格格線1011"/>
    <w:basedOn w:val="a1"/>
    <w:next w:val="ae"/>
    <w:uiPriority w:val="59"/>
    <w:rsid w:val="001F22C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1"/>
    <w:next w:val="ae"/>
    <w:uiPriority w:val="59"/>
    <w:rsid w:val="001F22C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annotation reference"/>
    <w:basedOn w:val="a0"/>
    <w:uiPriority w:val="99"/>
    <w:semiHidden/>
    <w:unhideWhenUsed/>
    <w:rsid w:val="005334B6"/>
    <w:rPr>
      <w:sz w:val="18"/>
      <w:szCs w:val="18"/>
    </w:rPr>
  </w:style>
  <w:style w:type="paragraph" w:styleId="aff6">
    <w:name w:val="annotation text"/>
    <w:basedOn w:val="a"/>
    <w:link w:val="aff7"/>
    <w:uiPriority w:val="99"/>
    <w:semiHidden/>
    <w:unhideWhenUsed/>
    <w:rsid w:val="005334B6"/>
  </w:style>
  <w:style w:type="character" w:customStyle="1" w:styleId="aff7">
    <w:name w:val="註解文字 字元"/>
    <w:basedOn w:val="a0"/>
    <w:link w:val="aff6"/>
    <w:uiPriority w:val="99"/>
    <w:semiHidden/>
    <w:rsid w:val="005334B6"/>
    <w:rPr>
      <w:kern w:val="2"/>
      <w:sz w:val="24"/>
      <w:szCs w:val="24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5334B6"/>
    <w:rPr>
      <w:b/>
      <w:bCs/>
    </w:rPr>
  </w:style>
  <w:style w:type="character" w:customStyle="1" w:styleId="aff9">
    <w:name w:val="註解主旨 字元"/>
    <w:basedOn w:val="aff7"/>
    <w:link w:val="aff8"/>
    <w:uiPriority w:val="99"/>
    <w:semiHidden/>
    <w:rsid w:val="005334B6"/>
    <w:rPr>
      <w:b/>
      <w:bCs/>
      <w:kern w:val="2"/>
      <w:sz w:val="24"/>
      <w:szCs w:val="24"/>
    </w:rPr>
  </w:style>
  <w:style w:type="table" w:customStyle="1" w:styleId="151">
    <w:name w:val="表格格線151"/>
    <w:basedOn w:val="a1"/>
    <w:next w:val="ae"/>
    <w:uiPriority w:val="59"/>
    <w:rsid w:val="003B719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endnote text"/>
    <w:basedOn w:val="a"/>
    <w:link w:val="affb"/>
    <w:uiPriority w:val="99"/>
    <w:semiHidden/>
    <w:unhideWhenUsed/>
    <w:rsid w:val="00981221"/>
    <w:pPr>
      <w:snapToGrid w:val="0"/>
    </w:pPr>
  </w:style>
  <w:style w:type="character" w:customStyle="1" w:styleId="affb">
    <w:name w:val="章節附註文字 字元"/>
    <w:basedOn w:val="a0"/>
    <w:link w:val="affa"/>
    <w:uiPriority w:val="99"/>
    <w:semiHidden/>
    <w:rsid w:val="00981221"/>
    <w:rPr>
      <w:kern w:val="2"/>
      <w:sz w:val="24"/>
      <w:szCs w:val="24"/>
    </w:rPr>
  </w:style>
  <w:style w:type="character" w:styleId="affc">
    <w:name w:val="endnote reference"/>
    <w:basedOn w:val="a0"/>
    <w:uiPriority w:val="99"/>
    <w:semiHidden/>
    <w:unhideWhenUsed/>
    <w:rsid w:val="00981221"/>
    <w:rPr>
      <w:vertAlign w:val="superscript"/>
    </w:rPr>
  </w:style>
  <w:style w:type="table" w:customStyle="1" w:styleId="1311">
    <w:name w:val="表格格線1311"/>
    <w:basedOn w:val="a1"/>
    <w:next w:val="ae"/>
    <w:rsid w:val="00AE41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1"/>
    <w:next w:val="ae"/>
    <w:uiPriority w:val="59"/>
    <w:rsid w:val="00C4181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格格線16"/>
    <w:basedOn w:val="a1"/>
    <w:next w:val="ae"/>
    <w:uiPriority w:val="59"/>
    <w:rsid w:val="00D745B1"/>
    <w:rPr>
      <w:kern w:val="2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1a0">
    <w:name w:val="k1a 字元"/>
    <w:basedOn w:val="a0"/>
    <w:link w:val="k1a"/>
    <w:rsid w:val="00D745B1"/>
    <w:rPr>
      <w:rFonts w:eastAsia="標楷體"/>
      <w:sz w:val="28"/>
    </w:rPr>
  </w:style>
  <w:style w:type="paragraph" w:customStyle="1" w:styleId="k00t18">
    <w:name w:val="k00t18"/>
    <w:basedOn w:val="a"/>
    <w:uiPriority w:val="99"/>
    <w:rsid w:val="00D745B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240" w:after="240" w:line="460" w:lineRule="exact"/>
      <w:jc w:val="center"/>
      <w:textAlignment w:val="baseline"/>
    </w:pPr>
    <w:rPr>
      <w:rFonts w:eastAsia="文鼎中楷" w:hAnsi="Clarendon Condensed"/>
      <w:kern w:val="0"/>
      <w:sz w:val="36"/>
      <w:szCs w:val="20"/>
    </w:rPr>
  </w:style>
  <w:style w:type="table" w:styleId="-1">
    <w:name w:val="Light Shading Accent 1"/>
    <w:basedOn w:val="a1"/>
    <w:uiPriority w:val="60"/>
    <w:rsid w:val="00D745B1"/>
    <w:rPr>
      <w:rFonts w:asciiTheme="minorHAnsi" w:eastAsiaTheme="minorEastAsia" w:hAnsiTheme="minorHAnsi" w:cstheme="minorBidi"/>
      <w:color w:val="365F91" w:themeColor="accent1" w:themeShade="BF"/>
      <w:kern w:val="2"/>
      <w:sz w:val="24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37">
    <w:name w:val="toc 3"/>
    <w:basedOn w:val="a"/>
    <w:next w:val="a"/>
    <w:autoRedefine/>
    <w:uiPriority w:val="39"/>
    <w:semiHidden/>
    <w:unhideWhenUsed/>
    <w:qFormat/>
    <w:rsid w:val="006F111A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customStyle="1" w:styleId="70">
    <w:name w:val="字元 字元7"/>
    <w:basedOn w:val="a"/>
    <w:uiPriority w:val="99"/>
    <w:semiHidden/>
    <w:rsid w:val="006D728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42">
    <w:name w:val="字元 字元1 字元 字元 字元 字元 字元 字元 字元 字元 字元 字元 字元 字元4"/>
    <w:basedOn w:val="a"/>
    <w:uiPriority w:val="99"/>
    <w:rsid w:val="006D728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38">
    <w:name w:val="字元 字元 字元3"/>
    <w:basedOn w:val="a"/>
    <w:uiPriority w:val="99"/>
    <w:rsid w:val="006D7283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30">
    <w:name w:val="字元 字元3 字元 字元 字元3"/>
    <w:basedOn w:val="a"/>
    <w:uiPriority w:val="99"/>
    <w:rsid w:val="006D7283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132">
    <w:name w:val="字元 字元 字元1 字元 字元 字元 字元 字元 字元 字元 字元3"/>
    <w:basedOn w:val="a"/>
    <w:uiPriority w:val="99"/>
    <w:semiHidden/>
    <w:rsid w:val="006D728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33">
    <w:name w:val="字元 字元13"/>
    <w:basedOn w:val="a"/>
    <w:uiPriority w:val="99"/>
    <w:semiHidden/>
    <w:rsid w:val="006D728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60">
    <w:name w:val="字元 字元6"/>
    <w:basedOn w:val="a"/>
    <w:uiPriority w:val="99"/>
    <w:rsid w:val="006D728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30">
    <w:name w:val="字元 字元23"/>
    <w:basedOn w:val="a"/>
    <w:uiPriority w:val="99"/>
    <w:rsid w:val="006D728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4">
    <w:name w:val="字元 字元1 字元 字元 字元 字元 字元 字元 字元 字元 字元 字元 字元 字元3"/>
    <w:basedOn w:val="a"/>
    <w:uiPriority w:val="99"/>
    <w:rsid w:val="006D728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f10-con1">
    <w:name w:val="f10-con1"/>
    <w:basedOn w:val="a0"/>
    <w:rsid w:val="006D7283"/>
    <w:rPr>
      <w:rFonts w:ascii="Verdana" w:hAnsi="Verdana" w:hint="default"/>
      <w:color w:val="666666"/>
      <w:sz w:val="20"/>
      <w:szCs w:val="20"/>
    </w:rPr>
  </w:style>
  <w:style w:type="paragraph" w:customStyle="1" w:styleId="90">
    <w:name w:val="字元 字元9"/>
    <w:basedOn w:val="a"/>
    <w:uiPriority w:val="99"/>
    <w:semiHidden/>
    <w:rsid w:val="001F4DA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61">
    <w:name w:val="字元 字元1 字元 字元 字元 字元 字元 字元 字元 字元 字元 字元 字元 字元6"/>
    <w:basedOn w:val="a"/>
    <w:uiPriority w:val="99"/>
    <w:rsid w:val="001F4DA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45">
    <w:name w:val="字元 字元 字元4"/>
    <w:basedOn w:val="a"/>
    <w:uiPriority w:val="99"/>
    <w:rsid w:val="001F4DAB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40">
    <w:name w:val="字元 字元3 字元 字元 字元4"/>
    <w:basedOn w:val="a"/>
    <w:uiPriority w:val="99"/>
    <w:rsid w:val="001F4DAB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143">
    <w:name w:val="字元 字元 字元1 字元 字元 字元 字元 字元 字元 字元 字元4"/>
    <w:basedOn w:val="a"/>
    <w:uiPriority w:val="99"/>
    <w:semiHidden/>
    <w:rsid w:val="001F4DA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44">
    <w:name w:val="字元 字元14"/>
    <w:basedOn w:val="a"/>
    <w:uiPriority w:val="99"/>
    <w:semiHidden/>
    <w:rsid w:val="001F4DA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80">
    <w:name w:val="字元 字元8"/>
    <w:basedOn w:val="a"/>
    <w:uiPriority w:val="99"/>
    <w:rsid w:val="001F4DA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40">
    <w:name w:val="字元 字元24"/>
    <w:basedOn w:val="a"/>
    <w:uiPriority w:val="99"/>
    <w:rsid w:val="001F4DA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3">
    <w:name w:val="字元 字元1 字元 字元 字元 字元 字元 字元 字元 字元 字元 字元 字元 字元5"/>
    <w:basedOn w:val="a"/>
    <w:uiPriority w:val="99"/>
    <w:rsid w:val="001F4DA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customStyle="1" w:styleId="170">
    <w:name w:val="表格格線17"/>
    <w:basedOn w:val="a1"/>
    <w:next w:val="ae"/>
    <w:uiPriority w:val="59"/>
    <w:rsid w:val="00CD596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表格格線18"/>
    <w:basedOn w:val="a1"/>
    <w:next w:val="ae"/>
    <w:uiPriority w:val="59"/>
    <w:rsid w:val="00CD596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表格格線19"/>
    <w:basedOn w:val="a1"/>
    <w:next w:val="ae"/>
    <w:uiPriority w:val="59"/>
    <w:rsid w:val="00CD596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e"/>
    <w:uiPriority w:val="59"/>
    <w:rsid w:val="00445FF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淺色網底 - 輔色 11"/>
    <w:basedOn w:val="a1"/>
    <w:next w:val="-1"/>
    <w:uiPriority w:val="60"/>
    <w:rsid w:val="00063AC8"/>
    <w:rPr>
      <w:rFonts w:asciiTheme="minorHAnsi" w:eastAsiaTheme="minorEastAsia" w:hAnsiTheme="minorHAnsi" w:cstheme="minorBidi"/>
      <w:color w:val="365F91" w:themeColor="accent1" w:themeShade="BF"/>
      <w:kern w:val="2"/>
      <w:sz w:val="24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F508DC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221">
    <w:name w:val="表格格線22"/>
    <w:basedOn w:val="a1"/>
    <w:next w:val="ae"/>
    <w:uiPriority w:val="59"/>
    <w:rsid w:val="009C02D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表格格線23"/>
    <w:basedOn w:val="a1"/>
    <w:next w:val="ae"/>
    <w:rsid w:val="00FA7977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215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table" w:customStyle="1" w:styleId="241">
    <w:name w:val="表格格線24"/>
    <w:basedOn w:val="a1"/>
    <w:next w:val="ae"/>
    <w:rsid w:val="003E7BB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81"/>
    <w:pPr>
      <w:widowControl w:val="0"/>
    </w:pPr>
    <w:rPr>
      <w:kern w:val="2"/>
      <w:sz w:val="24"/>
      <w:szCs w:val="24"/>
    </w:rPr>
  </w:style>
  <w:style w:type="paragraph" w:styleId="11">
    <w:name w:val="heading 1"/>
    <w:basedOn w:val="a"/>
    <w:next w:val="a"/>
    <w:link w:val="12"/>
    <w:qFormat/>
    <w:rsid w:val="00AF4ECB"/>
    <w:pPr>
      <w:keepNext/>
      <w:adjustRightInd w:val="0"/>
      <w:spacing w:before="180" w:after="180" w:line="720" w:lineRule="atLeast"/>
      <w:textAlignment w:val="baseline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AF4ECB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0B6A5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6A5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"/>
    <w:basedOn w:val="a"/>
    <w:rsid w:val="00AF4ECB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character" w:styleId="a4">
    <w:name w:val="Hyperlink"/>
    <w:uiPriority w:val="99"/>
    <w:rsid w:val="00AF4ECB"/>
    <w:rPr>
      <w:color w:val="0253B7"/>
      <w:u w:val="single"/>
    </w:rPr>
  </w:style>
  <w:style w:type="character" w:customStyle="1" w:styleId="atime1">
    <w:name w:val="atime1"/>
    <w:rsid w:val="00AF4ECB"/>
    <w:rPr>
      <w:rFonts w:ascii="Times New Roman" w:hAnsi="Times New Roman" w:hint="default"/>
      <w:i/>
      <w:iCs/>
    </w:rPr>
  </w:style>
  <w:style w:type="paragraph" w:customStyle="1" w:styleId="story">
    <w:name w:val="story"/>
    <w:basedOn w:val="a"/>
    <w:uiPriority w:val="99"/>
    <w:rsid w:val="00AF4ECB"/>
    <w:pPr>
      <w:widowControl/>
      <w:spacing w:before="100" w:beforeAutospacing="1" w:after="100" w:afterAutospacing="1" w:line="360" w:lineRule="atLeast"/>
    </w:pPr>
    <w:rPr>
      <w:rFonts w:ascii="Verdana" w:hAnsi="Verdana" w:cs="新細明體"/>
      <w:color w:val="414141"/>
      <w:kern w:val="0"/>
      <w:sz w:val="22"/>
      <w:szCs w:val="22"/>
      <w:lang w:bidi="hi-IN"/>
    </w:rPr>
  </w:style>
  <w:style w:type="paragraph" w:styleId="Web">
    <w:name w:val="Normal (Web)"/>
    <w:basedOn w:val="a"/>
    <w:uiPriority w:val="99"/>
    <w:rsid w:val="00AF4EC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character" w:customStyle="1" w:styleId="story1">
    <w:name w:val="story1"/>
    <w:rsid w:val="00AF4ECB"/>
    <w:rPr>
      <w:rFonts w:ascii="Verdana" w:hAnsi="Verdana" w:hint="default"/>
      <w:color w:val="414141"/>
      <w:sz w:val="22"/>
      <w:szCs w:val="22"/>
      <w:bdr w:val="single" w:sz="6" w:space="0" w:color="CBCBCB" w:frame="1"/>
      <w:shd w:val="clear" w:color="auto" w:fill="FDFCE3"/>
    </w:rPr>
  </w:style>
  <w:style w:type="character" w:customStyle="1" w:styleId="author1">
    <w:name w:val="author1"/>
    <w:rsid w:val="00AF4ECB"/>
    <w:rPr>
      <w:rFonts w:ascii="Verdana" w:hAnsi="Verdana" w:hint="default"/>
      <w:color w:val="696969"/>
      <w:sz w:val="17"/>
      <w:szCs w:val="17"/>
      <w:bdr w:val="single" w:sz="6" w:space="0" w:color="CBCBCB" w:frame="1"/>
      <w:shd w:val="clear" w:color="auto" w:fill="FDFCE3"/>
    </w:rPr>
  </w:style>
  <w:style w:type="character" w:customStyle="1" w:styleId="text11">
    <w:name w:val="text11"/>
    <w:rsid w:val="00AF4ECB"/>
    <w:rPr>
      <w:color w:val="000000"/>
      <w:sz w:val="22"/>
      <w:szCs w:val="22"/>
    </w:rPr>
  </w:style>
  <w:style w:type="character" w:styleId="a5">
    <w:name w:val="Strong"/>
    <w:qFormat/>
    <w:rsid w:val="00AF4ECB"/>
    <w:rPr>
      <w:b/>
      <w:bCs/>
    </w:rPr>
  </w:style>
  <w:style w:type="paragraph" w:styleId="a6">
    <w:name w:val="footnote text"/>
    <w:basedOn w:val="a"/>
    <w:link w:val="a7"/>
    <w:uiPriority w:val="99"/>
    <w:semiHidden/>
    <w:rsid w:val="00AF4ECB"/>
    <w:pPr>
      <w:snapToGrid w:val="0"/>
    </w:pPr>
    <w:rPr>
      <w:sz w:val="20"/>
      <w:szCs w:val="20"/>
    </w:rPr>
  </w:style>
  <w:style w:type="character" w:styleId="a8">
    <w:name w:val="footnote reference"/>
    <w:uiPriority w:val="99"/>
    <w:semiHidden/>
    <w:rsid w:val="00AF4ECB"/>
    <w:rPr>
      <w:vertAlign w:val="superscript"/>
    </w:rPr>
  </w:style>
  <w:style w:type="character" w:customStyle="1" w:styleId="yqlink">
    <w:name w:val="yqlink"/>
    <w:basedOn w:val="a0"/>
    <w:rsid w:val="00AF4ECB"/>
  </w:style>
  <w:style w:type="paragraph" w:styleId="z-">
    <w:name w:val="HTML Top of Form"/>
    <w:basedOn w:val="a"/>
    <w:next w:val="a"/>
    <w:link w:val="z-0"/>
    <w:hidden/>
    <w:rsid w:val="00AF4ECB"/>
    <w:pPr>
      <w:widowControl/>
      <w:pBdr>
        <w:bottom w:val="single" w:sz="6" w:space="1" w:color="auto"/>
      </w:pBdr>
      <w:jc w:val="center"/>
    </w:pPr>
    <w:rPr>
      <w:rFonts w:ascii="Arial" w:hAnsi="Arial" w:cs="新細明體"/>
      <w:vanish/>
      <w:kern w:val="0"/>
      <w:sz w:val="16"/>
      <w:szCs w:val="16"/>
      <w:lang w:bidi="hi-IN"/>
    </w:rPr>
  </w:style>
  <w:style w:type="paragraph" w:styleId="z-1">
    <w:name w:val="HTML Bottom of Form"/>
    <w:basedOn w:val="a"/>
    <w:next w:val="a"/>
    <w:link w:val="z-2"/>
    <w:hidden/>
    <w:rsid w:val="00AF4ECB"/>
    <w:pPr>
      <w:widowControl/>
      <w:pBdr>
        <w:top w:val="single" w:sz="6" w:space="1" w:color="auto"/>
      </w:pBdr>
      <w:jc w:val="center"/>
    </w:pPr>
    <w:rPr>
      <w:rFonts w:ascii="Arial" w:hAnsi="Arial" w:cs="新細明體"/>
      <w:vanish/>
      <w:kern w:val="0"/>
      <w:sz w:val="16"/>
      <w:szCs w:val="16"/>
      <w:lang w:bidi="hi-IN"/>
    </w:rPr>
  </w:style>
  <w:style w:type="paragraph" w:styleId="a9">
    <w:name w:val="footer"/>
    <w:basedOn w:val="a"/>
    <w:link w:val="aa"/>
    <w:uiPriority w:val="99"/>
    <w:rsid w:val="00AF4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AF4ECB"/>
  </w:style>
  <w:style w:type="paragraph" w:styleId="ac">
    <w:name w:val="header"/>
    <w:basedOn w:val="a"/>
    <w:link w:val="ad"/>
    <w:uiPriority w:val="99"/>
    <w:rsid w:val="00AF4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y2">
    <w:name w:val="sty2"/>
    <w:basedOn w:val="a0"/>
    <w:rsid w:val="00AF4ECB"/>
  </w:style>
  <w:style w:type="character" w:customStyle="1" w:styleId="ttag">
    <w:name w:val="t_tag"/>
    <w:basedOn w:val="a0"/>
    <w:rsid w:val="00AF4ECB"/>
  </w:style>
  <w:style w:type="paragraph" w:customStyle="1" w:styleId="Web45">
    <w:name w:val="內文 (Web)45"/>
    <w:basedOn w:val="a"/>
    <w:uiPriority w:val="99"/>
    <w:rsid w:val="00AF4ECB"/>
    <w:pPr>
      <w:widowControl/>
      <w:spacing w:before="240" w:after="360"/>
    </w:pPr>
    <w:rPr>
      <w:rFonts w:ascii="新細明體" w:hAnsi="新細明體" w:cs="新細明體"/>
      <w:kern w:val="0"/>
      <w:sz w:val="23"/>
      <w:szCs w:val="23"/>
    </w:rPr>
  </w:style>
  <w:style w:type="paragraph" w:customStyle="1" w:styleId="210">
    <w:name w:val="標題 21"/>
    <w:basedOn w:val="a"/>
    <w:uiPriority w:val="99"/>
    <w:rsid w:val="00AF4EC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36"/>
      <w:szCs w:val="36"/>
    </w:rPr>
  </w:style>
  <w:style w:type="paragraph" w:customStyle="1" w:styleId="Web7">
    <w:name w:val="內文 (Web)7"/>
    <w:basedOn w:val="a"/>
    <w:uiPriority w:val="99"/>
    <w:rsid w:val="00AF4ECB"/>
    <w:pPr>
      <w:widowControl/>
      <w:spacing w:line="330" w:lineRule="atLeast"/>
      <w:ind w:left="150" w:right="150"/>
    </w:pPr>
    <w:rPr>
      <w:rFonts w:ascii="新細明體" w:hAnsi="新細明體" w:cs="新細明體"/>
      <w:kern w:val="0"/>
    </w:rPr>
  </w:style>
  <w:style w:type="paragraph" w:customStyle="1" w:styleId="32">
    <w:name w:val="字元 字元3 字元 字元 字元"/>
    <w:basedOn w:val="a"/>
    <w:rsid w:val="00AF4ECB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table" w:styleId="ae">
    <w:name w:val="Table Grid"/>
    <w:basedOn w:val="a1"/>
    <w:uiPriority w:val="59"/>
    <w:rsid w:val="004171A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字元 字元 字元1 字元 字元 字元 字元 字元 字元 字元 字元"/>
    <w:basedOn w:val="a"/>
    <w:semiHidden/>
    <w:rsid w:val="008F7EE6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">
    <w:name w:val="Body Text Indent"/>
    <w:basedOn w:val="a"/>
    <w:link w:val="af0"/>
    <w:uiPriority w:val="99"/>
    <w:rsid w:val="00C20538"/>
    <w:pPr>
      <w:spacing w:after="120"/>
      <w:ind w:leftChars="200" w:left="480"/>
    </w:pPr>
  </w:style>
  <w:style w:type="paragraph" w:styleId="HTML">
    <w:name w:val="HTML Preformatted"/>
    <w:basedOn w:val="a"/>
    <w:link w:val="HTML0"/>
    <w:rsid w:val="00C205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  <w:lang w:bidi="hi-IN"/>
    </w:rPr>
  </w:style>
  <w:style w:type="paragraph" w:customStyle="1" w:styleId="xl30">
    <w:name w:val="xl30"/>
    <w:basedOn w:val="a"/>
    <w:uiPriority w:val="99"/>
    <w:rsid w:val="00651C15"/>
    <w:pPr>
      <w:widowControl/>
      <w:spacing w:before="100" w:beforeAutospacing="1" w:after="100" w:afterAutospacing="1"/>
      <w:jc w:val="center"/>
      <w:textAlignment w:val="center"/>
    </w:pPr>
    <w:rPr>
      <w:rFonts w:ascii="全真楷書" w:eastAsia="全真楷書" w:hAnsi="Arial Unicode MS" w:cs="Arial Unicode MS" w:hint="eastAsia"/>
      <w:kern w:val="0"/>
    </w:rPr>
  </w:style>
  <w:style w:type="character" w:styleId="af1">
    <w:name w:val="FollowedHyperlink"/>
    <w:rsid w:val="00FC1D12"/>
    <w:rPr>
      <w:color w:val="800080"/>
      <w:u w:val="single"/>
    </w:rPr>
  </w:style>
  <w:style w:type="paragraph" w:customStyle="1" w:styleId="14">
    <w:name w:val="字元 字元1"/>
    <w:basedOn w:val="a"/>
    <w:semiHidden/>
    <w:rsid w:val="009134D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f2">
    <w:name w:val="字元 字元"/>
    <w:basedOn w:val="a"/>
    <w:rsid w:val="00915C6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2">
    <w:name w:val="字元 字元2"/>
    <w:basedOn w:val="a"/>
    <w:rsid w:val="00DA081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storytitle1">
    <w:name w:val="story_title1"/>
    <w:rsid w:val="00B25309"/>
    <w:rPr>
      <w:rFonts w:ascii="Verdana" w:hAnsi="Verdana" w:hint="default"/>
      <w:b/>
      <w:bCs/>
      <w:color w:val="FF8000"/>
      <w:sz w:val="19"/>
      <w:szCs w:val="19"/>
    </w:rPr>
  </w:style>
  <w:style w:type="character" w:customStyle="1" w:styleId="storysubtitle1">
    <w:name w:val="story_sub_title1"/>
    <w:rsid w:val="00B25309"/>
    <w:rPr>
      <w:rFonts w:ascii="Verdana" w:hAnsi="Verdana" w:hint="default"/>
      <w:color w:val="FF8000"/>
      <w:sz w:val="19"/>
      <w:szCs w:val="19"/>
    </w:rPr>
  </w:style>
  <w:style w:type="character" w:customStyle="1" w:styleId="15">
    <w:name w:val="超連結1"/>
    <w:rsid w:val="0021664B"/>
    <w:rPr>
      <w:i w:val="0"/>
      <w:iCs w:val="0"/>
      <w:strike w:val="0"/>
      <w:dstrike w:val="0"/>
      <w:color w:val="ED145B"/>
      <w:u w:val="none"/>
      <w:effect w:val="none"/>
    </w:rPr>
  </w:style>
  <w:style w:type="paragraph" w:customStyle="1" w:styleId="t1">
    <w:name w:val="t1"/>
    <w:basedOn w:val="a"/>
    <w:uiPriority w:val="99"/>
    <w:rsid w:val="006228FF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271D0"/>
      <w:kern w:val="0"/>
      <w:sz w:val="18"/>
      <w:szCs w:val="18"/>
    </w:rPr>
  </w:style>
  <w:style w:type="paragraph" w:customStyle="1" w:styleId="16">
    <w:name w:val="內文1"/>
    <w:basedOn w:val="a"/>
    <w:uiPriority w:val="99"/>
    <w:rsid w:val="008E7342"/>
    <w:pPr>
      <w:widowControl/>
      <w:spacing w:line="330" w:lineRule="atLeast"/>
      <w:ind w:left="150" w:right="150"/>
    </w:pPr>
    <w:rPr>
      <w:rFonts w:ascii="新細明體" w:hAnsi="新細明體" w:cs="新細明體"/>
      <w:kern w:val="0"/>
      <w:lang w:bidi="hi-IN"/>
    </w:rPr>
  </w:style>
  <w:style w:type="paragraph" w:styleId="af3">
    <w:name w:val="Date"/>
    <w:basedOn w:val="a"/>
    <w:next w:val="a"/>
    <w:link w:val="af4"/>
    <w:uiPriority w:val="99"/>
    <w:rsid w:val="00602E6F"/>
    <w:pPr>
      <w:jc w:val="right"/>
    </w:pPr>
  </w:style>
  <w:style w:type="paragraph" w:styleId="af5">
    <w:name w:val="Balloon Text"/>
    <w:basedOn w:val="a"/>
    <w:link w:val="af6"/>
    <w:uiPriority w:val="99"/>
    <w:semiHidden/>
    <w:unhideWhenUsed/>
    <w:rsid w:val="001559A2"/>
    <w:rPr>
      <w:rFonts w:ascii="Cambria" w:hAnsi="Cambria"/>
      <w:sz w:val="18"/>
      <w:szCs w:val="18"/>
    </w:rPr>
  </w:style>
  <w:style w:type="character" w:customStyle="1" w:styleId="af6">
    <w:name w:val="註解方塊文字 字元"/>
    <w:link w:val="af5"/>
    <w:uiPriority w:val="99"/>
    <w:semiHidden/>
    <w:rsid w:val="001559A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a">
    <w:name w:val="頁尾 字元"/>
    <w:link w:val="a9"/>
    <w:uiPriority w:val="99"/>
    <w:rsid w:val="00A63FE2"/>
    <w:rPr>
      <w:kern w:val="2"/>
    </w:rPr>
  </w:style>
  <w:style w:type="table" w:customStyle="1" w:styleId="17">
    <w:name w:val="表格格線1"/>
    <w:basedOn w:val="a1"/>
    <w:next w:val="ae"/>
    <w:uiPriority w:val="59"/>
    <w:rsid w:val="00A1507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格格線2"/>
    <w:basedOn w:val="a1"/>
    <w:next w:val="ae"/>
    <w:uiPriority w:val="59"/>
    <w:rsid w:val="00FC11E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1"/>
    <w:next w:val="ae"/>
    <w:uiPriority w:val="59"/>
    <w:rsid w:val="00FC11E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"/>
    <w:link w:val="af8"/>
    <w:unhideWhenUsed/>
    <w:rsid w:val="00DD5D5E"/>
    <w:pPr>
      <w:spacing w:after="120"/>
    </w:pPr>
  </w:style>
  <w:style w:type="character" w:customStyle="1" w:styleId="af8">
    <w:name w:val="本文 字元"/>
    <w:link w:val="af7"/>
    <w:rsid w:val="00DD5D5E"/>
    <w:rPr>
      <w:kern w:val="2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3135BF"/>
    <w:pPr>
      <w:ind w:leftChars="200" w:left="480"/>
    </w:pPr>
  </w:style>
  <w:style w:type="character" w:customStyle="1" w:styleId="a7">
    <w:name w:val="註腳文字 字元"/>
    <w:basedOn w:val="a0"/>
    <w:link w:val="a6"/>
    <w:uiPriority w:val="99"/>
    <w:semiHidden/>
    <w:rsid w:val="00FE417F"/>
    <w:rPr>
      <w:kern w:val="2"/>
    </w:rPr>
  </w:style>
  <w:style w:type="table" w:customStyle="1" w:styleId="41">
    <w:name w:val="表格格線4"/>
    <w:basedOn w:val="a1"/>
    <w:next w:val="ae"/>
    <w:rsid w:val="00FE417F"/>
    <w:pPr>
      <w:widowControl w:val="0"/>
      <w:adjustRightInd w:val="0"/>
      <w:spacing w:line="360" w:lineRule="atLeast"/>
      <w:textAlignment w:val="center"/>
    </w:pPr>
    <w:rPr>
      <w:rFonts w:eastAsia="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字元 字元"/>
    <w:basedOn w:val="a"/>
    <w:semiHidden/>
    <w:rsid w:val="00FE417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c">
    <w:name w:val="Note Heading"/>
    <w:basedOn w:val="a"/>
    <w:next w:val="a"/>
    <w:link w:val="afd"/>
    <w:uiPriority w:val="99"/>
    <w:rsid w:val="00FE417F"/>
    <w:pPr>
      <w:jc w:val="center"/>
    </w:pPr>
    <w:rPr>
      <w:rFonts w:eastAsia="標楷體"/>
      <w:b/>
      <w:bCs/>
      <w:sz w:val="32"/>
      <w:szCs w:val="32"/>
    </w:rPr>
  </w:style>
  <w:style w:type="character" w:customStyle="1" w:styleId="afd">
    <w:name w:val="註釋標題 字元"/>
    <w:basedOn w:val="a0"/>
    <w:link w:val="afc"/>
    <w:uiPriority w:val="99"/>
    <w:rsid w:val="00FE417F"/>
    <w:rPr>
      <w:rFonts w:eastAsia="標楷體"/>
      <w:b/>
      <w:bCs/>
      <w:kern w:val="2"/>
      <w:sz w:val="32"/>
      <w:szCs w:val="32"/>
    </w:rPr>
  </w:style>
  <w:style w:type="paragraph" w:styleId="afe">
    <w:name w:val="Closing"/>
    <w:basedOn w:val="a"/>
    <w:link w:val="aff"/>
    <w:uiPriority w:val="99"/>
    <w:rsid w:val="00FE417F"/>
    <w:pPr>
      <w:ind w:leftChars="1800" w:left="100"/>
    </w:pPr>
    <w:rPr>
      <w:rFonts w:eastAsia="標楷體"/>
      <w:b/>
      <w:bCs/>
      <w:sz w:val="32"/>
      <w:szCs w:val="32"/>
    </w:rPr>
  </w:style>
  <w:style w:type="character" w:customStyle="1" w:styleId="aff">
    <w:name w:val="結語 字元"/>
    <w:basedOn w:val="a0"/>
    <w:link w:val="afe"/>
    <w:uiPriority w:val="99"/>
    <w:rsid w:val="00FE417F"/>
    <w:rPr>
      <w:rFonts w:eastAsia="標楷體"/>
      <w:b/>
      <w:bCs/>
      <w:kern w:val="2"/>
      <w:sz w:val="32"/>
      <w:szCs w:val="32"/>
    </w:rPr>
  </w:style>
  <w:style w:type="character" w:customStyle="1" w:styleId="ad">
    <w:name w:val="頁首 字元"/>
    <w:basedOn w:val="a0"/>
    <w:link w:val="ac"/>
    <w:uiPriority w:val="99"/>
    <w:rsid w:val="00FE417F"/>
    <w:rPr>
      <w:kern w:val="2"/>
    </w:rPr>
  </w:style>
  <w:style w:type="paragraph" w:customStyle="1" w:styleId="18">
    <w:name w:val="字元 字元1 字元 字元 字元 字元 字元 字元 字元 字元 字元 字元 字元 字元"/>
    <w:basedOn w:val="a"/>
    <w:rsid w:val="00FE417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customStyle="1" w:styleId="5">
    <w:name w:val="表格格線5"/>
    <w:basedOn w:val="a1"/>
    <w:next w:val="ae"/>
    <w:uiPriority w:val="59"/>
    <w:rsid w:val="00FE417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e"/>
    <w:uiPriority w:val="59"/>
    <w:rsid w:val="00323BB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字元 字元1 字元 字元 字元 字元 字元 字元 字元 字元 字元 字元 字元 字元"/>
    <w:basedOn w:val="a"/>
    <w:rsid w:val="00F50F1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k1a">
    <w:name w:val="k1a"/>
    <w:basedOn w:val="a"/>
    <w:link w:val="k1a0"/>
    <w:rsid w:val="00395EF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pacing w:before="120" w:after="120" w:line="450" w:lineRule="exact"/>
      <w:ind w:left="284" w:hanging="284"/>
      <w:jc w:val="both"/>
      <w:textAlignment w:val="center"/>
    </w:pPr>
    <w:rPr>
      <w:rFonts w:eastAsia="標楷體"/>
      <w:kern w:val="0"/>
      <w:sz w:val="28"/>
      <w:szCs w:val="20"/>
    </w:rPr>
  </w:style>
  <w:style w:type="table" w:customStyle="1" w:styleId="6">
    <w:name w:val="表格格線6"/>
    <w:basedOn w:val="a1"/>
    <w:next w:val="ae"/>
    <w:rsid w:val="00395EFD"/>
    <w:pPr>
      <w:widowControl w:val="0"/>
      <w:adjustRightInd w:val="0"/>
      <w:spacing w:line="360" w:lineRule="atLeast"/>
      <w:textAlignment w:val="center"/>
    </w:pPr>
    <w:rPr>
      <w:rFonts w:eastAsia="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e"/>
    <w:uiPriority w:val="59"/>
    <w:rsid w:val="003F1CA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e"/>
    <w:uiPriority w:val="59"/>
    <w:rsid w:val="000B6A5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標題 3 字元"/>
    <w:basedOn w:val="a0"/>
    <w:link w:val="30"/>
    <w:uiPriority w:val="9"/>
    <w:semiHidden/>
    <w:rsid w:val="000B6A54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0B6A54"/>
    <w:rPr>
      <w:rFonts w:asciiTheme="majorHAnsi" w:eastAsiaTheme="majorEastAsia" w:hAnsiTheme="majorHAnsi" w:cstheme="majorBidi"/>
      <w:kern w:val="2"/>
      <w:sz w:val="36"/>
      <w:szCs w:val="36"/>
    </w:rPr>
  </w:style>
  <w:style w:type="table" w:customStyle="1" w:styleId="120">
    <w:name w:val="表格格線12"/>
    <w:basedOn w:val="a1"/>
    <w:next w:val="ae"/>
    <w:rsid w:val="000B6A5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字元 字元 字元"/>
    <w:basedOn w:val="a"/>
    <w:uiPriority w:val="99"/>
    <w:rsid w:val="00D22EF8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4">
    <w:name w:val="字元 字元3 字元 字元 字元"/>
    <w:basedOn w:val="a"/>
    <w:uiPriority w:val="99"/>
    <w:rsid w:val="00D22EF8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1a">
    <w:name w:val="字元 字元 字元1 字元 字元 字元 字元 字元 字元 字元 字元"/>
    <w:basedOn w:val="a"/>
    <w:uiPriority w:val="99"/>
    <w:semiHidden/>
    <w:rsid w:val="00D22EF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b">
    <w:name w:val="字元 字元1"/>
    <w:basedOn w:val="a"/>
    <w:uiPriority w:val="99"/>
    <w:semiHidden/>
    <w:rsid w:val="00D22EF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ff1">
    <w:name w:val="字元 字元"/>
    <w:basedOn w:val="a"/>
    <w:uiPriority w:val="99"/>
    <w:rsid w:val="00D22EF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4">
    <w:name w:val="字元 字元2"/>
    <w:basedOn w:val="a"/>
    <w:uiPriority w:val="99"/>
    <w:rsid w:val="00D22EF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2">
    <w:name w:val="No Spacing"/>
    <w:uiPriority w:val="1"/>
    <w:qFormat/>
    <w:rsid w:val="00D22EF8"/>
    <w:pPr>
      <w:widowControl w:val="0"/>
    </w:pPr>
    <w:rPr>
      <w:kern w:val="2"/>
      <w:sz w:val="24"/>
      <w:szCs w:val="24"/>
    </w:rPr>
  </w:style>
  <w:style w:type="paragraph" w:styleId="aff3">
    <w:name w:val="Revision"/>
    <w:hidden/>
    <w:uiPriority w:val="99"/>
    <w:semiHidden/>
    <w:rsid w:val="00D22EF8"/>
    <w:rPr>
      <w:kern w:val="2"/>
      <w:sz w:val="24"/>
      <w:szCs w:val="24"/>
    </w:rPr>
  </w:style>
  <w:style w:type="table" w:customStyle="1" w:styleId="9">
    <w:name w:val="表格格線9"/>
    <w:basedOn w:val="a1"/>
    <w:next w:val="ae"/>
    <w:uiPriority w:val="59"/>
    <w:rsid w:val="009E0FCE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樣式1"/>
    <w:basedOn w:val="af9"/>
    <w:link w:val="1c"/>
    <w:qFormat/>
    <w:rsid w:val="007F182C"/>
    <w:pPr>
      <w:numPr>
        <w:numId w:val="1"/>
      </w:numPr>
      <w:tabs>
        <w:tab w:val="left" w:pos="1276"/>
      </w:tabs>
      <w:autoSpaceDE w:val="0"/>
      <w:spacing w:before="120" w:line="520" w:lineRule="exact"/>
      <w:ind w:leftChars="0" w:left="0"/>
      <w:jc w:val="both"/>
    </w:pPr>
    <w:rPr>
      <w:rFonts w:eastAsia="標楷體"/>
      <w:b/>
      <w:sz w:val="32"/>
      <w:szCs w:val="32"/>
    </w:rPr>
  </w:style>
  <w:style w:type="paragraph" w:customStyle="1" w:styleId="2">
    <w:name w:val="標題2"/>
    <w:basedOn w:val="af9"/>
    <w:link w:val="25"/>
    <w:qFormat/>
    <w:rsid w:val="001B6FAA"/>
    <w:pPr>
      <w:numPr>
        <w:ilvl w:val="1"/>
        <w:numId w:val="3"/>
      </w:numPr>
      <w:autoSpaceDE w:val="0"/>
      <w:spacing w:before="120" w:line="520" w:lineRule="exact"/>
      <w:ind w:leftChars="0" w:left="0"/>
      <w:jc w:val="both"/>
    </w:pPr>
    <w:rPr>
      <w:rFonts w:eastAsia="標楷體"/>
      <w:b/>
      <w:sz w:val="36"/>
      <w:szCs w:val="36"/>
    </w:rPr>
  </w:style>
  <w:style w:type="character" w:customStyle="1" w:styleId="afa">
    <w:name w:val="清單段落 字元"/>
    <w:basedOn w:val="a0"/>
    <w:link w:val="af9"/>
    <w:uiPriority w:val="34"/>
    <w:rsid w:val="007F182C"/>
    <w:rPr>
      <w:kern w:val="2"/>
      <w:sz w:val="24"/>
      <w:szCs w:val="24"/>
    </w:rPr>
  </w:style>
  <w:style w:type="character" w:customStyle="1" w:styleId="1c">
    <w:name w:val="樣式1 字元"/>
    <w:basedOn w:val="afa"/>
    <w:link w:val="10"/>
    <w:rsid w:val="007F182C"/>
    <w:rPr>
      <w:rFonts w:eastAsia="標楷體"/>
      <w:b/>
      <w:kern w:val="2"/>
      <w:sz w:val="32"/>
      <w:szCs w:val="32"/>
    </w:rPr>
  </w:style>
  <w:style w:type="paragraph" w:customStyle="1" w:styleId="3">
    <w:name w:val="標題3"/>
    <w:basedOn w:val="2"/>
    <w:link w:val="35"/>
    <w:qFormat/>
    <w:rsid w:val="002A49BF"/>
    <w:pPr>
      <w:numPr>
        <w:ilvl w:val="2"/>
      </w:numPr>
      <w:tabs>
        <w:tab w:val="left" w:pos="1701"/>
      </w:tabs>
    </w:pPr>
    <w:rPr>
      <w:sz w:val="32"/>
      <w:szCs w:val="32"/>
    </w:rPr>
  </w:style>
  <w:style w:type="character" w:customStyle="1" w:styleId="25">
    <w:name w:val="標題2 字元"/>
    <w:basedOn w:val="afa"/>
    <w:link w:val="2"/>
    <w:rsid w:val="001B6FAA"/>
    <w:rPr>
      <w:rFonts w:eastAsia="標楷體"/>
      <w:b/>
      <w:kern w:val="2"/>
      <w:sz w:val="36"/>
      <w:szCs w:val="36"/>
    </w:rPr>
  </w:style>
  <w:style w:type="paragraph" w:customStyle="1" w:styleId="42">
    <w:name w:val="標題4"/>
    <w:basedOn w:val="3"/>
    <w:link w:val="43"/>
    <w:qFormat/>
    <w:rsid w:val="001F78C8"/>
    <w:pPr>
      <w:numPr>
        <w:ilvl w:val="0"/>
        <w:numId w:val="0"/>
      </w:numPr>
    </w:pPr>
  </w:style>
  <w:style w:type="character" w:customStyle="1" w:styleId="35">
    <w:name w:val="標題3 字元"/>
    <w:basedOn w:val="1c"/>
    <w:link w:val="3"/>
    <w:rsid w:val="002A49BF"/>
    <w:rPr>
      <w:rFonts w:eastAsia="標楷體"/>
      <w:b/>
      <w:kern w:val="2"/>
      <w:sz w:val="32"/>
      <w:szCs w:val="32"/>
    </w:rPr>
  </w:style>
  <w:style w:type="paragraph" w:customStyle="1" w:styleId="1">
    <w:name w:val="標題1"/>
    <w:basedOn w:val="10"/>
    <w:link w:val="1d"/>
    <w:qFormat/>
    <w:rsid w:val="001B6FAA"/>
    <w:pPr>
      <w:numPr>
        <w:numId w:val="2"/>
      </w:numPr>
      <w:tabs>
        <w:tab w:val="clear" w:pos="1276"/>
      </w:tabs>
    </w:pPr>
    <w:rPr>
      <w:b w:val="0"/>
      <w:sz w:val="40"/>
      <w:szCs w:val="40"/>
    </w:rPr>
  </w:style>
  <w:style w:type="character" w:customStyle="1" w:styleId="43">
    <w:name w:val="標題4 字元"/>
    <w:basedOn w:val="a0"/>
    <w:link w:val="42"/>
    <w:rsid w:val="001F78C8"/>
    <w:rPr>
      <w:rFonts w:eastAsia="標楷體"/>
      <w:b/>
      <w:kern w:val="2"/>
      <w:sz w:val="32"/>
      <w:szCs w:val="32"/>
    </w:rPr>
  </w:style>
  <w:style w:type="character" w:customStyle="1" w:styleId="1d">
    <w:name w:val="標題1 字元"/>
    <w:basedOn w:val="1c"/>
    <w:link w:val="1"/>
    <w:rsid w:val="001B6FAA"/>
    <w:rPr>
      <w:rFonts w:eastAsia="標楷體"/>
      <w:b w:val="0"/>
      <w:kern w:val="2"/>
      <w:sz w:val="40"/>
      <w:szCs w:val="40"/>
    </w:rPr>
  </w:style>
  <w:style w:type="paragraph" w:customStyle="1" w:styleId="1e">
    <w:name w:val="專題樣式1"/>
    <w:basedOn w:val="af9"/>
    <w:link w:val="1f"/>
    <w:qFormat/>
    <w:rsid w:val="001A0556"/>
    <w:pPr>
      <w:tabs>
        <w:tab w:val="left" w:pos="709"/>
      </w:tabs>
      <w:spacing w:beforeLines="100" w:before="240" w:line="500" w:lineRule="exact"/>
      <w:ind w:leftChars="0" w:left="0"/>
    </w:pPr>
    <w:rPr>
      <w:rFonts w:ascii="標楷體" w:eastAsia="標楷體" w:hAnsi="標楷體" w:cstheme="minorBidi"/>
      <w:b/>
      <w:sz w:val="32"/>
      <w:szCs w:val="32"/>
    </w:rPr>
  </w:style>
  <w:style w:type="character" w:customStyle="1" w:styleId="1f">
    <w:name w:val="專題樣式1 字元"/>
    <w:basedOn w:val="afa"/>
    <w:link w:val="1e"/>
    <w:rsid w:val="001A0556"/>
    <w:rPr>
      <w:rFonts w:ascii="標楷體" w:eastAsia="標楷體" w:hAnsi="標楷體" w:cstheme="minorBidi"/>
      <w:b/>
      <w:kern w:val="2"/>
      <w:sz w:val="32"/>
      <w:szCs w:val="32"/>
    </w:rPr>
  </w:style>
  <w:style w:type="paragraph" w:styleId="1f0">
    <w:name w:val="toc 1"/>
    <w:basedOn w:val="a"/>
    <w:next w:val="a"/>
    <w:autoRedefine/>
    <w:uiPriority w:val="39"/>
    <w:unhideWhenUsed/>
    <w:qFormat/>
    <w:rsid w:val="00386EF7"/>
    <w:pPr>
      <w:widowControl/>
      <w:tabs>
        <w:tab w:val="left" w:pos="567"/>
        <w:tab w:val="right" w:leader="dot" w:pos="8296"/>
      </w:tabs>
      <w:adjustRightInd w:val="0"/>
      <w:snapToGrid w:val="0"/>
      <w:spacing w:beforeLines="50" w:before="180" w:line="360" w:lineRule="exact"/>
    </w:pPr>
    <w:rPr>
      <w:rFonts w:ascii="標楷體" w:eastAsia="標楷體" w:hAnsi="標楷體" w:cstheme="minorBidi"/>
      <w:b/>
      <w:noProof/>
      <w:kern w:val="0"/>
      <w:sz w:val="28"/>
      <w:szCs w:val="28"/>
    </w:rPr>
  </w:style>
  <w:style w:type="paragraph" w:styleId="26">
    <w:name w:val="toc 2"/>
    <w:basedOn w:val="a"/>
    <w:next w:val="a"/>
    <w:autoRedefine/>
    <w:uiPriority w:val="39"/>
    <w:unhideWhenUsed/>
    <w:qFormat/>
    <w:rsid w:val="003B3845"/>
    <w:pPr>
      <w:widowControl/>
      <w:tabs>
        <w:tab w:val="right" w:leader="dot" w:pos="8296"/>
      </w:tabs>
      <w:adjustRightInd w:val="0"/>
      <w:snapToGrid w:val="0"/>
      <w:spacing w:before="50" w:line="360" w:lineRule="exact"/>
      <w:ind w:leftChars="101" w:left="242"/>
    </w:pPr>
    <w:rPr>
      <w:rFonts w:ascii="微軟正黑體" w:eastAsia="微軟正黑體" w:hAnsi="微軟正黑體" w:cstheme="minorBidi"/>
      <w:bCs/>
      <w:noProof/>
      <w:kern w:val="0"/>
      <w:sz w:val="28"/>
      <w:szCs w:val="28"/>
    </w:rPr>
  </w:style>
  <w:style w:type="paragraph" w:styleId="aff4">
    <w:name w:val="TOC Heading"/>
    <w:basedOn w:val="11"/>
    <w:next w:val="a"/>
    <w:uiPriority w:val="39"/>
    <w:semiHidden/>
    <w:unhideWhenUsed/>
    <w:qFormat/>
    <w:rsid w:val="00430C5A"/>
    <w:pPr>
      <w:keepLines/>
      <w:widowControl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f1">
    <w:name w:val="字元 字元1 字元 字元 字元 字元 字元 字元 字元 字元 字元 字元 字元 字元"/>
    <w:basedOn w:val="a"/>
    <w:uiPriority w:val="99"/>
    <w:rsid w:val="00F801F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numbering" w:customStyle="1" w:styleId="1f2">
    <w:name w:val="無清單1"/>
    <w:next w:val="a2"/>
    <w:uiPriority w:val="99"/>
    <w:semiHidden/>
    <w:unhideWhenUsed/>
    <w:rsid w:val="00DC506C"/>
  </w:style>
  <w:style w:type="table" w:customStyle="1" w:styleId="100">
    <w:name w:val="表格格線10"/>
    <w:basedOn w:val="a1"/>
    <w:next w:val="ae"/>
    <w:uiPriority w:val="59"/>
    <w:rsid w:val="00DC506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日期 字元"/>
    <w:basedOn w:val="a0"/>
    <w:link w:val="af3"/>
    <w:uiPriority w:val="99"/>
    <w:rsid w:val="00DC506C"/>
    <w:rPr>
      <w:kern w:val="2"/>
      <w:sz w:val="24"/>
      <w:szCs w:val="24"/>
    </w:rPr>
  </w:style>
  <w:style w:type="numbering" w:customStyle="1" w:styleId="27">
    <w:name w:val="無清單2"/>
    <w:next w:val="a2"/>
    <w:uiPriority w:val="99"/>
    <w:semiHidden/>
    <w:unhideWhenUsed/>
    <w:rsid w:val="001F22C0"/>
  </w:style>
  <w:style w:type="table" w:customStyle="1" w:styleId="130">
    <w:name w:val="表格格線13"/>
    <w:basedOn w:val="a1"/>
    <w:next w:val="ae"/>
    <w:rsid w:val="001F22C0"/>
    <w:pPr>
      <w:widowControl w:val="0"/>
      <w:spacing w:line="240" w:lineRule="exact"/>
    </w:pPr>
    <w:rPr>
      <w:rFonts w:eastAsia="微軟正黑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e"/>
    <w:uiPriority w:val="59"/>
    <w:rsid w:val="001F22C0"/>
    <w:pPr>
      <w:spacing w:line="240" w:lineRule="exact"/>
    </w:pPr>
    <w:rPr>
      <w:rFonts w:ascii="Calibri" w:eastAsia="微軟正黑體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格格線21"/>
    <w:basedOn w:val="a1"/>
    <w:next w:val="ae"/>
    <w:uiPriority w:val="59"/>
    <w:rsid w:val="001F22C0"/>
    <w:pPr>
      <w:spacing w:line="240" w:lineRule="exact"/>
    </w:pPr>
    <w:rPr>
      <w:rFonts w:ascii="Calibri" w:eastAsia="微軟正黑體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1"/>
    <w:next w:val="ae"/>
    <w:uiPriority w:val="59"/>
    <w:rsid w:val="001F22C0"/>
    <w:pPr>
      <w:spacing w:line="240" w:lineRule="exact"/>
    </w:pPr>
    <w:rPr>
      <w:rFonts w:ascii="Calibri" w:eastAsia="微軟正黑體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字元 字元5"/>
    <w:basedOn w:val="a"/>
    <w:uiPriority w:val="99"/>
    <w:semiHidden/>
    <w:rsid w:val="001F22C0"/>
    <w:pPr>
      <w:widowControl/>
      <w:spacing w:after="160" w:line="240" w:lineRule="exact"/>
    </w:pPr>
    <w:rPr>
      <w:rFonts w:ascii="Verdana" w:eastAsia="Times New Roman" w:hAnsi="Verdana" w:cs="Mangal"/>
      <w:kern w:val="0"/>
      <w:sz w:val="20"/>
      <w:szCs w:val="20"/>
      <w:lang w:eastAsia="en-US" w:bidi="hi-IN"/>
    </w:rPr>
  </w:style>
  <w:style w:type="table" w:customStyle="1" w:styleId="51">
    <w:name w:val="表格格線51"/>
    <w:basedOn w:val="a1"/>
    <w:next w:val="ae"/>
    <w:uiPriority w:val="59"/>
    <w:rsid w:val="001F22C0"/>
    <w:pPr>
      <w:spacing w:line="240" w:lineRule="exact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1"/>
    <w:basedOn w:val="a1"/>
    <w:next w:val="ae"/>
    <w:uiPriority w:val="59"/>
    <w:rsid w:val="001F22C0"/>
    <w:pPr>
      <w:spacing w:line="240" w:lineRule="exact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1">
    <w:name w:val="字元 字元1 字元 字元 字元 字元 字元 字元 字元 字元 字元 字元 字元 字元2"/>
    <w:basedOn w:val="a"/>
    <w:uiPriority w:val="99"/>
    <w:rsid w:val="001F22C0"/>
    <w:pPr>
      <w:widowControl/>
      <w:spacing w:after="160" w:line="240" w:lineRule="exact"/>
    </w:pPr>
    <w:rPr>
      <w:rFonts w:ascii="Tahoma" w:eastAsia="微軟正黑體" w:hAnsi="Tahoma"/>
      <w:kern w:val="0"/>
      <w:sz w:val="20"/>
      <w:szCs w:val="20"/>
      <w:lang w:eastAsia="en-US"/>
    </w:rPr>
  </w:style>
  <w:style w:type="table" w:customStyle="1" w:styleId="71">
    <w:name w:val="表格格線71"/>
    <w:basedOn w:val="a1"/>
    <w:next w:val="ae"/>
    <w:uiPriority w:val="59"/>
    <w:rsid w:val="001F22C0"/>
    <w:pPr>
      <w:spacing w:line="240" w:lineRule="exact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1"/>
    <w:basedOn w:val="a1"/>
    <w:next w:val="ae"/>
    <w:uiPriority w:val="59"/>
    <w:rsid w:val="001F22C0"/>
    <w:pPr>
      <w:spacing w:line="240" w:lineRule="exact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表格格線121"/>
    <w:basedOn w:val="a1"/>
    <w:next w:val="ae"/>
    <w:rsid w:val="001F22C0"/>
    <w:pPr>
      <w:widowControl w:val="0"/>
      <w:spacing w:line="240" w:lineRule="exact"/>
    </w:pPr>
    <w:rPr>
      <w:rFonts w:eastAsia="微軟正黑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字元 字元 字元2"/>
    <w:basedOn w:val="a"/>
    <w:uiPriority w:val="99"/>
    <w:rsid w:val="001F22C0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20">
    <w:name w:val="字元 字元3 字元 字元 字元2"/>
    <w:basedOn w:val="a"/>
    <w:uiPriority w:val="99"/>
    <w:rsid w:val="001F22C0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122">
    <w:name w:val="字元 字元 字元1 字元 字元 字元 字元 字元 字元 字元 字元2"/>
    <w:basedOn w:val="a"/>
    <w:uiPriority w:val="99"/>
    <w:semiHidden/>
    <w:rsid w:val="001F22C0"/>
    <w:pPr>
      <w:widowControl/>
      <w:spacing w:after="160" w:line="240" w:lineRule="exact"/>
    </w:pPr>
    <w:rPr>
      <w:rFonts w:ascii="Verdana" w:eastAsia="Times New Roman" w:hAnsi="Verdana" w:cs="Mangal"/>
      <w:kern w:val="0"/>
      <w:sz w:val="20"/>
      <w:szCs w:val="20"/>
      <w:lang w:eastAsia="en-US" w:bidi="hi-IN"/>
    </w:rPr>
  </w:style>
  <w:style w:type="paragraph" w:customStyle="1" w:styleId="123">
    <w:name w:val="字元 字元12"/>
    <w:basedOn w:val="a"/>
    <w:uiPriority w:val="99"/>
    <w:semiHidden/>
    <w:rsid w:val="001F22C0"/>
    <w:pPr>
      <w:widowControl/>
      <w:spacing w:after="160" w:line="240" w:lineRule="exact"/>
    </w:pPr>
    <w:rPr>
      <w:rFonts w:ascii="Verdana" w:eastAsia="Times New Roman" w:hAnsi="Verdana" w:cs="Mangal"/>
      <w:kern w:val="0"/>
      <w:sz w:val="20"/>
      <w:szCs w:val="20"/>
      <w:lang w:eastAsia="en-US" w:bidi="hi-IN"/>
    </w:rPr>
  </w:style>
  <w:style w:type="paragraph" w:customStyle="1" w:styleId="44">
    <w:name w:val="字元 字元4"/>
    <w:basedOn w:val="a"/>
    <w:uiPriority w:val="99"/>
    <w:rsid w:val="001F22C0"/>
    <w:pPr>
      <w:widowControl/>
      <w:spacing w:after="160" w:line="240" w:lineRule="exact"/>
    </w:pPr>
    <w:rPr>
      <w:rFonts w:ascii="Tahoma" w:eastAsia="微軟正黑體" w:hAnsi="Tahoma"/>
      <w:kern w:val="0"/>
      <w:sz w:val="20"/>
      <w:szCs w:val="20"/>
      <w:lang w:eastAsia="en-US"/>
    </w:rPr>
  </w:style>
  <w:style w:type="paragraph" w:customStyle="1" w:styleId="220">
    <w:name w:val="字元 字元22"/>
    <w:basedOn w:val="a"/>
    <w:uiPriority w:val="99"/>
    <w:rsid w:val="001F22C0"/>
    <w:pPr>
      <w:widowControl/>
      <w:spacing w:after="160" w:line="240" w:lineRule="exact"/>
    </w:pPr>
    <w:rPr>
      <w:rFonts w:ascii="Tahoma" w:eastAsia="微軟正黑體" w:hAnsi="Tahoma"/>
      <w:kern w:val="0"/>
      <w:sz w:val="20"/>
      <w:szCs w:val="20"/>
      <w:lang w:eastAsia="en-US"/>
    </w:rPr>
  </w:style>
  <w:style w:type="table" w:customStyle="1" w:styleId="91">
    <w:name w:val="表格格線91"/>
    <w:basedOn w:val="a1"/>
    <w:next w:val="ae"/>
    <w:uiPriority w:val="59"/>
    <w:rsid w:val="001F22C0"/>
    <w:pPr>
      <w:spacing w:line="240" w:lineRule="exact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字元 字元1 字元 字元 字元 字元 字元 字元 字元 字元 字元 字元 字元 字元1"/>
    <w:basedOn w:val="a"/>
    <w:uiPriority w:val="99"/>
    <w:rsid w:val="001F22C0"/>
    <w:pPr>
      <w:widowControl/>
      <w:spacing w:after="160" w:line="240" w:lineRule="exact"/>
    </w:pPr>
    <w:rPr>
      <w:rFonts w:ascii="Tahoma" w:eastAsia="微軟正黑體" w:hAnsi="Tahoma"/>
      <w:kern w:val="0"/>
      <w:sz w:val="20"/>
      <w:szCs w:val="20"/>
      <w:lang w:eastAsia="en-US"/>
    </w:rPr>
  </w:style>
  <w:style w:type="numbering" w:customStyle="1" w:styleId="113">
    <w:name w:val="無清單11"/>
    <w:next w:val="a2"/>
    <w:uiPriority w:val="99"/>
    <w:semiHidden/>
    <w:unhideWhenUsed/>
    <w:rsid w:val="001F22C0"/>
  </w:style>
  <w:style w:type="table" w:customStyle="1" w:styleId="101">
    <w:name w:val="表格格線101"/>
    <w:basedOn w:val="a1"/>
    <w:next w:val="ae"/>
    <w:uiPriority w:val="59"/>
    <w:rsid w:val="001F22C0"/>
    <w:pPr>
      <w:spacing w:line="240" w:lineRule="exact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標題 1 字元"/>
    <w:basedOn w:val="a0"/>
    <w:link w:val="11"/>
    <w:rsid w:val="001F22C0"/>
    <w:rPr>
      <w:rFonts w:ascii="Arial" w:hAnsi="Arial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rsid w:val="001F22C0"/>
    <w:rPr>
      <w:rFonts w:ascii="Arial" w:hAnsi="Arial"/>
      <w:b/>
      <w:bCs/>
      <w:kern w:val="2"/>
      <w:sz w:val="48"/>
      <w:szCs w:val="48"/>
    </w:rPr>
  </w:style>
  <w:style w:type="paragraph" w:customStyle="1" w:styleId="1f3">
    <w:name w:val="字元 字元 字元1"/>
    <w:basedOn w:val="a"/>
    <w:uiPriority w:val="99"/>
    <w:rsid w:val="001F22C0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character" w:customStyle="1" w:styleId="z-0">
    <w:name w:val="z-表單的頂端 字元"/>
    <w:basedOn w:val="a0"/>
    <w:link w:val="z-"/>
    <w:rsid w:val="001F22C0"/>
    <w:rPr>
      <w:rFonts w:ascii="Arial" w:hAnsi="Arial" w:cs="新細明體"/>
      <w:vanish/>
      <w:sz w:val="16"/>
      <w:szCs w:val="16"/>
      <w:lang w:bidi="hi-IN"/>
    </w:rPr>
  </w:style>
  <w:style w:type="character" w:customStyle="1" w:styleId="z-2">
    <w:name w:val="z-表單的底部 字元"/>
    <w:basedOn w:val="a0"/>
    <w:link w:val="z-1"/>
    <w:rsid w:val="001F22C0"/>
    <w:rPr>
      <w:rFonts w:ascii="Arial" w:hAnsi="Arial" w:cs="新細明體"/>
      <w:vanish/>
      <w:sz w:val="16"/>
      <w:szCs w:val="16"/>
      <w:lang w:bidi="hi-IN"/>
    </w:rPr>
  </w:style>
  <w:style w:type="paragraph" w:customStyle="1" w:styleId="311">
    <w:name w:val="字元 字元3 字元 字元 字元1"/>
    <w:basedOn w:val="a"/>
    <w:uiPriority w:val="99"/>
    <w:rsid w:val="001F22C0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114">
    <w:name w:val="字元 字元 字元1 字元 字元 字元 字元 字元 字元 字元 字元1"/>
    <w:basedOn w:val="a"/>
    <w:uiPriority w:val="99"/>
    <w:semiHidden/>
    <w:rsid w:val="001F22C0"/>
    <w:pPr>
      <w:widowControl/>
      <w:spacing w:after="160" w:line="240" w:lineRule="exact"/>
    </w:pPr>
    <w:rPr>
      <w:rFonts w:ascii="Verdana" w:eastAsia="Times New Roman" w:hAnsi="Verdana" w:cs="Mangal"/>
      <w:kern w:val="0"/>
      <w:sz w:val="20"/>
      <w:szCs w:val="20"/>
      <w:lang w:eastAsia="en-US" w:bidi="hi-IN"/>
    </w:rPr>
  </w:style>
  <w:style w:type="character" w:customStyle="1" w:styleId="af0">
    <w:name w:val="本文縮排 字元"/>
    <w:basedOn w:val="a0"/>
    <w:link w:val="af"/>
    <w:uiPriority w:val="99"/>
    <w:rsid w:val="001F22C0"/>
    <w:rPr>
      <w:kern w:val="2"/>
      <w:sz w:val="24"/>
      <w:szCs w:val="24"/>
    </w:rPr>
  </w:style>
  <w:style w:type="character" w:customStyle="1" w:styleId="HTML0">
    <w:name w:val="HTML 預設格式 字元"/>
    <w:basedOn w:val="a0"/>
    <w:link w:val="HTML"/>
    <w:rsid w:val="001F22C0"/>
    <w:rPr>
      <w:rFonts w:ascii="細明體" w:eastAsia="細明體" w:hAnsi="細明體" w:cs="細明體"/>
      <w:color w:val="000000"/>
      <w:sz w:val="24"/>
      <w:szCs w:val="24"/>
      <w:lang w:bidi="hi-IN"/>
    </w:rPr>
  </w:style>
  <w:style w:type="paragraph" w:customStyle="1" w:styleId="115">
    <w:name w:val="字元 字元11"/>
    <w:basedOn w:val="a"/>
    <w:uiPriority w:val="99"/>
    <w:semiHidden/>
    <w:rsid w:val="001F22C0"/>
    <w:pPr>
      <w:widowControl/>
      <w:spacing w:after="160" w:line="240" w:lineRule="exact"/>
    </w:pPr>
    <w:rPr>
      <w:rFonts w:ascii="Verdana" w:eastAsia="Times New Roman" w:hAnsi="Verdana" w:cs="Mangal"/>
      <w:kern w:val="0"/>
      <w:sz w:val="20"/>
      <w:szCs w:val="20"/>
      <w:lang w:eastAsia="en-US" w:bidi="hi-IN"/>
    </w:rPr>
  </w:style>
  <w:style w:type="paragraph" w:customStyle="1" w:styleId="36">
    <w:name w:val="字元 字元3"/>
    <w:basedOn w:val="a"/>
    <w:uiPriority w:val="99"/>
    <w:rsid w:val="001F22C0"/>
    <w:pPr>
      <w:widowControl/>
      <w:spacing w:after="160" w:line="240" w:lineRule="exact"/>
    </w:pPr>
    <w:rPr>
      <w:rFonts w:ascii="Tahoma" w:eastAsia="微軟正黑體" w:hAnsi="Tahoma"/>
      <w:kern w:val="0"/>
      <w:sz w:val="20"/>
      <w:szCs w:val="20"/>
      <w:lang w:eastAsia="en-US"/>
    </w:rPr>
  </w:style>
  <w:style w:type="paragraph" w:customStyle="1" w:styleId="212">
    <w:name w:val="字元 字元21"/>
    <w:basedOn w:val="a"/>
    <w:uiPriority w:val="99"/>
    <w:rsid w:val="001F22C0"/>
    <w:pPr>
      <w:widowControl/>
      <w:spacing w:after="160" w:line="240" w:lineRule="exact"/>
    </w:pPr>
    <w:rPr>
      <w:rFonts w:ascii="Tahoma" w:eastAsia="微軟正黑體" w:hAnsi="Tahoma"/>
      <w:kern w:val="0"/>
      <w:sz w:val="20"/>
      <w:szCs w:val="20"/>
      <w:lang w:eastAsia="en-US"/>
    </w:rPr>
  </w:style>
  <w:style w:type="numbering" w:customStyle="1" w:styleId="213">
    <w:name w:val="無清單21"/>
    <w:next w:val="a2"/>
    <w:uiPriority w:val="99"/>
    <w:semiHidden/>
    <w:unhideWhenUsed/>
    <w:rsid w:val="001F22C0"/>
  </w:style>
  <w:style w:type="table" w:customStyle="1" w:styleId="131">
    <w:name w:val="表格格線131"/>
    <w:basedOn w:val="a1"/>
    <w:next w:val="ae"/>
    <w:rsid w:val="001F22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格格線141"/>
    <w:basedOn w:val="a1"/>
    <w:next w:val="ae"/>
    <w:uiPriority w:val="59"/>
    <w:rsid w:val="001F22C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格格線211"/>
    <w:basedOn w:val="a1"/>
    <w:next w:val="ae"/>
    <w:uiPriority w:val="59"/>
    <w:rsid w:val="001F22C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表格格線311"/>
    <w:basedOn w:val="a1"/>
    <w:next w:val="ae"/>
    <w:uiPriority w:val="59"/>
    <w:rsid w:val="001F22C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格格線511"/>
    <w:basedOn w:val="a1"/>
    <w:next w:val="ae"/>
    <w:uiPriority w:val="59"/>
    <w:rsid w:val="001F22C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格格線1111"/>
    <w:basedOn w:val="a1"/>
    <w:next w:val="ae"/>
    <w:uiPriority w:val="59"/>
    <w:rsid w:val="001F22C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表格格線711"/>
    <w:basedOn w:val="a1"/>
    <w:next w:val="ae"/>
    <w:uiPriority w:val="59"/>
    <w:rsid w:val="001F22C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表格格線811"/>
    <w:basedOn w:val="a1"/>
    <w:next w:val="ae"/>
    <w:uiPriority w:val="59"/>
    <w:rsid w:val="001F22C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表格格線1211"/>
    <w:basedOn w:val="a1"/>
    <w:next w:val="ae"/>
    <w:rsid w:val="001F22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表格格線911"/>
    <w:basedOn w:val="a1"/>
    <w:next w:val="ae"/>
    <w:uiPriority w:val="59"/>
    <w:rsid w:val="001F22C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無清單111"/>
    <w:next w:val="a2"/>
    <w:uiPriority w:val="99"/>
    <w:semiHidden/>
    <w:unhideWhenUsed/>
    <w:rsid w:val="001F22C0"/>
  </w:style>
  <w:style w:type="table" w:customStyle="1" w:styleId="1011">
    <w:name w:val="表格格線1011"/>
    <w:basedOn w:val="a1"/>
    <w:next w:val="ae"/>
    <w:uiPriority w:val="59"/>
    <w:rsid w:val="001F22C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1"/>
    <w:next w:val="ae"/>
    <w:uiPriority w:val="59"/>
    <w:rsid w:val="001F22C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annotation reference"/>
    <w:basedOn w:val="a0"/>
    <w:uiPriority w:val="99"/>
    <w:semiHidden/>
    <w:unhideWhenUsed/>
    <w:rsid w:val="005334B6"/>
    <w:rPr>
      <w:sz w:val="18"/>
      <w:szCs w:val="18"/>
    </w:rPr>
  </w:style>
  <w:style w:type="paragraph" w:styleId="aff6">
    <w:name w:val="annotation text"/>
    <w:basedOn w:val="a"/>
    <w:link w:val="aff7"/>
    <w:uiPriority w:val="99"/>
    <w:semiHidden/>
    <w:unhideWhenUsed/>
    <w:rsid w:val="005334B6"/>
  </w:style>
  <w:style w:type="character" w:customStyle="1" w:styleId="aff7">
    <w:name w:val="註解文字 字元"/>
    <w:basedOn w:val="a0"/>
    <w:link w:val="aff6"/>
    <w:uiPriority w:val="99"/>
    <w:semiHidden/>
    <w:rsid w:val="005334B6"/>
    <w:rPr>
      <w:kern w:val="2"/>
      <w:sz w:val="24"/>
      <w:szCs w:val="24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5334B6"/>
    <w:rPr>
      <w:b/>
      <w:bCs/>
    </w:rPr>
  </w:style>
  <w:style w:type="character" w:customStyle="1" w:styleId="aff9">
    <w:name w:val="註解主旨 字元"/>
    <w:basedOn w:val="aff7"/>
    <w:link w:val="aff8"/>
    <w:uiPriority w:val="99"/>
    <w:semiHidden/>
    <w:rsid w:val="005334B6"/>
    <w:rPr>
      <w:b/>
      <w:bCs/>
      <w:kern w:val="2"/>
      <w:sz w:val="24"/>
      <w:szCs w:val="24"/>
    </w:rPr>
  </w:style>
  <w:style w:type="table" w:customStyle="1" w:styleId="151">
    <w:name w:val="表格格線151"/>
    <w:basedOn w:val="a1"/>
    <w:next w:val="ae"/>
    <w:uiPriority w:val="59"/>
    <w:rsid w:val="003B719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endnote text"/>
    <w:basedOn w:val="a"/>
    <w:link w:val="affb"/>
    <w:uiPriority w:val="99"/>
    <w:semiHidden/>
    <w:unhideWhenUsed/>
    <w:rsid w:val="00981221"/>
    <w:pPr>
      <w:snapToGrid w:val="0"/>
    </w:pPr>
  </w:style>
  <w:style w:type="character" w:customStyle="1" w:styleId="affb">
    <w:name w:val="章節附註文字 字元"/>
    <w:basedOn w:val="a0"/>
    <w:link w:val="affa"/>
    <w:uiPriority w:val="99"/>
    <w:semiHidden/>
    <w:rsid w:val="00981221"/>
    <w:rPr>
      <w:kern w:val="2"/>
      <w:sz w:val="24"/>
      <w:szCs w:val="24"/>
    </w:rPr>
  </w:style>
  <w:style w:type="character" w:styleId="affc">
    <w:name w:val="endnote reference"/>
    <w:basedOn w:val="a0"/>
    <w:uiPriority w:val="99"/>
    <w:semiHidden/>
    <w:unhideWhenUsed/>
    <w:rsid w:val="00981221"/>
    <w:rPr>
      <w:vertAlign w:val="superscript"/>
    </w:rPr>
  </w:style>
  <w:style w:type="table" w:customStyle="1" w:styleId="1311">
    <w:name w:val="表格格線1311"/>
    <w:basedOn w:val="a1"/>
    <w:next w:val="ae"/>
    <w:rsid w:val="00AE41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1"/>
    <w:next w:val="ae"/>
    <w:uiPriority w:val="59"/>
    <w:rsid w:val="00C4181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格格線16"/>
    <w:basedOn w:val="a1"/>
    <w:next w:val="ae"/>
    <w:uiPriority w:val="59"/>
    <w:rsid w:val="00D745B1"/>
    <w:rPr>
      <w:kern w:val="2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1a0">
    <w:name w:val="k1a 字元"/>
    <w:basedOn w:val="a0"/>
    <w:link w:val="k1a"/>
    <w:rsid w:val="00D745B1"/>
    <w:rPr>
      <w:rFonts w:eastAsia="標楷體"/>
      <w:sz w:val="28"/>
    </w:rPr>
  </w:style>
  <w:style w:type="paragraph" w:customStyle="1" w:styleId="k00t18">
    <w:name w:val="k00t18"/>
    <w:basedOn w:val="a"/>
    <w:uiPriority w:val="99"/>
    <w:rsid w:val="00D745B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240" w:after="240" w:line="460" w:lineRule="exact"/>
      <w:jc w:val="center"/>
      <w:textAlignment w:val="baseline"/>
    </w:pPr>
    <w:rPr>
      <w:rFonts w:eastAsia="文鼎中楷" w:hAnsi="Clarendon Condensed"/>
      <w:kern w:val="0"/>
      <w:sz w:val="36"/>
      <w:szCs w:val="20"/>
    </w:rPr>
  </w:style>
  <w:style w:type="table" w:styleId="-1">
    <w:name w:val="Light Shading Accent 1"/>
    <w:basedOn w:val="a1"/>
    <w:uiPriority w:val="60"/>
    <w:rsid w:val="00D745B1"/>
    <w:rPr>
      <w:rFonts w:asciiTheme="minorHAnsi" w:eastAsiaTheme="minorEastAsia" w:hAnsiTheme="minorHAnsi" w:cstheme="minorBidi"/>
      <w:color w:val="365F91" w:themeColor="accent1" w:themeShade="BF"/>
      <w:kern w:val="2"/>
      <w:sz w:val="24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37">
    <w:name w:val="toc 3"/>
    <w:basedOn w:val="a"/>
    <w:next w:val="a"/>
    <w:autoRedefine/>
    <w:uiPriority w:val="39"/>
    <w:semiHidden/>
    <w:unhideWhenUsed/>
    <w:qFormat/>
    <w:rsid w:val="006F111A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customStyle="1" w:styleId="70">
    <w:name w:val="字元 字元7"/>
    <w:basedOn w:val="a"/>
    <w:uiPriority w:val="99"/>
    <w:semiHidden/>
    <w:rsid w:val="006D728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42">
    <w:name w:val="字元 字元1 字元 字元 字元 字元 字元 字元 字元 字元 字元 字元 字元 字元4"/>
    <w:basedOn w:val="a"/>
    <w:uiPriority w:val="99"/>
    <w:rsid w:val="006D728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38">
    <w:name w:val="字元 字元 字元3"/>
    <w:basedOn w:val="a"/>
    <w:uiPriority w:val="99"/>
    <w:rsid w:val="006D7283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30">
    <w:name w:val="字元 字元3 字元 字元 字元3"/>
    <w:basedOn w:val="a"/>
    <w:uiPriority w:val="99"/>
    <w:rsid w:val="006D7283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132">
    <w:name w:val="字元 字元 字元1 字元 字元 字元 字元 字元 字元 字元 字元3"/>
    <w:basedOn w:val="a"/>
    <w:uiPriority w:val="99"/>
    <w:semiHidden/>
    <w:rsid w:val="006D728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33">
    <w:name w:val="字元 字元13"/>
    <w:basedOn w:val="a"/>
    <w:uiPriority w:val="99"/>
    <w:semiHidden/>
    <w:rsid w:val="006D728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60">
    <w:name w:val="字元 字元6"/>
    <w:basedOn w:val="a"/>
    <w:uiPriority w:val="99"/>
    <w:rsid w:val="006D728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30">
    <w:name w:val="字元 字元23"/>
    <w:basedOn w:val="a"/>
    <w:uiPriority w:val="99"/>
    <w:rsid w:val="006D728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4">
    <w:name w:val="字元 字元1 字元 字元 字元 字元 字元 字元 字元 字元 字元 字元 字元 字元3"/>
    <w:basedOn w:val="a"/>
    <w:uiPriority w:val="99"/>
    <w:rsid w:val="006D728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f10-con1">
    <w:name w:val="f10-con1"/>
    <w:basedOn w:val="a0"/>
    <w:rsid w:val="006D7283"/>
    <w:rPr>
      <w:rFonts w:ascii="Verdana" w:hAnsi="Verdana" w:hint="default"/>
      <w:color w:val="666666"/>
      <w:sz w:val="20"/>
      <w:szCs w:val="20"/>
    </w:rPr>
  </w:style>
  <w:style w:type="paragraph" w:customStyle="1" w:styleId="90">
    <w:name w:val="字元 字元9"/>
    <w:basedOn w:val="a"/>
    <w:uiPriority w:val="99"/>
    <w:semiHidden/>
    <w:rsid w:val="001F4DA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61">
    <w:name w:val="字元 字元1 字元 字元 字元 字元 字元 字元 字元 字元 字元 字元 字元 字元6"/>
    <w:basedOn w:val="a"/>
    <w:uiPriority w:val="99"/>
    <w:rsid w:val="001F4DA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45">
    <w:name w:val="字元 字元 字元4"/>
    <w:basedOn w:val="a"/>
    <w:uiPriority w:val="99"/>
    <w:rsid w:val="001F4DAB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40">
    <w:name w:val="字元 字元3 字元 字元 字元4"/>
    <w:basedOn w:val="a"/>
    <w:uiPriority w:val="99"/>
    <w:rsid w:val="001F4DAB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143">
    <w:name w:val="字元 字元 字元1 字元 字元 字元 字元 字元 字元 字元 字元4"/>
    <w:basedOn w:val="a"/>
    <w:uiPriority w:val="99"/>
    <w:semiHidden/>
    <w:rsid w:val="001F4DA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44">
    <w:name w:val="字元 字元14"/>
    <w:basedOn w:val="a"/>
    <w:uiPriority w:val="99"/>
    <w:semiHidden/>
    <w:rsid w:val="001F4DA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80">
    <w:name w:val="字元 字元8"/>
    <w:basedOn w:val="a"/>
    <w:uiPriority w:val="99"/>
    <w:rsid w:val="001F4DA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40">
    <w:name w:val="字元 字元24"/>
    <w:basedOn w:val="a"/>
    <w:uiPriority w:val="99"/>
    <w:rsid w:val="001F4DA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3">
    <w:name w:val="字元 字元1 字元 字元 字元 字元 字元 字元 字元 字元 字元 字元 字元 字元5"/>
    <w:basedOn w:val="a"/>
    <w:uiPriority w:val="99"/>
    <w:rsid w:val="001F4DA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customStyle="1" w:styleId="170">
    <w:name w:val="表格格線17"/>
    <w:basedOn w:val="a1"/>
    <w:next w:val="ae"/>
    <w:uiPriority w:val="59"/>
    <w:rsid w:val="00CD596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表格格線18"/>
    <w:basedOn w:val="a1"/>
    <w:next w:val="ae"/>
    <w:uiPriority w:val="59"/>
    <w:rsid w:val="00CD596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表格格線19"/>
    <w:basedOn w:val="a1"/>
    <w:next w:val="ae"/>
    <w:uiPriority w:val="59"/>
    <w:rsid w:val="00CD596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e"/>
    <w:uiPriority w:val="59"/>
    <w:rsid w:val="00445FF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淺色網底 - 輔色 11"/>
    <w:basedOn w:val="a1"/>
    <w:next w:val="-1"/>
    <w:uiPriority w:val="60"/>
    <w:rsid w:val="00063AC8"/>
    <w:rPr>
      <w:rFonts w:asciiTheme="minorHAnsi" w:eastAsiaTheme="minorEastAsia" w:hAnsiTheme="minorHAnsi" w:cstheme="minorBidi"/>
      <w:color w:val="365F91" w:themeColor="accent1" w:themeShade="BF"/>
      <w:kern w:val="2"/>
      <w:sz w:val="24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F508DC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221">
    <w:name w:val="表格格線22"/>
    <w:basedOn w:val="a1"/>
    <w:next w:val="ae"/>
    <w:uiPriority w:val="59"/>
    <w:rsid w:val="009C02D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表格格線23"/>
    <w:basedOn w:val="a1"/>
    <w:next w:val="ae"/>
    <w:rsid w:val="00FA7977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215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table" w:customStyle="1" w:styleId="241">
    <w:name w:val="表格格線24"/>
    <w:basedOn w:val="a1"/>
    <w:next w:val="ae"/>
    <w:rsid w:val="003E7BB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4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3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549">
      <w:bodyDiv w:val="1"/>
      <w:marLeft w:val="0"/>
      <w:marRight w:val="0"/>
      <w:marTop w:val="2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chart" Target="charts/chart2.xml"/><Relationship Id="rId29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chart" Target="charts/chart6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23" Type="http://schemas.openxmlformats.org/officeDocument/2006/relationships/chart" Target="charts/chart5.xml"/><Relationship Id="rId28" Type="http://schemas.openxmlformats.org/officeDocument/2006/relationships/footer" Target="footer13.xml"/><Relationship Id="rId10" Type="http://schemas.openxmlformats.org/officeDocument/2006/relationships/footer" Target="footer2.xml"/><Relationship Id="rId19" Type="http://schemas.openxmlformats.org/officeDocument/2006/relationships/chart" Target="charts/chart1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chart" Target="charts/chart4.xml"/><Relationship Id="rId27" Type="http://schemas.openxmlformats.org/officeDocument/2006/relationships/footer" Target="footer12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Users\adamchen.NDC\Desktop\1061027-2&#38651;&#33126;&#26356;&#25563;\&#22823;&#38520;&#32113;&#35336;&#36039;&#26009;\&#22266;&#23450;&#36039;&#29986;&#25237;&#36039;&#21450;&#32080;&#27083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Users\adamchen.NDC\Desktop\1061027-2&#38651;&#33126;&#26356;&#25563;\&#22823;&#38520;&#32113;&#35336;&#36039;&#26009;\&#35079;&#26412;%20&#21295;&#35920;&#20013;&#22283;PMI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工作表1!$J$1</c:f>
              <c:strCache>
                <c:ptCount val="1"/>
                <c:pt idx="0">
                  <c:v>固定資產投資</c:v>
                </c:pt>
              </c:strCache>
            </c:strRef>
          </c:tx>
          <c:cat>
            <c:multiLvlStrRef>
              <c:f>工作表1!$H$10:$I$23</c:f>
              <c:multiLvlStrCache>
                <c:ptCount val="14"/>
                <c:lvl>
                  <c:pt idx="0">
                    <c:v>10</c:v>
                  </c:pt>
                  <c:pt idx="1">
                    <c:v>11</c:v>
                  </c:pt>
                  <c:pt idx="2">
                    <c:v>12</c:v>
                  </c:pt>
                  <c:pt idx="3">
                    <c:v>2</c:v>
                  </c:pt>
                  <c:pt idx="4">
                    <c:v>3</c:v>
                  </c:pt>
                  <c:pt idx="5">
                    <c:v>4</c:v>
                  </c:pt>
                  <c:pt idx="6">
                    <c:v>5</c:v>
                  </c:pt>
                  <c:pt idx="7">
                    <c:v>6</c:v>
                  </c:pt>
                  <c:pt idx="8">
                    <c:v>7</c:v>
                  </c:pt>
                  <c:pt idx="9">
                    <c:v>8</c:v>
                  </c:pt>
                  <c:pt idx="10">
                    <c:v>9</c:v>
                  </c:pt>
                  <c:pt idx="11">
                    <c:v>10</c:v>
                  </c:pt>
                  <c:pt idx="12">
                    <c:v>11</c:v>
                  </c:pt>
                  <c:pt idx="13">
                    <c:v>12</c:v>
                  </c:pt>
                </c:lvl>
                <c:lvl>
                  <c:pt idx="0">
                    <c:v>2016</c:v>
                  </c:pt>
                  <c:pt idx="3">
                    <c:v>2017</c:v>
                  </c:pt>
                </c:lvl>
              </c:multiLvlStrCache>
            </c:multiLvlStrRef>
          </c:cat>
          <c:val>
            <c:numRef>
              <c:f>工作表1!$J$10:$J$23</c:f>
              <c:numCache>
                <c:formatCode>#,##0.0_ </c:formatCode>
                <c:ptCount val="14"/>
                <c:pt idx="0">
                  <c:v>8.3000000000000007</c:v>
                </c:pt>
                <c:pt idx="1">
                  <c:v>8.3000000000000007</c:v>
                </c:pt>
                <c:pt idx="2">
                  <c:v>8.1</c:v>
                </c:pt>
                <c:pt idx="3">
                  <c:v>8.9</c:v>
                </c:pt>
                <c:pt idx="4">
                  <c:v>9.1999999999999993</c:v>
                </c:pt>
                <c:pt idx="5">
                  <c:v>8.9</c:v>
                </c:pt>
                <c:pt idx="6">
                  <c:v>8.6</c:v>
                </c:pt>
                <c:pt idx="7">
                  <c:v>8.6</c:v>
                </c:pt>
                <c:pt idx="8">
                  <c:v>8.3000000000000007</c:v>
                </c:pt>
                <c:pt idx="9">
                  <c:v>7.8</c:v>
                </c:pt>
                <c:pt idx="10">
                  <c:v>7.5</c:v>
                </c:pt>
                <c:pt idx="11" formatCode="General">
                  <c:v>7.3</c:v>
                </c:pt>
                <c:pt idx="12" formatCode="General">
                  <c:v>7.2</c:v>
                </c:pt>
                <c:pt idx="13" formatCode="General">
                  <c:v>7.2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工作表1!$K$1</c:f>
              <c:strCache>
                <c:ptCount val="1"/>
                <c:pt idx="0">
                  <c:v>製造業</c:v>
                </c:pt>
              </c:strCache>
            </c:strRef>
          </c:tx>
          <c:cat>
            <c:multiLvlStrRef>
              <c:f>工作表1!$H$10:$I$23</c:f>
              <c:multiLvlStrCache>
                <c:ptCount val="14"/>
                <c:lvl>
                  <c:pt idx="0">
                    <c:v>10</c:v>
                  </c:pt>
                  <c:pt idx="1">
                    <c:v>11</c:v>
                  </c:pt>
                  <c:pt idx="2">
                    <c:v>12</c:v>
                  </c:pt>
                  <c:pt idx="3">
                    <c:v>2</c:v>
                  </c:pt>
                  <c:pt idx="4">
                    <c:v>3</c:v>
                  </c:pt>
                  <c:pt idx="5">
                    <c:v>4</c:v>
                  </c:pt>
                  <c:pt idx="6">
                    <c:v>5</c:v>
                  </c:pt>
                  <c:pt idx="7">
                    <c:v>6</c:v>
                  </c:pt>
                  <c:pt idx="8">
                    <c:v>7</c:v>
                  </c:pt>
                  <c:pt idx="9">
                    <c:v>8</c:v>
                  </c:pt>
                  <c:pt idx="10">
                    <c:v>9</c:v>
                  </c:pt>
                  <c:pt idx="11">
                    <c:v>10</c:v>
                  </c:pt>
                  <c:pt idx="12">
                    <c:v>11</c:v>
                  </c:pt>
                  <c:pt idx="13">
                    <c:v>12</c:v>
                  </c:pt>
                </c:lvl>
                <c:lvl>
                  <c:pt idx="0">
                    <c:v>2016</c:v>
                  </c:pt>
                  <c:pt idx="3">
                    <c:v>2017</c:v>
                  </c:pt>
                </c:lvl>
              </c:multiLvlStrCache>
            </c:multiLvlStrRef>
          </c:cat>
          <c:val>
            <c:numRef>
              <c:f>工作表1!$K$10:$K$23</c:f>
              <c:numCache>
                <c:formatCode>#,##0.0_ </c:formatCode>
                <c:ptCount val="14"/>
                <c:pt idx="0">
                  <c:v>3.1</c:v>
                </c:pt>
                <c:pt idx="1">
                  <c:v>3.6</c:v>
                </c:pt>
                <c:pt idx="2">
                  <c:v>4.2</c:v>
                </c:pt>
                <c:pt idx="3">
                  <c:v>4.3</c:v>
                </c:pt>
                <c:pt idx="4">
                  <c:v>5.8</c:v>
                </c:pt>
                <c:pt idx="5">
                  <c:v>4.9000000000000004</c:v>
                </c:pt>
                <c:pt idx="6">
                  <c:v>5.0999999999999996</c:v>
                </c:pt>
                <c:pt idx="7">
                  <c:v>5.5</c:v>
                </c:pt>
                <c:pt idx="8">
                  <c:v>4.8</c:v>
                </c:pt>
                <c:pt idx="9">
                  <c:v>4.5</c:v>
                </c:pt>
                <c:pt idx="10">
                  <c:v>4.2</c:v>
                </c:pt>
                <c:pt idx="11" formatCode="General">
                  <c:v>4.0999999999999996</c:v>
                </c:pt>
                <c:pt idx="12" formatCode="General">
                  <c:v>4.0999999999999996</c:v>
                </c:pt>
                <c:pt idx="13" formatCode="General">
                  <c:v>4.8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工作表1!$L$1</c:f>
              <c:strCache>
                <c:ptCount val="1"/>
                <c:pt idx="0">
                  <c:v>基礎設施</c:v>
                </c:pt>
              </c:strCache>
            </c:strRef>
          </c:tx>
          <c:cat>
            <c:multiLvlStrRef>
              <c:f>工作表1!$H$10:$I$23</c:f>
              <c:multiLvlStrCache>
                <c:ptCount val="14"/>
                <c:lvl>
                  <c:pt idx="0">
                    <c:v>10</c:v>
                  </c:pt>
                  <c:pt idx="1">
                    <c:v>11</c:v>
                  </c:pt>
                  <c:pt idx="2">
                    <c:v>12</c:v>
                  </c:pt>
                  <c:pt idx="3">
                    <c:v>2</c:v>
                  </c:pt>
                  <c:pt idx="4">
                    <c:v>3</c:v>
                  </c:pt>
                  <c:pt idx="5">
                    <c:v>4</c:v>
                  </c:pt>
                  <c:pt idx="6">
                    <c:v>5</c:v>
                  </c:pt>
                  <c:pt idx="7">
                    <c:v>6</c:v>
                  </c:pt>
                  <c:pt idx="8">
                    <c:v>7</c:v>
                  </c:pt>
                  <c:pt idx="9">
                    <c:v>8</c:v>
                  </c:pt>
                  <c:pt idx="10">
                    <c:v>9</c:v>
                  </c:pt>
                  <c:pt idx="11">
                    <c:v>10</c:v>
                  </c:pt>
                  <c:pt idx="12">
                    <c:v>11</c:v>
                  </c:pt>
                  <c:pt idx="13">
                    <c:v>12</c:v>
                  </c:pt>
                </c:lvl>
                <c:lvl>
                  <c:pt idx="0">
                    <c:v>2016</c:v>
                  </c:pt>
                  <c:pt idx="3">
                    <c:v>2017</c:v>
                  </c:pt>
                </c:lvl>
              </c:multiLvlStrCache>
            </c:multiLvlStrRef>
          </c:cat>
          <c:val>
            <c:numRef>
              <c:f>工作表1!$L$10:$L$23</c:f>
              <c:numCache>
                <c:formatCode>#,##0.0_ </c:formatCode>
                <c:ptCount val="14"/>
                <c:pt idx="0">
                  <c:v>19.399999999999999</c:v>
                </c:pt>
                <c:pt idx="1">
                  <c:v>18.899999999999999</c:v>
                </c:pt>
                <c:pt idx="2">
                  <c:v>17.399999999999999</c:v>
                </c:pt>
                <c:pt idx="3">
                  <c:v>27.3</c:v>
                </c:pt>
                <c:pt idx="4">
                  <c:v>23.5</c:v>
                </c:pt>
                <c:pt idx="5">
                  <c:v>23.3</c:v>
                </c:pt>
                <c:pt idx="6">
                  <c:v>20.9</c:v>
                </c:pt>
                <c:pt idx="7">
                  <c:v>21.1</c:v>
                </c:pt>
                <c:pt idx="8">
                  <c:v>20.9</c:v>
                </c:pt>
                <c:pt idx="9">
                  <c:v>19.8</c:v>
                </c:pt>
                <c:pt idx="10">
                  <c:v>19.8</c:v>
                </c:pt>
                <c:pt idx="11" formatCode="0.0_ ">
                  <c:v>19.600000000000001</c:v>
                </c:pt>
                <c:pt idx="12" formatCode="0.0_ ">
                  <c:v>20.100000000000001</c:v>
                </c:pt>
                <c:pt idx="13" formatCode="0.0_ ">
                  <c:v>19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工作表1!$M$1</c:f>
              <c:strCache>
                <c:ptCount val="1"/>
                <c:pt idx="0">
                  <c:v>房地產開發</c:v>
                </c:pt>
              </c:strCache>
            </c:strRef>
          </c:tx>
          <c:cat>
            <c:multiLvlStrRef>
              <c:f>工作表1!$H$10:$I$23</c:f>
              <c:multiLvlStrCache>
                <c:ptCount val="14"/>
                <c:lvl>
                  <c:pt idx="0">
                    <c:v>10</c:v>
                  </c:pt>
                  <c:pt idx="1">
                    <c:v>11</c:v>
                  </c:pt>
                  <c:pt idx="2">
                    <c:v>12</c:v>
                  </c:pt>
                  <c:pt idx="3">
                    <c:v>2</c:v>
                  </c:pt>
                  <c:pt idx="4">
                    <c:v>3</c:v>
                  </c:pt>
                  <c:pt idx="5">
                    <c:v>4</c:v>
                  </c:pt>
                  <c:pt idx="6">
                    <c:v>5</c:v>
                  </c:pt>
                  <c:pt idx="7">
                    <c:v>6</c:v>
                  </c:pt>
                  <c:pt idx="8">
                    <c:v>7</c:v>
                  </c:pt>
                  <c:pt idx="9">
                    <c:v>8</c:v>
                  </c:pt>
                  <c:pt idx="10">
                    <c:v>9</c:v>
                  </c:pt>
                  <c:pt idx="11">
                    <c:v>10</c:v>
                  </c:pt>
                  <c:pt idx="12">
                    <c:v>11</c:v>
                  </c:pt>
                  <c:pt idx="13">
                    <c:v>12</c:v>
                  </c:pt>
                </c:lvl>
                <c:lvl>
                  <c:pt idx="0">
                    <c:v>2016</c:v>
                  </c:pt>
                  <c:pt idx="3">
                    <c:v>2017</c:v>
                  </c:pt>
                </c:lvl>
              </c:multiLvlStrCache>
            </c:multiLvlStrRef>
          </c:cat>
          <c:val>
            <c:numRef>
              <c:f>工作表1!$M$10:$M$23</c:f>
              <c:numCache>
                <c:formatCode>#,##0.0_ </c:formatCode>
                <c:ptCount val="14"/>
                <c:pt idx="0">
                  <c:v>6.6</c:v>
                </c:pt>
                <c:pt idx="1">
                  <c:v>6.5</c:v>
                </c:pt>
                <c:pt idx="2">
                  <c:v>6.9</c:v>
                </c:pt>
                <c:pt idx="3">
                  <c:v>8.9</c:v>
                </c:pt>
                <c:pt idx="4">
                  <c:v>9.1</c:v>
                </c:pt>
                <c:pt idx="5">
                  <c:v>9.3000000000000007</c:v>
                </c:pt>
                <c:pt idx="6">
                  <c:v>8.8000000000000007</c:v>
                </c:pt>
                <c:pt idx="7">
                  <c:v>8.5</c:v>
                </c:pt>
                <c:pt idx="8">
                  <c:v>7.9</c:v>
                </c:pt>
                <c:pt idx="9">
                  <c:v>7.9</c:v>
                </c:pt>
                <c:pt idx="10">
                  <c:v>8.1</c:v>
                </c:pt>
                <c:pt idx="11" formatCode="0.0_ ">
                  <c:v>7.8</c:v>
                </c:pt>
                <c:pt idx="12" formatCode="0.0_ ">
                  <c:v>7.5</c:v>
                </c:pt>
                <c:pt idx="13" formatCode="0.0_ ">
                  <c:v>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331456"/>
        <c:axId val="44389440"/>
      </c:lineChart>
      <c:catAx>
        <c:axId val="53331456"/>
        <c:scaling>
          <c:orientation val="minMax"/>
        </c:scaling>
        <c:delete val="0"/>
        <c:axPos val="b"/>
        <c:majorTickMark val="out"/>
        <c:minorTickMark val="none"/>
        <c:tickLblPos val="nextTo"/>
        <c:crossAx val="44389440"/>
        <c:crosses val="autoZero"/>
        <c:auto val="1"/>
        <c:lblAlgn val="ctr"/>
        <c:lblOffset val="100"/>
        <c:noMultiLvlLbl val="0"/>
      </c:catAx>
      <c:valAx>
        <c:axId val="4438944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#,##0.0_ " sourceLinked="1"/>
        <c:majorTickMark val="out"/>
        <c:minorTickMark val="none"/>
        <c:tickLblPos val="nextTo"/>
        <c:crossAx val="53331456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工作表1!$D$1</c:f>
              <c:strCache>
                <c:ptCount val="1"/>
                <c:pt idx="0">
                  <c:v>財新中國</c:v>
                </c:pt>
              </c:strCache>
            </c:strRef>
          </c:tx>
          <c:marker>
            <c:symbol val="none"/>
          </c:marker>
          <c:dLbls>
            <c:dLbl>
              <c:idx val="20"/>
              <c:layout>
                <c:manualLayout>
                  <c:x val="-5.0384513391673297E-2"/>
                  <c:y val="8.0150872230080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386634844868735E-2"/>
                  <c:y val="5.6577086280056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multiLvlStrRef>
              <c:f>工作表1!$B$88:$C$103</c:f>
              <c:multiLvlStrCache>
                <c:ptCount val="16"/>
                <c:lvl>
                  <c:pt idx="0">
                    <c:v>9</c:v>
                  </c:pt>
                  <c:pt idx="1">
                    <c:v>10</c:v>
                  </c:pt>
                  <c:pt idx="2">
                    <c:v>11</c:v>
                  </c:pt>
                  <c:pt idx="3">
                    <c:v>12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5</c:v>
                  </c:pt>
                  <c:pt idx="9">
                    <c:v>6</c:v>
                  </c:pt>
                  <c:pt idx="10">
                    <c:v>7</c:v>
                  </c:pt>
                  <c:pt idx="11">
                    <c:v>8</c:v>
                  </c:pt>
                  <c:pt idx="12">
                    <c:v>9</c:v>
                  </c:pt>
                  <c:pt idx="13">
                    <c:v>10</c:v>
                  </c:pt>
                  <c:pt idx="14">
                    <c:v>11</c:v>
                  </c:pt>
                  <c:pt idx="15">
                    <c:v>12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</c:lvl>
              </c:multiLvlStrCache>
            </c:multiLvlStrRef>
          </c:cat>
          <c:val>
            <c:numRef>
              <c:f>工作表1!$D$88:$D$103</c:f>
              <c:numCache>
                <c:formatCode>General</c:formatCode>
                <c:ptCount val="16"/>
                <c:pt idx="0">
                  <c:v>50.1</c:v>
                </c:pt>
                <c:pt idx="1">
                  <c:v>51.2</c:v>
                </c:pt>
                <c:pt idx="2">
                  <c:v>50.9</c:v>
                </c:pt>
                <c:pt idx="3">
                  <c:v>51.9</c:v>
                </c:pt>
                <c:pt idx="4">
                  <c:v>51</c:v>
                </c:pt>
                <c:pt idx="5">
                  <c:v>51.7</c:v>
                </c:pt>
                <c:pt idx="6">
                  <c:v>51.2</c:v>
                </c:pt>
                <c:pt idx="7">
                  <c:v>50.3</c:v>
                </c:pt>
                <c:pt idx="8">
                  <c:v>49.6</c:v>
                </c:pt>
                <c:pt idx="9">
                  <c:v>50.4</c:v>
                </c:pt>
                <c:pt idx="10">
                  <c:v>51.1</c:v>
                </c:pt>
                <c:pt idx="11">
                  <c:v>51.6</c:v>
                </c:pt>
                <c:pt idx="12" formatCode="0.0_ ">
                  <c:v>51</c:v>
                </c:pt>
                <c:pt idx="13">
                  <c:v>51</c:v>
                </c:pt>
                <c:pt idx="14">
                  <c:v>50.8</c:v>
                </c:pt>
                <c:pt idx="15">
                  <c:v>51.5</c:v>
                </c:pt>
              </c:numCache>
            </c:numRef>
          </c:val>
          <c:smooth val="0"/>
        </c:ser>
        <c:ser>
          <c:idx val="3"/>
          <c:order val="1"/>
          <c:spPr>
            <a:ln>
              <a:prstDash val="sysDot"/>
            </a:ln>
          </c:spPr>
          <c:marker>
            <c:symbol val="none"/>
          </c:marker>
          <c:cat>
            <c:multiLvlStrRef>
              <c:f>工作表1!$B$88:$C$103</c:f>
              <c:multiLvlStrCache>
                <c:ptCount val="16"/>
                <c:lvl>
                  <c:pt idx="0">
                    <c:v>9</c:v>
                  </c:pt>
                  <c:pt idx="1">
                    <c:v>10</c:v>
                  </c:pt>
                  <c:pt idx="2">
                    <c:v>11</c:v>
                  </c:pt>
                  <c:pt idx="3">
                    <c:v>12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5</c:v>
                  </c:pt>
                  <c:pt idx="9">
                    <c:v>6</c:v>
                  </c:pt>
                  <c:pt idx="10">
                    <c:v>7</c:v>
                  </c:pt>
                  <c:pt idx="11">
                    <c:v>8</c:v>
                  </c:pt>
                  <c:pt idx="12">
                    <c:v>9</c:v>
                  </c:pt>
                  <c:pt idx="13">
                    <c:v>10</c:v>
                  </c:pt>
                  <c:pt idx="14">
                    <c:v>11</c:v>
                  </c:pt>
                  <c:pt idx="15">
                    <c:v>12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</c:lvl>
              </c:multiLvlStrCache>
            </c:multiLvlStrRef>
          </c:cat>
          <c:val>
            <c:numRef>
              <c:f>工作表1!$E$88:$E$103</c:f>
              <c:numCache>
                <c:formatCode>General</c:formatCode>
                <c:ptCount val="16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</c:numCache>
            </c:numRef>
          </c:val>
          <c:smooth val="0"/>
        </c:ser>
        <c:ser>
          <c:idx val="4"/>
          <c:order val="2"/>
          <c:tx>
            <c:strRef>
              <c:f>工作表1!$F$1</c:f>
              <c:strCache>
                <c:ptCount val="1"/>
                <c:pt idx="0">
                  <c:v>官方</c:v>
                </c:pt>
              </c:strCache>
            </c:strRef>
          </c:tx>
          <c:spPr>
            <a:ln w="38100">
              <a:prstDash val="solid"/>
            </a:ln>
          </c:spPr>
          <c:marker>
            <c:symbol val="diamond"/>
            <c:size val="5"/>
          </c:marker>
          <c:dLbls>
            <c:dLbl>
              <c:idx val="20"/>
              <c:layout>
                <c:manualLayout>
                  <c:x val="-6.0991779368867675E-2"/>
                  <c:y val="-5.1862329090051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1.0607265977194379E-2"/>
                  <c:y val="-4.2432814710042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multiLvlStrRef>
              <c:f>工作表1!$B$88:$C$103</c:f>
              <c:multiLvlStrCache>
                <c:ptCount val="16"/>
                <c:lvl>
                  <c:pt idx="0">
                    <c:v>9</c:v>
                  </c:pt>
                  <c:pt idx="1">
                    <c:v>10</c:v>
                  </c:pt>
                  <c:pt idx="2">
                    <c:v>11</c:v>
                  </c:pt>
                  <c:pt idx="3">
                    <c:v>12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5</c:v>
                  </c:pt>
                  <c:pt idx="9">
                    <c:v>6</c:v>
                  </c:pt>
                  <c:pt idx="10">
                    <c:v>7</c:v>
                  </c:pt>
                  <c:pt idx="11">
                    <c:v>8</c:v>
                  </c:pt>
                  <c:pt idx="12">
                    <c:v>9</c:v>
                  </c:pt>
                  <c:pt idx="13">
                    <c:v>10</c:v>
                  </c:pt>
                  <c:pt idx="14">
                    <c:v>11</c:v>
                  </c:pt>
                  <c:pt idx="15">
                    <c:v>12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</c:lvl>
              </c:multiLvlStrCache>
            </c:multiLvlStrRef>
          </c:cat>
          <c:val>
            <c:numRef>
              <c:f>工作表1!$F$88:$F$103</c:f>
              <c:numCache>
                <c:formatCode>General</c:formatCode>
                <c:ptCount val="16"/>
                <c:pt idx="0">
                  <c:v>50.4</c:v>
                </c:pt>
                <c:pt idx="1">
                  <c:v>51.2</c:v>
                </c:pt>
                <c:pt idx="2">
                  <c:v>51.7</c:v>
                </c:pt>
                <c:pt idx="3">
                  <c:v>51.4</c:v>
                </c:pt>
                <c:pt idx="4" formatCode="0.0_ ">
                  <c:v>51.3</c:v>
                </c:pt>
                <c:pt idx="5">
                  <c:v>51.6</c:v>
                </c:pt>
                <c:pt idx="6">
                  <c:v>51.8</c:v>
                </c:pt>
                <c:pt idx="7">
                  <c:v>51.2</c:v>
                </c:pt>
                <c:pt idx="8">
                  <c:v>51.2</c:v>
                </c:pt>
                <c:pt idx="9">
                  <c:v>51.7</c:v>
                </c:pt>
                <c:pt idx="10">
                  <c:v>51.4</c:v>
                </c:pt>
                <c:pt idx="11">
                  <c:v>51.7</c:v>
                </c:pt>
                <c:pt idx="12">
                  <c:v>52.4</c:v>
                </c:pt>
                <c:pt idx="13">
                  <c:v>51.6</c:v>
                </c:pt>
                <c:pt idx="14">
                  <c:v>51.8</c:v>
                </c:pt>
                <c:pt idx="15">
                  <c:v>51.6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85717760"/>
        <c:axId val="44391744"/>
      </c:lineChart>
      <c:catAx>
        <c:axId val="585717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zh-TW"/>
          </a:p>
        </c:txPr>
        <c:crossAx val="44391744"/>
        <c:crosses val="autoZero"/>
        <c:auto val="1"/>
        <c:lblAlgn val="ctr"/>
        <c:lblOffset val="100"/>
        <c:noMultiLvlLbl val="0"/>
      </c:catAx>
      <c:valAx>
        <c:axId val="44391744"/>
        <c:scaling>
          <c:orientation val="minMax"/>
          <c:min val="47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zh-TW"/>
          </a:p>
        </c:txPr>
        <c:crossAx val="585717760"/>
        <c:crosses val="autoZero"/>
        <c:crossBetween val="between"/>
        <c:majorUnit val="1"/>
      </c:valAx>
      <c:spPr>
        <a:noFill/>
        <a:ln w="25400">
          <a:noFill/>
        </a:ln>
      </c:spPr>
    </c:plotArea>
    <c:legend>
      <c:legendPos val="t"/>
      <c:legendEntry>
        <c:idx val="1"/>
        <c:delete val="1"/>
      </c:legendEntry>
      <c:layout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3"/>
          <c:order val="3"/>
          <c:tx>
            <c:strRef>
              <c:f>工作表3!$E$1</c:f>
              <c:strCache>
                <c:ptCount val="1"/>
                <c:pt idx="0">
                  <c:v>M2/GDP(右軸)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工作表3!$A$2:$A$7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工作表3!$E$2:$E$7</c:f>
              <c:numCache>
                <c:formatCode>0.0_ </c:formatCode>
                <c:ptCount val="6"/>
                <c:pt idx="0">
                  <c:v>180.27526295828144</c:v>
                </c:pt>
                <c:pt idx="1">
                  <c:v>185.89422312996348</c:v>
                </c:pt>
                <c:pt idx="2">
                  <c:v>190.74911636136557</c:v>
                </c:pt>
                <c:pt idx="3">
                  <c:v>202.05701772724058</c:v>
                </c:pt>
                <c:pt idx="4">
                  <c:v>208.45843118389209</c:v>
                </c:pt>
                <c:pt idx="5">
                  <c:v>202.72331575216805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01909248"/>
        <c:axId val="52782784"/>
      </c:barChart>
      <c:lineChart>
        <c:grouping val="standard"/>
        <c:varyColors val="0"/>
        <c:ser>
          <c:idx val="0"/>
          <c:order val="0"/>
          <c:tx>
            <c:strRef>
              <c:f>工作表3!$B$1</c:f>
              <c:strCache>
                <c:ptCount val="1"/>
                <c:pt idx="0">
                  <c:v>M1年增率(左軸)</c:v>
                </c:pt>
              </c:strCache>
            </c:strRef>
          </c:tx>
          <c:dLbls>
            <c:dLbl>
              <c:idx val="0"/>
              <c:layout>
                <c:manualLayout>
                  <c:x val="-4.3979221347331586E-2"/>
                  <c:y val="4.11920384951880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9158469553008002E-2"/>
                  <c:y val="-3.751166520851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979221347331635E-2"/>
                  <c:y val="3.6562408865558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工作表3!$A$2:$A$7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工作表3!$B$2:$B$7</c:f>
              <c:numCache>
                <c:formatCode>0.0_);[Red]\(0.0\)</c:formatCode>
                <c:ptCount val="6"/>
                <c:pt idx="0">
                  <c:v>6.4918696572067391</c:v>
                </c:pt>
                <c:pt idx="1">
                  <c:v>9.2744206650173346</c:v>
                </c:pt>
                <c:pt idx="2">
                  <c:v>3.1917118570297109</c:v>
                </c:pt>
                <c:pt idx="3">
                  <c:v>15.197832805372325</c:v>
                </c:pt>
                <c:pt idx="4">
                  <c:v>21.35005932666094</c:v>
                </c:pt>
                <c:pt idx="5">
                  <c:v>11.764856882698925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工作表3!$C$1</c:f>
              <c:strCache>
                <c:ptCount val="1"/>
                <c:pt idx="0">
                  <c:v>M2年增率(左軸)</c:v>
                </c:pt>
              </c:strCache>
            </c:strRef>
          </c:tx>
          <c:dLbls>
            <c:dLbl>
              <c:idx val="3"/>
              <c:layout>
                <c:manualLayout>
                  <c:x val="-5.1020997375328184E-2"/>
                  <c:y val="5.50809273840769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3979221347331482E-2"/>
                  <c:y val="-5.14005540974045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工作表3!$A$2:$A$7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工作表3!$C$2:$C$7</c:f>
              <c:numCache>
                <c:formatCode>0.0_);[Red]\(0.0\)</c:formatCode>
                <c:ptCount val="6"/>
                <c:pt idx="0">
                  <c:v>14.391640626821744</c:v>
                </c:pt>
                <c:pt idx="1">
                  <c:v>13.588907322902077</c:v>
                </c:pt>
                <c:pt idx="2">
                  <c:v>11.011936362228102</c:v>
                </c:pt>
                <c:pt idx="3">
                  <c:v>13.343101940959755</c:v>
                </c:pt>
                <c:pt idx="4">
                  <c:v>11.333120701215439</c:v>
                </c:pt>
                <c:pt idx="5">
                  <c:v>8.1759923505793974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工作表3!$D$1</c:f>
              <c:strCache>
                <c:ptCount val="1"/>
                <c:pt idx="0">
                  <c:v>GDP年增率(左軸)</c:v>
                </c:pt>
              </c:strCache>
            </c:strRef>
          </c:tx>
          <c:dLbls>
            <c:dLbl>
              <c:idx val="0"/>
              <c:layout>
                <c:manualLayout>
                  <c:x val="-4.3979221347331586E-2"/>
                  <c:y val="-5.04512977544473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979221347331635E-2"/>
                  <c:y val="-3.19327792359289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工作表3!$A$2:$A$7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工作表3!$D$2:$D$7</c:f>
              <c:numCache>
                <c:formatCode>0.0_ </c:formatCode>
                <c:ptCount val="6"/>
                <c:pt idx="0">
                  <c:v>7.9</c:v>
                </c:pt>
                <c:pt idx="1">
                  <c:v>7.7749999999999995</c:v>
                </c:pt>
                <c:pt idx="2">
                  <c:v>7.3</c:v>
                </c:pt>
                <c:pt idx="3">
                  <c:v>6.9249999999999998</c:v>
                </c:pt>
                <c:pt idx="4">
                  <c:v>6.7250000000000005</c:v>
                </c:pt>
                <c:pt idx="5">
                  <c:v>6.8500000000000005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1908736"/>
        <c:axId val="52782208"/>
      </c:lineChart>
      <c:catAx>
        <c:axId val="601908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2782208"/>
        <c:crosses val="autoZero"/>
        <c:auto val="1"/>
        <c:lblAlgn val="ctr"/>
        <c:lblOffset val="100"/>
        <c:noMultiLvlLbl val="0"/>
      </c:catAx>
      <c:valAx>
        <c:axId val="52782208"/>
        <c:scaling>
          <c:orientation val="minMax"/>
          <c:max val="30"/>
        </c:scaling>
        <c:delete val="0"/>
        <c:axPos val="l"/>
        <c:majorGridlines>
          <c:spPr>
            <a:ln>
              <a:noFill/>
            </a:ln>
          </c:spPr>
        </c:majorGridlines>
        <c:numFmt formatCode="#,##0_);[Red]\(#,##0\)" sourceLinked="0"/>
        <c:majorTickMark val="in"/>
        <c:minorTickMark val="none"/>
        <c:tickLblPos val="nextTo"/>
        <c:crossAx val="601908736"/>
        <c:crosses val="autoZero"/>
        <c:crossBetween val="between"/>
      </c:valAx>
      <c:valAx>
        <c:axId val="52782784"/>
        <c:scaling>
          <c:orientation val="minMax"/>
          <c:max val="210"/>
          <c:min val="110"/>
        </c:scaling>
        <c:delete val="0"/>
        <c:axPos val="r"/>
        <c:numFmt formatCode="0_ " sourceLinked="0"/>
        <c:majorTickMark val="in"/>
        <c:minorTickMark val="none"/>
        <c:tickLblPos val="nextTo"/>
        <c:crossAx val="601909248"/>
        <c:crosses val="max"/>
        <c:crossBetween val="between"/>
        <c:majorUnit val="20"/>
      </c:valAx>
      <c:catAx>
        <c:axId val="6019092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2782784"/>
        <c:crosses val="autoZero"/>
        <c:auto val="1"/>
        <c:lblAlgn val="ctr"/>
        <c:lblOffset val="100"/>
        <c:noMultiLvlLbl val="0"/>
      </c:catAx>
    </c:plotArea>
    <c:legend>
      <c:legendPos val="t"/>
      <c:layout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流量!$B$212</c:f>
              <c:strCache>
                <c:ptCount val="1"/>
                <c:pt idx="0">
                  <c:v>銀行貸款</c:v>
                </c:pt>
              </c:strCache>
            </c:strRef>
          </c:tx>
          <c:spPr>
            <a:pattFill prst="ltUp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流量!$A$213:$A$218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流量!$B$213:$B$218</c:f>
              <c:numCache>
                <c:formatCode>0.0_);[Red]\(0.0\)</c:formatCode>
                <c:ptCount val="6"/>
                <c:pt idx="0">
                  <c:v>9.1200984303099997</c:v>
                </c:pt>
                <c:pt idx="1">
                  <c:v>9.4765571722999997</c:v>
                </c:pt>
                <c:pt idx="2">
                  <c:v>10.1368782165</c:v>
                </c:pt>
                <c:pt idx="3">
                  <c:v>10.62657757046</c:v>
                </c:pt>
                <c:pt idx="4">
                  <c:v>11.873278811139999</c:v>
                </c:pt>
                <c:pt idx="5">
                  <c:v>13.84504467719</c:v>
                </c:pt>
              </c:numCache>
            </c:numRef>
          </c:val>
        </c:ser>
        <c:ser>
          <c:idx val="1"/>
          <c:order val="1"/>
          <c:tx>
            <c:strRef>
              <c:f>流量!$C$212</c:f>
              <c:strCache>
                <c:ptCount val="1"/>
                <c:pt idx="0">
                  <c:v>表外融資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流量!$A$213:$A$218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流量!$C$213:$C$218</c:f>
              <c:numCache>
                <c:formatCode>0.0_);[Red]\(0.0\)</c:formatCode>
                <c:ptCount val="6"/>
                <c:pt idx="0">
                  <c:v>3.61821870148</c:v>
                </c:pt>
                <c:pt idx="1">
                  <c:v>5.1625172257999994</c:v>
                </c:pt>
                <c:pt idx="2">
                  <c:v>2.89630319792</c:v>
                </c:pt>
                <c:pt idx="3">
                  <c:v>0.57780268250999978</c:v>
                </c:pt>
                <c:pt idx="4">
                  <c:v>1.0916039332399998</c:v>
                </c:pt>
                <c:pt idx="5">
                  <c:v>3.56891893337</c:v>
                </c:pt>
              </c:numCache>
            </c:numRef>
          </c:val>
        </c:ser>
        <c:ser>
          <c:idx val="2"/>
          <c:order val="2"/>
          <c:tx>
            <c:strRef>
              <c:f>流量!$D$212</c:f>
              <c:strCache>
                <c:ptCount val="1"/>
                <c:pt idx="0">
                  <c:v>資本市場</c:v>
                </c:pt>
              </c:strCache>
            </c:strRef>
          </c:tx>
          <c:spPr>
            <a:pattFill prst="dashDnDiag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流量!$A$213:$A$218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流量!$D$213:$D$218</c:f>
              <c:numCache>
                <c:formatCode>0.0_);[Red]\(0.0\)</c:formatCode>
                <c:ptCount val="6"/>
                <c:pt idx="0">
                  <c:v>2.5058950000000002</c:v>
                </c:pt>
                <c:pt idx="1">
                  <c:v>2.033128</c:v>
                </c:pt>
                <c:pt idx="2">
                  <c:v>2.8165856612</c:v>
                </c:pt>
                <c:pt idx="3">
                  <c:v>3.6977959978999997</c:v>
                </c:pt>
                <c:pt idx="4">
                  <c:v>4.2408477388999994</c:v>
                </c:pt>
                <c:pt idx="5">
                  <c:v>1.3228948083000001</c:v>
                </c:pt>
              </c:numCache>
            </c:numRef>
          </c:val>
        </c:ser>
        <c:ser>
          <c:idx val="3"/>
          <c:order val="3"/>
          <c:tx>
            <c:strRef>
              <c:f>流量!$E$212</c:f>
              <c:strCache>
                <c:ptCount val="1"/>
                <c:pt idx="0">
                  <c:v>其他</c:v>
                </c:pt>
              </c:strCache>
            </c:strRef>
          </c:tx>
          <c:spPr>
            <a:pattFill prst="pct10">
              <a:fgClr>
                <a:schemeClr val="accent1"/>
              </a:fgClr>
              <a:bgClr>
                <a:schemeClr val="bg1"/>
              </a:bgClr>
            </a:pattFill>
            <a:ln w="9525">
              <a:solidFill>
                <a:schemeClr val="tx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流量!$A$213:$A$218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流量!$E$213:$E$218</c:f>
              <c:numCache>
                <c:formatCode>0.0_);[Red]\(0.0\)</c:formatCode>
                <c:ptCount val="6"/>
                <c:pt idx="0">
                  <c:v>0.51886880131000002</c:v>
                </c:pt>
                <c:pt idx="1">
                  <c:v>0.6446286949000023</c:v>
                </c:pt>
                <c:pt idx="2">
                  <c:v>0.56358730688000291</c:v>
                </c:pt>
                <c:pt idx="3">
                  <c:v>0.50416455077000133</c:v>
                </c:pt>
                <c:pt idx="4">
                  <c:v>0.59648370562000497</c:v>
                </c:pt>
                <c:pt idx="5">
                  <c:v>0.70611377794999497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3332480"/>
        <c:axId val="52785088"/>
      </c:barChart>
      <c:catAx>
        <c:axId val="5333248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crossAx val="52785088"/>
        <c:crosses val="autoZero"/>
        <c:auto val="1"/>
        <c:lblAlgn val="ctr"/>
        <c:lblOffset val="100"/>
        <c:noMultiLvlLbl val="0"/>
      </c:catAx>
      <c:valAx>
        <c:axId val="52785088"/>
        <c:scaling>
          <c:orientation val="minMax"/>
          <c:max val="20"/>
        </c:scaling>
        <c:delete val="0"/>
        <c:axPos val="l"/>
        <c:majorGridlines/>
        <c:numFmt formatCode="#,##0_);[Red]\(#,##0\)" sourceLinked="0"/>
        <c:majorTickMark val="in"/>
        <c:minorTickMark val="none"/>
        <c:tickLblPos val="nextTo"/>
        <c:crossAx val="53332480"/>
        <c:crosses val="autoZero"/>
        <c:crossBetween val="between"/>
        <c:majorUnit val="5"/>
      </c:valAx>
      <c:spPr>
        <a:ln>
          <a:solidFill>
            <a:schemeClr val="tx1"/>
          </a:solidFill>
        </a:ln>
      </c:spPr>
    </c:plotArea>
    <c:legend>
      <c:legendPos val="t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1"/>
          <c:order val="0"/>
          <c:tx>
            <c:v>上證綜合指數</c:v>
          </c:tx>
          <c:spPr>
            <a:ln>
              <a:prstDash val="solid"/>
            </a:ln>
          </c:spPr>
          <c:marker>
            <c:symbol val="none"/>
          </c:marker>
          <c:cat>
            <c:numRef>
              <c:f>股票指數!$A$3:$A$246</c:f>
              <c:numCache>
                <c:formatCode>\ [$-1028]yyyy/m/d</c:formatCode>
                <c:ptCount val="244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</c:numCache>
            </c:numRef>
          </c:cat>
          <c:val>
            <c:numRef>
              <c:f>股票指數!$C$3:$C$246</c:f>
              <c:numCache>
                <c:formatCode>#,##0.000</c:formatCode>
                <c:ptCount val="244"/>
                <c:pt idx="0">
                  <c:v>3135.92</c:v>
                </c:pt>
                <c:pt idx="1">
                  <c:v>3158.79</c:v>
                </c:pt>
                <c:pt idx="2">
                  <c:v>3165.41</c:v>
                </c:pt>
                <c:pt idx="3">
                  <c:v>3154.32</c:v>
                </c:pt>
                <c:pt idx="4">
                  <c:v>3171.24</c:v>
                </c:pt>
                <c:pt idx="5">
                  <c:v>3161.67</c:v>
                </c:pt>
                <c:pt idx="6">
                  <c:v>3136.75</c:v>
                </c:pt>
                <c:pt idx="7">
                  <c:v>3119.29</c:v>
                </c:pt>
                <c:pt idx="8">
                  <c:v>3112.76</c:v>
                </c:pt>
                <c:pt idx="9">
                  <c:v>3103.43</c:v>
                </c:pt>
                <c:pt idx="10">
                  <c:v>3108.77</c:v>
                </c:pt>
                <c:pt idx="11">
                  <c:v>3113.01</c:v>
                </c:pt>
                <c:pt idx="12">
                  <c:v>3101.3</c:v>
                </c:pt>
                <c:pt idx="13">
                  <c:v>3123.14</c:v>
                </c:pt>
                <c:pt idx="14">
                  <c:v>3136.77</c:v>
                </c:pt>
                <c:pt idx="15">
                  <c:v>3142.55</c:v>
                </c:pt>
                <c:pt idx="16">
                  <c:v>3149.55</c:v>
                </c:pt>
                <c:pt idx="17">
                  <c:v>3159.17</c:v>
                </c:pt>
                <c:pt idx="18">
                  <c:v>3140.17</c:v>
                </c:pt>
                <c:pt idx="19">
                  <c:v>3156.98</c:v>
                </c:pt>
                <c:pt idx="20">
                  <c:v>3153.09</c:v>
                </c:pt>
                <c:pt idx="21">
                  <c:v>3166.98</c:v>
                </c:pt>
                <c:pt idx="22">
                  <c:v>3183.18</c:v>
                </c:pt>
                <c:pt idx="23">
                  <c:v>3196.7</c:v>
                </c:pt>
                <c:pt idx="24">
                  <c:v>3216.84</c:v>
                </c:pt>
                <c:pt idx="25">
                  <c:v>3217.93</c:v>
                </c:pt>
                <c:pt idx="26">
                  <c:v>3212.99</c:v>
                </c:pt>
                <c:pt idx="27">
                  <c:v>3229.62</c:v>
                </c:pt>
                <c:pt idx="28">
                  <c:v>3202.08</c:v>
                </c:pt>
                <c:pt idx="29">
                  <c:v>3239.96</c:v>
                </c:pt>
                <c:pt idx="30">
                  <c:v>3253.33</c:v>
                </c:pt>
                <c:pt idx="31">
                  <c:v>3261.22</c:v>
                </c:pt>
                <c:pt idx="32">
                  <c:v>3247.02</c:v>
                </c:pt>
                <c:pt idx="33">
                  <c:v>3253.43</c:v>
                </c:pt>
                <c:pt idx="34">
                  <c:v>3228.66</c:v>
                </c:pt>
                <c:pt idx="35">
                  <c:v>3241.73</c:v>
                </c:pt>
                <c:pt idx="36">
                  <c:v>3246.93</c:v>
                </c:pt>
                <c:pt idx="37">
                  <c:v>3230.03</c:v>
                </c:pt>
                <c:pt idx="38">
                  <c:v>3218.31</c:v>
                </c:pt>
                <c:pt idx="39">
                  <c:v>3233.87</c:v>
                </c:pt>
                <c:pt idx="40">
                  <c:v>3242.41</c:v>
                </c:pt>
                <c:pt idx="41">
                  <c:v>3240.66</c:v>
                </c:pt>
                <c:pt idx="42">
                  <c:v>3216.75</c:v>
                </c:pt>
                <c:pt idx="43">
                  <c:v>3212.76</c:v>
                </c:pt>
                <c:pt idx="44">
                  <c:v>3237.02</c:v>
                </c:pt>
                <c:pt idx="45">
                  <c:v>3239.33</c:v>
                </c:pt>
                <c:pt idx="46">
                  <c:v>3241.76</c:v>
                </c:pt>
                <c:pt idx="47">
                  <c:v>3268.94</c:v>
                </c:pt>
                <c:pt idx="48">
                  <c:v>3237.45</c:v>
                </c:pt>
                <c:pt idx="49">
                  <c:v>3250.81</c:v>
                </c:pt>
                <c:pt idx="50">
                  <c:v>3261.61</c:v>
                </c:pt>
                <c:pt idx="51">
                  <c:v>3245.22</c:v>
                </c:pt>
                <c:pt idx="52">
                  <c:v>3248.55</c:v>
                </c:pt>
                <c:pt idx="53">
                  <c:v>3269.45</c:v>
                </c:pt>
                <c:pt idx="54">
                  <c:v>3266.96</c:v>
                </c:pt>
                <c:pt idx="55">
                  <c:v>3252.95</c:v>
                </c:pt>
                <c:pt idx="56">
                  <c:v>3241.31</c:v>
                </c:pt>
                <c:pt idx="57">
                  <c:v>3210.24</c:v>
                </c:pt>
                <c:pt idx="58">
                  <c:v>3222.51</c:v>
                </c:pt>
                <c:pt idx="59">
                  <c:v>3270.31</c:v>
                </c:pt>
                <c:pt idx="60">
                  <c:v>3281</c:v>
                </c:pt>
                <c:pt idx="61">
                  <c:v>3286.62</c:v>
                </c:pt>
                <c:pt idx="62">
                  <c:v>3269.39</c:v>
                </c:pt>
                <c:pt idx="63">
                  <c:v>3288.97</c:v>
                </c:pt>
                <c:pt idx="64">
                  <c:v>3273.83</c:v>
                </c:pt>
                <c:pt idx="65">
                  <c:v>3275.96</c:v>
                </c:pt>
                <c:pt idx="66">
                  <c:v>3246.07</c:v>
                </c:pt>
                <c:pt idx="67">
                  <c:v>3222.17</c:v>
                </c:pt>
                <c:pt idx="68">
                  <c:v>3196.71</c:v>
                </c:pt>
                <c:pt idx="69">
                  <c:v>3170.69</c:v>
                </c:pt>
                <c:pt idx="70">
                  <c:v>3172.1</c:v>
                </c:pt>
                <c:pt idx="71">
                  <c:v>3173.15</c:v>
                </c:pt>
                <c:pt idx="72">
                  <c:v>3129.53</c:v>
                </c:pt>
                <c:pt idx="73">
                  <c:v>3134.57</c:v>
                </c:pt>
                <c:pt idx="74">
                  <c:v>3140.85</c:v>
                </c:pt>
                <c:pt idx="75">
                  <c:v>3152.19</c:v>
                </c:pt>
                <c:pt idx="76">
                  <c:v>3154.66</c:v>
                </c:pt>
                <c:pt idx="77">
                  <c:v>3143.71</c:v>
                </c:pt>
                <c:pt idx="78">
                  <c:v>3135.35</c:v>
                </c:pt>
                <c:pt idx="79">
                  <c:v>3127.37</c:v>
                </c:pt>
                <c:pt idx="80">
                  <c:v>3103.04</c:v>
                </c:pt>
                <c:pt idx="81">
                  <c:v>3078.61</c:v>
                </c:pt>
                <c:pt idx="82">
                  <c:v>3080.53</c:v>
                </c:pt>
                <c:pt idx="83">
                  <c:v>3052.79</c:v>
                </c:pt>
                <c:pt idx="84">
                  <c:v>3061.5</c:v>
                </c:pt>
                <c:pt idx="85">
                  <c:v>3083.51</c:v>
                </c:pt>
                <c:pt idx="86">
                  <c:v>3090.23</c:v>
                </c:pt>
                <c:pt idx="87">
                  <c:v>3112.96</c:v>
                </c:pt>
                <c:pt idx="88">
                  <c:v>3104.44</c:v>
                </c:pt>
                <c:pt idx="89">
                  <c:v>3090.14</c:v>
                </c:pt>
                <c:pt idx="90">
                  <c:v>3090.63</c:v>
                </c:pt>
                <c:pt idx="91">
                  <c:v>3075.68</c:v>
                </c:pt>
                <c:pt idx="92">
                  <c:v>3061.95</c:v>
                </c:pt>
                <c:pt idx="93">
                  <c:v>3064.08</c:v>
                </c:pt>
                <c:pt idx="94">
                  <c:v>3107.83</c:v>
                </c:pt>
                <c:pt idx="95">
                  <c:v>3110.06</c:v>
                </c:pt>
                <c:pt idx="96">
                  <c:v>3117.18</c:v>
                </c:pt>
                <c:pt idx="97">
                  <c:v>3102.62</c:v>
                </c:pt>
                <c:pt idx="98">
                  <c:v>3105.54</c:v>
                </c:pt>
                <c:pt idx="99">
                  <c:v>3091.66</c:v>
                </c:pt>
                <c:pt idx="100">
                  <c:v>3102.13</c:v>
                </c:pt>
                <c:pt idx="101">
                  <c:v>3140.32</c:v>
                </c:pt>
                <c:pt idx="102">
                  <c:v>3150.33</c:v>
                </c:pt>
                <c:pt idx="103">
                  <c:v>3158.4</c:v>
                </c:pt>
                <c:pt idx="104">
                  <c:v>3139.88</c:v>
                </c:pt>
                <c:pt idx="105">
                  <c:v>3153.74</c:v>
                </c:pt>
                <c:pt idx="106">
                  <c:v>3130.67</c:v>
                </c:pt>
                <c:pt idx="107">
                  <c:v>3132.49</c:v>
                </c:pt>
                <c:pt idx="108">
                  <c:v>3123.17</c:v>
                </c:pt>
                <c:pt idx="109">
                  <c:v>3144.37</c:v>
                </c:pt>
                <c:pt idx="110">
                  <c:v>3140.01</c:v>
                </c:pt>
                <c:pt idx="111">
                  <c:v>3156.21</c:v>
                </c:pt>
                <c:pt idx="112">
                  <c:v>3147.45</c:v>
                </c:pt>
                <c:pt idx="113">
                  <c:v>3157.87</c:v>
                </c:pt>
                <c:pt idx="114">
                  <c:v>3185.44</c:v>
                </c:pt>
                <c:pt idx="115">
                  <c:v>3191.2</c:v>
                </c:pt>
                <c:pt idx="116">
                  <c:v>3173.2</c:v>
                </c:pt>
                <c:pt idx="117">
                  <c:v>3188.06</c:v>
                </c:pt>
                <c:pt idx="118">
                  <c:v>3192.43</c:v>
                </c:pt>
                <c:pt idx="119">
                  <c:v>3195.91</c:v>
                </c:pt>
                <c:pt idx="120">
                  <c:v>3182.8</c:v>
                </c:pt>
                <c:pt idx="121">
                  <c:v>3207.13</c:v>
                </c:pt>
                <c:pt idx="122">
                  <c:v>3212.44</c:v>
                </c:pt>
                <c:pt idx="123">
                  <c:v>3217.96</c:v>
                </c:pt>
                <c:pt idx="124">
                  <c:v>3212.63</c:v>
                </c:pt>
                <c:pt idx="125">
                  <c:v>3203.04</c:v>
                </c:pt>
                <c:pt idx="126">
                  <c:v>3197.54</c:v>
                </c:pt>
                <c:pt idx="127">
                  <c:v>3218.16</c:v>
                </c:pt>
                <c:pt idx="128">
                  <c:v>3222.42</c:v>
                </c:pt>
                <c:pt idx="129">
                  <c:v>3176.46</c:v>
                </c:pt>
                <c:pt idx="130">
                  <c:v>3187.57</c:v>
                </c:pt>
                <c:pt idx="131">
                  <c:v>3230.98</c:v>
                </c:pt>
                <c:pt idx="132">
                  <c:v>3244.86</c:v>
                </c:pt>
                <c:pt idx="133">
                  <c:v>3237.98</c:v>
                </c:pt>
                <c:pt idx="134">
                  <c:v>3250.6</c:v>
                </c:pt>
                <c:pt idx="135">
                  <c:v>3243.69</c:v>
                </c:pt>
                <c:pt idx="136">
                  <c:v>3247.67</c:v>
                </c:pt>
                <c:pt idx="137">
                  <c:v>3249.78</c:v>
                </c:pt>
                <c:pt idx="138">
                  <c:v>3253.24</c:v>
                </c:pt>
                <c:pt idx="139">
                  <c:v>3273.03</c:v>
                </c:pt>
                <c:pt idx="140">
                  <c:v>3292.64</c:v>
                </c:pt>
                <c:pt idx="141">
                  <c:v>3285.06</c:v>
                </c:pt>
                <c:pt idx="142">
                  <c:v>3272.93</c:v>
                </c:pt>
                <c:pt idx="143">
                  <c:v>3262.08</c:v>
                </c:pt>
                <c:pt idx="144">
                  <c:v>3279.46</c:v>
                </c:pt>
                <c:pt idx="145">
                  <c:v>3281.87</c:v>
                </c:pt>
                <c:pt idx="146">
                  <c:v>3275.57</c:v>
                </c:pt>
                <c:pt idx="147">
                  <c:v>3261.75</c:v>
                </c:pt>
                <c:pt idx="148">
                  <c:v>3208.54</c:v>
                </c:pt>
                <c:pt idx="149">
                  <c:v>3237.36</c:v>
                </c:pt>
                <c:pt idx="150">
                  <c:v>3251.26</c:v>
                </c:pt>
                <c:pt idx="151">
                  <c:v>3246.45</c:v>
                </c:pt>
                <c:pt idx="152">
                  <c:v>3268.43</c:v>
                </c:pt>
                <c:pt idx="153">
                  <c:v>3268.72</c:v>
                </c:pt>
                <c:pt idx="154">
                  <c:v>3286.91</c:v>
                </c:pt>
                <c:pt idx="155">
                  <c:v>3290.23</c:v>
                </c:pt>
                <c:pt idx="156">
                  <c:v>3287.7</c:v>
                </c:pt>
                <c:pt idx="157">
                  <c:v>3271.51</c:v>
                </c:pt>
                <c:pt idx="158">
                  <c:v>3331.52</c:v>
                </c:pt>
                <c:pt idx="159">
                  <c:v>3362.65</c:v>
                </c:pt>
                <c:pt idx="160">
                  <c:v>3365.23</c:v>
                </c:pt>
                <c:pt idx="161">
                  <c:v>3363.63</c:v>
                </c:pt>
                <c:pt idx="162">
                  <c:v>3360.81</c:v>
                </c:pt>
                <c:pt idx="163">
                  <c:v>3367.12</c:v>
                </c:pt>
                <c:pt idx="164">
                  <c:v>3379.58</c:v>
                </c:pt>
                <c:pt idx="165">
                  <c:v>3384.32</c:v>
                </c:pt>
                <c:pt idx="166">
                  <c:v>3385.39</c:v>
                </c:pt>
                <c:pt idx="167">
                  <c:v>3365.5</c:v>
                </c:pt>
                <c:pt idx="168">
                  <c:v>3365.24</c:v>
                </c:pt>
                <c:pt idx="169">
                  <c:v>3376.42</c:v>
                </c:pt>
                <c:pt idx="170">
                  <c:v>3379.49</c:v>
                </c:pt>
                <c:pt idx="171">
                  <c:v>3384.15</c:v>
                </c:pt>
                <c:pt idx="172">
                  <c:v>3371.43</c:v>
                </c:pt>
                <c:pt idx="173">
                  <c:v>3353.62</c:v>
                </c:pt>
                <c:pt idx="174">
                  <c:v>3362.86</c:v>
                </c:pt>
                <c:pt idx="175">
                  <c:v>3356.84</c:v>
                </c:pt>
                <c:pt idx="176">
                  <c:v>3366</c:v>
                </c:pt>
                <c:pt idx="177">
                  <c:v>3357.81</c:v>
                </c:pt>
                <c:pt idx="178">
                  <c:v>3352.53</c:v>
                </c:pt>
                <c:pt idx="179">
                  <c:v>3341.55</c:v>
                </c:pt>
                <c:pt idx="180">
                  <c:v>3343.58</c:v>
                </c:pt>
                <c:pt idx="181">
                  <c:v>3345.27</c:v>
                </c:pt>
                <c:pt idx="182">
                  <c:v>3339.64</c:v>
                </c:pt>
                <c:pt idx="183">
                  <c:v>3348.94</c:v>
                </c:pt>
                <c:pt idx="184">
                  <c:v>3374.38</c:v>
                </c:pt>
                <c:pt idx="185">
                  <c:v>3382.99</c:v>
                </c:pt>
                <c:pt idx="186">
                  <c:v>3388.28</c:v>
                </c:pt>
                <c:pt idx="187">
                  <c:v>3386.1</c:v>
                </c:pt>
                <c:pt idx="188">
                  <c:v>3390.52</c:v>
                </c:pt>
                <c:pt idx="189">
                  <c:v>3378.47</c:v>
                </c:pt>
                <c:pt idx="190">
                  <c:v>3372.04</c:v>
                </c:pt>
                <c:pt idx="191">
                  <c:v>3381.79</c:v>
                </c:pt>
                <c:pt idx="192">
                  <c:v>3370.17</c:v>
                </c:pt>
                <c:pt idx="193">
                  <c:v>3378.65</c:v>
                </c:pt>
                <c:pt idx="194">
                  <c:v>3380.7</c:v>
                </c:pt>
                <c:pt idx="195">
                  <c:v>3388.25</c:v>
                </c:pt>
                <c:pt idx="196">
                  <c:v>3396.9</c:v>
                </c:pt>
                <c:pt idx="197">
                  <c:v>3407.57</c:v>
                </c:pt>
                <c:pt idx="198">
                  <c:v>3416.81</c:v>
                </c:pt>
                <c:pt idx="199">
                  <c:v>3390.34</c:v>
                </c:pt>
                <c:pt idx="200">
                  <c:v>3393.34</c:v>
                </c:pt>
                <c:pt idx="201">
                  <c:v>3395.91</c:v>
                </c:pt>
                <c:pt idx="202">
                  <c:v>3383.31</c:v>
                </c:pt>
                <c:pt idx="203">
                  <c:v>3371.74</c:v>
                </c:pt>
                <c:pt idx="204">
                  <c:v>3388.17</c:v>
                </c:pt>
                <c:pt idx="205">
                  <c:v>3413.57</c:v>
                </c:pt>
                <c:pt idx="206">
                  <c:v>3415.46</c:v>
                </c:pt>
                <c:pt idx="207">
                  <c:v>3427.79</c:v>
                </c:pt>
                <c:pt idx="208">
                  <c:v>3432.67</c:v>
                </c:pt>
                <c:pt idx="209">
                  <c:v>3447.84</c:v>
                </c:pt>
                <c:pt idx="210">
                  <c:v>3429.55</c:v>
                </c:pt>
                <c:pt idx="211">
                  <c:v>3402.52</c:v>
                </c:pt>
                <c:pt idx="212">
                  <c:v>3399.25</c:v>
                </c:pt>
                <c:pt idx="213">
                  <c:v>3382.91</c:v>
                </c:pt>
                <c:pt idx="214">
                  <c:v>3392.4</c:v>
                </c:pt>
                <c:pt idx="215">
                  <c:v>3410.5</c:v>
                </c:pt>
                <c:pt idx="216">
                  <c:v>3430.46</c:v>
                </c:pt>
                <c:pt idx="217">
                  <c:v>3351.92</c:v>
                </c:pt>
                <c:pt idx="218">
                  <c:v>3353.82</c:v>
                </c:pt>
                <c:pt idx="219">
                  <c:v>3322.23</c:v>
                </c:pt>
                <c:pt idx="220">
                  <c:v>3333.66</c:v>
                </c:pt>
                <c:pt idx="221">
                  <c:v>3337.86</c:v>
                </c:pt>
                <c:pt idx="222">
                  <c:v>3317.19</c:v>
                </c:pt>
                <c:pt idx="223">
                  <c:v>3317.62</c:v>
                </c:pt>
                <c:pt idx="224">
                  <c:v>3309.62</c:v>
                </c:pt>
                <c:pt idx="225">
                  <c:v>3303.68</c:v>
                </c:pt>
                <c:pt idx="226">
                  <c:v>3293.96</c:v>
                </c:pt>
                <c:pt idx="227">
                  <c:v>3272.05</c:v>
                </c:pt>
                <c:pt idx="228">
                  <c:v>3289.99</c:v>
                </c:pt>
                <c:pt idx="229">
                  <c:v>3322.2</c:v>
                </c:pt>
                <c:pt idx="230">
                  <c:v>3280.81</c:v>
                </c:pt>
                <c:pt idx="231">
                  <c:v>3303.04</c:v>
                </c:pt>
                <c:pt idx="232">
                  <c:v>3292.44</c:v>
                </c:pt>
                <c:pt idx="233">
                  <c:v>3266.14</c:v>
                </c:pt>
                <c:pt idx="234">
                  <c:v>3267.92</c:v>
                </c:pt>
                <c:pt idx="235">
                  <c:v>3296.54</c:v>
                </c:pt>
                <c:pt idx="236">
                  <c:v>3287.61</c:v>
                </c:pt>
                <c:pt idx="237">
                  <c:v>3300.06</c:v>
                </c:pt>
                <c:pt idx="238">
                  <c:v>3297.06</c:v>
                </c:pt>
                <c:pt idx="239">
                  <c:v>3280.46</c:v>
                </c:pt>
                <c:pt idx="240">
                  <c:v>3306.12</c:v>
                </c:pt>
                <c:pt idx="241">
                  <c:v>3275.78</c:v>
                </c:pt>
                <c:pt idx="242">
                  <c:v>3296.38</c:v>
                </c:pt>
                <c:pt idx="243">
                  <c:v>3307.17</c:v>
                </c:pt>
              </c:numCache>
            </c:numRef>
          </c:val>
          <c:smooth val="0"/>
        </c:ser>
        <c:ser>
          <c:idx val="0"/>
          <c:order val="1"/>
          <c:tx>
            <c:v>深圳綜合指數</c:v>
          </c:tx>
          <c:spPr>
            <a:ln>
              <a:prstDash val="sysDash"/>
            </a:ln>
          </c:spPr>
          <c:marker>
            <c:symbol val="none"/>
          </c:marker>
          <c:cat>
            <c:numRef>
              <c:f>股票指數!$A$3:$A$246</c:f>
              <c:numCache>
                <c:formatCode>\ [$-1028]yyyy/m/d</c:formatCode>
                <c:ptCount val="244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</c:numCache>
            </c:numRef>
          </c:cat>
          <c:val>
            <c:numRef>
              <c:f>股票指數!$B$3:$B$246</c:f>
              <c:numCache>
                <c:formatCode>#,##0.000</c:formatCode>
                <c:ptCount val="244"/>
                <c:pt idx="0">
                  <c:v>1985.954</c:v>
                </c:pt>
                <c:pt idx="1">
                  <c:v>2008.7860000000001</c:v>
                </c:pt>
                <c:pt idx="2">
                  <c:v>2005.577</c:v>
                </c:pt>
                <c:pt idx="3">
                  <c:v>1988.13</c:v>
                </c:pt>
                <c:pt idx="4">
                  <c:v>1994.153</c:v>
                </c:pt>
                <c:pt idx="5">
                  <c:v>1989.29</c:v>
                </c:pt>
                <c:pt idx="6">
                  <c:v>1968.4290000000001</c:v>
                </c:pt>
                <c:pt idx="7">
                  <c:v>1951.3140000000001</c:v>
                </c:pt>
                <c:pt idx="8">
                  <c:v>1921.002</c:v>
                </c:pt>
                <c:pt idx="9">
                  <c:v>1851.41</c:v>
                </c:pt>
                <c:pt idx="10">
                  <c:v>1873.02</c:v>
                </c:pt>
                <c:pt idx="11">
                  <c:v>1864.59</c:v>
                </c:pt>
                <c:pt idx="12">
                  <c:v>1857.4580000000001</c:v>
                </c:pt>
                <c:pt idx="13">
                  <c:v>1885.7750000000001</c:v>
                </c:pt>
                <c:pt idx="14">
                  <c:v>1902.144</c:v>
                </c:pt>
                <c:pt idx="15">
                  <c:v>1896.45</c:v>
                </c:pt>
                <c:pt idx="16">
                  <c:v>1904.0360000000001</c:v>
                </c:pt>
                <c:pt idx="17">
                  <c:v>1917.317</c:v>
                </c:pt>
                <c:pt idx="18">
                  <c:v>1909.789</c:v>
                </c:pt>
                <c:pt idx="19">
                  <c:v>1927.5719999999999</c:v>
                </c:pt>
                <c:pt idx="20">
                  <c:v>1927.174</c:v>
                </c:pt>
                <c:pt idx="21">
                  <c:v>1941.7929999999999</c:v>
                </c:pt>
                <c:pt idx="22">
                  <c:v>1954.624</c:v>
                </c:pt>
                <c:pt idx="23">
                  <c:v>1950.319</c:v>
                </c:pt>
                <c:pt idx="24">
                  <c:v>1964.7460000000001</c:v>
                </c:pt>
                <c:pt idx="25">
                  <c:v>1964.3219999999999</c:v>
                </c:pt>
                <c:pt idx="26">
                  <c:v>1947.04</c:v>
                </c:pt>
                <c:pt idx="27">
                  <c:v>1958.115</c:v>
                </c:pt>
                <c:pt idx="28">
                  <c:v>1945.106</c:v>
                </c:pt>
                <c:pt idx="29">
                  <c:v>1962.53</c:v>
                </c:pt>
                <c:pt idx="30">
                  <c:v>1981.144</c:v>
                </c:pt>
                <c:pt idx="31">
                  <c:v>1990.336</c:v>
                </c:pt>
                <c:pt idx="32">
                  <c:v>1991.9839999999999</c:v>
                </c:pt>
                <c:pt idx="33">
                  <c:v>2000.38</c:v>
                </c:pt>
                <c:pt idx="34">
                  <c:v>1988.7729999999999</c:v>
                </c:pt>
                <c:pt idx="35">
                  <c:v>2001.3219999999999</c:v>
                </c:pt>
                <c:pt idx="36">
                  <c:v>2008.8689999999999</c:v>
                </c:pt>
                <c:pt idx="37">
                  <c:v>1997.7180000000001</c:v>
                </c:pt>
                <c:pt idx="38">
                  <c:v>2001.9079999999999</c:v>
                </c:pt>
                <c:pt idx="39">
                  <c:v>2025.5350000000001</c:v>
                </c:pt>
                <c:pt idx="40">
                  <c:v>2031.63</c:v>
                </c:pt>
                <c:pt idx="41">
                  <c:v>2024.2819999999999</c:v>
                </c:pt>
                <c:pt idx="42">
                  <c:v>2009.55</c:v>
                </c:pt>
                <c:pt idx="43">
                  <c:v>2013.6389999999999</c:v>
                </c:pt>
                <c:pt idx="44">
                  <c:v>2029.8889999999999</c:v>
                </c:pt>
                <c:pt idx="45">
                  <c:v>2027.1089999999999</c:v>
                </c:pt>
                <c:pt idx="46">
                  <c:v>2026.76</c:v>
                </c:pt>
                <c:pt idx="47">
                  <c:v>2046.307</c:v>
                </c:pt>
                <c:pt idx="48">
                  <c:v>2029.729</c:v>
                </c:pt>
                <c:pt idx="49">
                  <c:v>2036.0519999999999</c:v>
                </c:pt>
                <c:pt idx="50">
                  <c:v>2043.943</c:v>
                </c:pt>
                <c:pt idx="51">
                  <c:v>2037.885</c:v>
                </c:pt>
                <c:pt idx="52">
                  <c:v>2038.597</c:v>
                </c:pt>
                <c:pt idx="53">
                  <c:v>2046.742</c:v>
                </c:pt>
                <c:pt idx="54">
                  <c:v>2039.4059999999999</c:v>
                </c:pt>
                <c:pt idx="55">
                  <c:v>2034.2190000000001</c:v>
                </c:pt>
                <c:pt idx="56">
                  <c:v>2019.386</c:v>
                </c:pt>
                <c:pt idx="57">
                  <c:v>1979.5820000000001</c:v>
                </c:pt>
                <c:pt idx="58">
                  <c:v>1986.473</c:v>
                </c:pt>
                <c:pt idx="59">
                  <c:v>2023.1980000000001</c:v>
                </c:pt>
                <c:pt idx="60">
                  <c:v>2029.2059999999999</c:v>
                </c:pt>
                <c:pt idx="61">
                  <c:v>2028.3330000000001</c:v>
                </c:pt>
                <c:pt idx="62">
                  <c:v>2008.502</c:v>
                </c:pt>
                <c:pt idx="63">
                  <c:v>2022.3779999999999</c:v>
                </c:pt>
                <c:pt idx="64">
                  <c:v>2007.0029999999999</c:v>
                </c:pt>
                <c:pt idx="65">
                  <c:v>2014.6659999999999</c:v>
                </c:pt>
                <c:pt idx="66">
                  <c:v>1986.65</c:v>
                </c:pt>
                <c:pt idx="67">
                  <c:v>1958.5519999999999</c:v>
                </c:pt>
                <c:pt idx="68">
                  <c:v>1946.421</c:v>
                </c:pt>
                <c:pt idx="69">
                  <c:v>1932.463</c:v>
                </c:pt>
                <c:pt idx="70">
                  <c:v>1928.7760000000001</c:v>
                </c:pt>
                <c:pt idx="71">
                  <c:v>1920.2249999999999</c:v>
                </c:pt>
                <c:pt idx="72">
                  <c:v>1873.373</c:v>
                </c:pt>
                <c:pt idx="73">
                  <c:v>1882.8579999999999</c:v>
                </c:pt>
                <c:pt idx="74">
                  <c:v>1889.787</c:v>
                </c:pt>
                <c:pt idx="75">
                  <c:v>1900.0340000000001</c:v>
                </c:pt>
                <c:pt idx="76">
                  <c:v>1906.915</c:v>
                </c:pt>
                <c:pt idx="77">
                  <c:v>1906.877</c:v>
                </c:pt>
                <c:pt idx="78">
                  <c:v>1901.75</c:v>
                </c:pt>
                <c:pt idx="79">
                  <c:v>1896.357</c:v>
                </c:pt>
                <c:pt idx="80">
                  <c:v>1872.788</c:v>
                </c:pt>
                <c:pt idx="81">
                  <c:v>1835.587</c:v>
                </c:pt>
                <c:pt idx="82">
                  <c:v>1847.64</c:v>
                </c:pt>
                <c:pt idx="83">
                  <c:v>1822.557</c:v>
                </c:pt>
                <c:pt idx="84">
                  <c:v>1819.145</c:v>
                </c:pt>
                <c:pt idx="85">
                  <c:v>1820.1959999999999</c:v>
                </c:pt>
                <c:pt idx="86">
                  <c:v>1827.021</c:v>
                </c:pt>
                <c:pt idx="87">
                  <c:v>1865.2650000000001</c:v>
                </c:pt>
                <c:pt idx="88">
                  <c:v>1867.681</c:v>
                </c:pt>
                <c:pt idx="89">
                  <c:v>1855.9929999999999</c:v>
                </c:pt>
                <c:pt idx="90">
                  <c:v>1853.7139999999999</c:v>
                </c:pt>
                <c:pt idx="91">
                  <c:v>1828.22</c:v>
                </c:pt>
                <c:pt idx="92">
                  <c:v>1789.4680000000001</c:v>
                </c:pt>
                <c:pt idx="93">
                  <c:v>1798.8689999999999</c:v>
                </c:pt>
                <c:pt idx="94">
                  <c:v>1811.903</c:v>
                </c:pt>
                <c:pt idx="95">
                  <c:v>1810.1110000000001</c:v>
                </c:pt>
                <c:pt idx="96">
                  <c:v>1808.3019999999999</c:v>
                </c:pt>
                <c:pt idx="97">
                  <c:v>1773.606</c:v>
                </c:pt>
                <c:pt idx="98">
                  <c:v>1788.6030000000001</c:v>
                </c:pt>
                <c:pt idx="99">
                  <c:v>1800.932</c:v>
                </c:pt>
                <c:pt idx="100">
                  <c:v>1810.8019999999999</c:v>
                </c:pt>
                <c:pt idx="101">
                  <c:v>1850.5329999999999</c:v>
                </c:pt>
                <c:pt idx="102">
                  <c:v>1852.857</c:v>
                </c:pt>
                <c:pt idx="103">
                  <c:v>1857.165</c:v>
                </c:pt>
                <c:pt idx="104">
                  <c:v>1836.7619999999999</c:v>
                </c:pt>
                <c:pt idx="105">
                  <c:v>1859.8810000000001</c:v>
                </c:pt>
                <c:pt idx="106">
                  <c:v>1852.7850000000001</c:v>
                </c:pt>
                <c:pt idx="107">
                  <c:v>1869.712</c:v>
                </c:pt>
                <c:pt idx="108">
                  <c:v>1866.0519999999999</c:v>
                </c:pt>
                <c:pt idx="109">
                  <c:v>1876.85</c:v>
                </c:pt>
                <c:pt idx="110">
                  <c:v>1879.0640000000001</c:v>
                </c:pt>
                <c:pt idx="111">
                  <c:v>1887.193</c:v>
                </c:pt>
                <c:pt idx="112">
                  <c:v>1862.8389999999999</c:v>
                </c:pt>
                <c:pt idx="113">
                  <c:v>1871.337</c:v>
                </c:pt>
                <c:pt idx="114">
                  <c:v>1896.7950000000001</c:v>
                </c:pt>
                <c:pt idx="115">
                  <c:v>1898.5350000000001</c:v>
                </c:pt>
                <c:pt idx="116">
                  <c:v>1883.3710000000001</c:v>
                </c:pt>
                <c:pt idx="117">
                  <c:v>1892.269</c:v>
                </c:pt>
                <c:pt idx="118">
                  <c:v>1897.6869999999999</c:v>
                </c:pt>
                <c:pt idx="119">
                  <c:v>1905.204</c:v>
                </c:pt>
                <c:pt idx="120">
                  <c:v>1896.527</c:v>
                </c:pt>
                <c:pt idx="121">
                  <c:v>1913.1379999999999</c:v>
                </c:pt>
                <c:pt idx="122">
                  <c:v>1914.586</c:v>
                </c:pt>
                <c:pt idx="123">
                  <c:v>1918.1320000000001</c:v>
                </c:pt>
                <c:pt idx="124">
                  <c:v>1905.3679999999999</c:v>
                </c:pt>
                <c:pt idx="125">
                  <c:v>1891.596</c:v>
                </c:pt>
                <c:pt idx="126">
                  <c:v>1889.4469999999999</c:v>
                </c:pt>
                <c:pt idx="127">
                  <c:v>1888.6980000000001</c:v>
                </c:pt>
                <c:pt idx="128">
                  <c:v>1881.011</c:v>
                </c:pt>
                <c:pt idx="129">
                  <c:v>1800.54</c:v>
                </c:pt>
                <c:pt idx="130">
                  <c:v>1811.326</c:v>
                </c:pt>
                <c:pt idx="131">
                  <c:v>1839.057</c:v>
                </c:pt>
                <c:pt idx="132">
                  <c:v>1847.9739999999999</c:v>
                </c:pt>
                <c:pt idx="133">
                  <c:v>1845.8140000000001</c:v>
                </c:pt>
                <c:pt idx="134">
                  <c:v>1854.665</c:v>
                </c:pt>
                <c:pt idx="135">
                  <c:v>1848.5920000000001</c:v>
                </c:pt>
                <c:pt idx="136">
                  <c:v>1843.123</c:v>
                </c:pt>
                <c:pt idx="137">
                  <c:v>1865.9580000000001</c:v>
                </c:pt>
                <c:pt idx="138">
                  <c:v>1868.3720000000001</c:v>
                </c:pt>
                <c:pt idx="139">
                  <c:v>1879.096</c:v>
                </c:pt>
                <c:pt idx="140">
                  <c:v>1882.4680000000001</c:v>
                </c:pt>
                <c:pt idx="141">
                  <c:v>1869.317</c:v>
                </c:pt>
                <c:pt idx="142">
                  <c:v>1869.212</c:v>
                </c:pt>
                <c:pt idx="143">
                  <c:v>1858.4939999999999</c:v>
                </c:pt>
                <c:pt idx="144">
                  <c:v>1872.289</c:v>
                </c:pt>
                <c:pt idx="145">
                  <c:v>1879.165</c:v>
                </c:pt>
                <c:pt idx="146">
                  <c:v>1885.5530000000001</c:v>
                </c:pt>
                <c:pt idx="147">
                  <c:v>1872.597</c:v>
                </c:pt>
                <c:pt idx="148">
                  <c:v>1842.598</c:v>
                </c:pt>
                <c:pt idx="149">
                  <c:v>1879.7660000000001</c:v>
                </c:pt>
                <c:pt idx="150">
                  <c:v>1887.2829999999999</c:v>
                </c:pt>
                <c:pt idx="151">
                  <c:v>1898.386</c:v>
                </c:pt>
                <c:pt idx="152">
                  <c:v>1909.385</c:v>
                </c:pt>
                <c:pt idx="153">
                  <c:v>1902.2539999999999</c:v>
                </c:pt>
                <c:pt idx="154">
                  <c:v>1916.4190000000001</c:v>
                </c:pt>
                <c:pt idx="155">
                  <c:v>1908.32</c:v>
                </c:pt>
                <c:pt idx="156">
                  <c:v>1901.9960000000001</c:v>
                </c:pt>
                <c:pt idx="157">
                  <c:v>1890.4839999999999</c:v>
                </c:pt>
                <c:pt idx="158">
                  <c:v>1910.13</c:v>
                </c:pt>
                <c:pt idx="159">
                  <c:v>1936.761</c:v>
                </c:pt>
                <c:pt idx="160">
                  <c:v>1932.056</c:v>
                </c:pt>
                <c:pt idx="161">
                  <c:v>1938.9</c:v>
                </c:pt>
                <c:pt idx="162">
                  <c:v>1944.9390000000001</c:v>
                </c:pt>
                <c:pt idx="163">
                  <c:v>1956.3520000000001</c:v>
                </c:pt>
                <c:pt idx="164">
                  <c:v>1968.1220000000001</c:v>
                </c:pt>
                <c:pt idx="165">
                  <c:v>1972.1379999999999</c:v>
                </c:pt>
                <c:pt idx="166">
                  <c:v>1979.5340000000001</c:v>
                </c:pt>
                <c:pt idx="167">
                  <c:v>1972.739</c:v>
                </c:pt>
                <c:pt idx="168">
                  <c:v>1975.8689999999999</c:v>
                </c:pt>
                <c:pt idx="169">
                  <c:v>1991.732</c:v>
                </c:pt>
                <c:pt idx="170">
                  <c:v>1986.2080000000001</c:v>
                </c:pt>
                <c:pt idx="171">
                  <c:v>1994.9760000000001</c:v>
                </c:pt>
                <c:pt idx="172">
                  <c:v>1993.5319999999999</c:v>
                </c:pt>
                <c:pt idx="173">
                  <c:v>1987.9849999999999</c:v>
                </c:pt>
                <c:pt idx="174">
                  <c:v>2002.741</c:v>
                </c:pt>
                <c:pt idx="175">
                  <c:v>1995.6010000000001</c:v>
                </c:pt>
                <c:pt idx="176">
                  <c:v>2012.2339999999999</c:v>
                </c:pt>
                <c:pt idx="177">
                  <c:v>1995.422</c:v>
                </c:pt>
                <c:pt idx="178">
                  <c:v>1988.5889999999999</c:v>
                </c:pt>
                <c:pt idx="179">
                  <c:v>1963.895</c:v>
                </c:pt>
                <c:pt idx="180">
                  <c:v>1964.03</c:v>
                </c:pt>
                <c:pt idx="181">
                  <c:v>1979.28</c:v>
                </c:pt>
                <c:pt idx="182">
                  <c:v>1974.7829999999999</c:v>
                </c:pt>
                <c:pt idx="183">
                  <c:v>1988.492</c:v>
                </c:pt>
                <c:pt idx="184">
                  <c:v>2014.43</c:v>
                </c:pt>
                <c:pt idx="185">
                  <c:v>2030.1780000000001</c:v>
                </c:pt>
                <c:pt idx="186">
                  <c:v>2026.4690000000001</c:v>
                </c:pt>
                <c:pt idx="187">
                  <c:v>2023.356</c:v>
                </c:pt>
                <c:pt idx="188">
                  <c:v>2036.806</c:v>
                </c:pt>
                <c:pt idx="189">
                  <c:v>2005.9459999999999</c:v>
                </c:pt>
                <c:pt idx="190">
                  <c:v>2008.06</c:v>
                </c:pt>
                <c:pt idx="191">
                  <c:v>2000.11</c:v>
                </c:pt>
                <c:pt idx="192">
                  <c:v>1983.7180000000001</c:v>
                </c:pt>
                <c:pt idx="193">
                  <c:v>1999.6780000000001</c:v>
                </c:pt>
                <c:pt idx="194">
                  <c:v>2012.0519999999999</c:v>
                </c:pt>
                <c:pt idx="195">
                  <c:v>2009.652</c:v>
                </c:pt>
                <c:pt idx="196">
                  <c:v>2025.317</c:v>
                </c:pt>
                <c:pt idx="197">
                  <c:v>2030.3510000000001</c:v>
                </c:pt>
                <c:pt idx="198">
                  <c:v>2023.5</c:v>
                </c:pt>
                <c:pt idx="199">
                  <c:v>1988.481</c:v>
                </c:pt>
                <c:pt idx="200">
                  <c:v>2002.2840000000001</c:v>
                </c:pt>
                <c:pt idx="201">
                  <c:v>2003.444</c:v>
                </c:pt>
                <c:pt idx="202">
                  <c:v>1989.981</c:v>
                </c:pt>
                <c:pt idx="203">
                  <c:v>1975.923</c:v>
                </c:pt>
                <c:pt idx="204">
                  <c:v>1999.3019999999999</c:v>
                </c:pt>
                <c:pt idx="205">
                  <c:v>2012.7190000000001</c:v>
                </c:pt>
                <c:pt idx="206">
                  <c:v>2013.7070000000001</c:v>
                </c:pt>
                <c:pt idx="207">
                  <c:v>2028.692</c:v>
                </c:pt>
                <c:pt idx="208">
                  <c:v>2039.165</c:v>
                </c:pt>
                <c:pt idx="209">
                  <c:v>2045.1769999999999</c:v>
                </c:pt>
                <c:pt idx="210">
                  <c:v>2025.7829999999999</c:v>
                </c:pt>
                <c:pt idx="211">
                  <c:v>2005.6130000000001</c:v>
                </c:pt>
                <c:pt idx="212">
                  <c:v>2010.1320000000001</c:v>
                </c:pt>
                <c:pt idx="213">
                  <c:v>1954.299</c:v>
                </c:pt>
                <c:pt idx="214">
                  <c:v>1971.934</c:v>
                </c:pt>
                <c:pt idx="215">
                  <c:v>1987.451</c:v>
                </c:pt>
                <c:pt idx="216">
                  <c:v>1982.2819999999999</c:v>
                </c:pt>
                <c:pt idx="217">
                  <c:v>1924.4480000000001</c:v>
                </c:pt>
                <c:pt idx="218">
                  <c:v>1922.72</c:v>
                </c:pt>
                <c:pt idx="219">
                  <c:v>1892.8230000000001</c:v>
                </c:pt>
                <c:pt idx="220">
                  <c:v>1918.319</c:v>
                </c:pt>
                <c:pt idx="221">
                  <c:v>1919.059</c:v>
                </c:pt>
                <c:pt idx="222">
                  <c:v>1901.855</c:v>
                </c:pt>
                <c:pt idx="223">
                  <c:v>1916.8019999999999</c:v>
                </c:pt>
                <c:pt idx="224">
                  <c:v>1902.9110000000001</c:v>
                </c:pt>
                <c:pt idx="225">
                  <c:v>1866.982</c:v>
                </c:pt>
                <c:pt idx="226">
                  <c:v>1879.6510000000001</c:v>
                </c:pt>
                <c:pt idx="227">
                  <c:v>1868.424</c:v>
                </c:pt>
                <c:pt idx="228">
                  <c:v>1891.509</c:v>
                </c:pt>
                <c:pt idx="229">
                  <c:v>1919.691</c:v>
                </c:pt>
                <c:pt idx="230">
                  <c:v>1901.0889999999999</c:v>
                </c:pt>
                <c:pt idx="231">
                  <c:v>1915.7739999999999</c:v>
                </c:pt>
                <c:pt idx="232">
                  <c:v>1915.0039999999999</c:v>
                </c:pt>
                <c:pt idx="233">
                  <c:v>1901.203</c:v>
                </c:pt>
                <c:pt idx="234">
                  <c:v>1889.1320000000001</c:v>
                </c:pt>
                <c:pt idx="235">
                  <c:v>1905.624</c:v>
                </c:pt>
                <c:pt idx="236">
                  <c:v>1891.5229999999999</c:v>
                </c:pt>
                <c:pt idx="237">
                  <c:v>1905.048</c:v>
                </c:pt>
                <c:pt idx="238">
                  <c:v>1901.5609999999999</c:v>
                </c:pt>
                <c:pt idx="239">
                  <c:v>1883.8910000000001</c:v>
                </c:pt>
                <c:pt idx="240">
                  <c:v>1892.018</c:v>
                </c:pt>
                <c:pt idx="241">
                  <c:v>1878.8030000000001</c:v>
                </c:pt>
                <c:pt idx="242">
                  <c:v>1887.34</c:v>
                </c:pt>
                <c:pt idx="243">
                  <c:v>1899.3440000000001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1909760"/>
        <c:axId val="52787392"/>
      </c:lineChart>
      <c:dateAx>
        <c:axId val="601909760"/>
        <c:scaling>
          <c:orientation val="minMax"/>
          <c:max val="43100"/>
          <c:min val="42736"/>
        </c:scaling>
        <c:delete val="0"/>
        <c:axPos val="b"/>
        <c:numFmt formatCode="\ [$-1028]yyyy/m/d" sourceLinked="1"/>
        <c:majorTickMark val="in"/>
        <c:minorTickMark val="none"/>
        <c:tickLblPos val="nextTo"/>
        <c:crossAx val="52787392"/>
        <c:crosses val="autoZero"/>
        <c:auto val="0"/>
        <c:lblOffset val="100"/>
        <c:baseTimeUnit val="days"/>
      </c:dateAx>
      <c:valAx>
        <c:axId val="52787392"/>
        <c:scaling>
          <c:orientation val="minMax"/>
          <c:max val="3600"/>
          <c:min val="1200"/>
        </c:scaling>
        <c:delete val="0"/>
        <c:axPos val="l"/>
        <c:majorGridlines/>
        <c:numFmt formatCode="#,##0_);[Red]\(#,##0\)" sourceLinked="0"/>
        <c:majorTickMark val="in"/>
        <c:minorTickMark val="none"/>
        <c:tickLblPos val="nextTo"/>
        <c:crossAx val="601909760"/>
        <c:crosses val="autoZero"/>
        <c:crossBetween val="between"/>
        <c:majorUnit val="600"/>
      </c:valAx>
      <c:spPr>
        <a:noFill/>
        <a:ln>
          <a:solidFill>
            <a:schemeClr val="tx1"/>
          </a:solidFill>
        </a:ln>
      </c:spPr>
    </c:plotArea>
    <c:legend>
      <c:legendPos val="t"/>
      <c:layout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v>人民幣兌美元匯率中間價</c:v>
          </c:tx>
          <c:marker>
            <c:symbol val="none"/>
          </c:marker>
          <c:cat>
            <c:numRef>
              <c:f>RMB匯率!$A$3:$A$246</c:f>
              <c:numCache>
                <c:formatCode>\ [$-1028]yyyy/m/d</c:formatCode>
                <c:ptCount val="244"/>
                <c:pt idx="0">
                  <c:v>42738</c:v>
                </c:pt>
                <c:pt idx="1">
                  <c:v>42739</c:v>
                </c:pt>
                <c:pt idx="2">
                  <c:v>42740</c:v>
                </c:pt>
                <c:pt idx="3">
                  <c:v>42741</c:v>
                </c:pt>
                <c:pt idx="4">
                  <c:v>42744</c:v>
                </c:pt>
                <c:pt idx="5">
                  <c:v>42745</c:v>
                </c:pt>
                <c:pt idx="6">
                  <c:v>42746</c:v>
                </c:pt>
                <c:pt idx="7">
                  <c:v>42747</c:v>
                </c:pt>
                <c:pt idx="8">
                  <c:v>42748</c:v>
                </c:pt>
                <c:pt idx="9">
                  <c:v>42751</c:v>
                </c:pt>
                <c:pt idx="10">
                  <c:v>42752</c:v>
                </c:pt>
                <c:pt idx="11">
                  <c:v>42753</c:v>
                </c:pt>
                <c:pt idx="12">
                  <c:v>42754</c:v>
                </c:pt>
                <c:pt idx="13">
                  <c:v>42755</c:v>
                </c:pt>
                <c:pt idx="14">
                  <c:v>42758</c:v>
                </c:pt>
                <c:pt idx="15">
                  <c:v>42759</c:v>
                </c:pt>
                <c:pt idx="16">
                  <c:v>42760</c:v>
                </c:pt>
                <c:pt idx="17">
                  <c:v>42761</c:v>
                </c:pt>
                <c:pt idx="18">
                  <c:v>42769</c:v>
                </c:pt>
                <c:pt idx="19">
                  <c:v>42772</c:v>
                </c:pt>
                <c:pt idx="20">
                  <c:v>42773</c:v>
                </c:pt>
                <c:pt idx="21">
                  <c:v>42774</c:v>
                </c:pt>
                <c:pt idx="22">
                  <c:v>42775</c:v>
                </c:pt>
                <c:pt idx="23">
                  <c:v>42776</c:v>
                </c:pt>
                <c:pt idx="24">
                  <c:v>42779</c:v>
                </c:pt>
                <c:pt idx="25">
                  <c:v>42780</c:v>
                </c:pt>
                <c:pt idx="26">
                  <c:v>42781</c:v>
                </c:pt>
                <c:pt idx="27">
                  <c:v>42782</c:v>
                </c:pt>
                <c:pt idx="28">
                  <c:v>42783</c:v>
                </c:pt>
                <c:pt idx="29">
                  <c:v>42786</c:v>
                </c:pt>
                <c:pt idx="30">
                  <c:v>42787</c:v>
                </c:pt>
                <c:pt idx="31">
                  <c:v>42788</c:v>
                </c:pt>
                <c:pt idx="32">
                  <c:v>42789</c:v>
                </c:pt>
                <c:pt idx="33">
                  <c:v>42790</c:v>
                </c:pt>
                <c:pt idx="34">
                  <c:v>42793</c:v>
                </c:pt>
                <c:pt idx="35">
                  <c:v>42794</c:v>
                </c:pt>
                <c:pt idx="36">
                  <c:v>42795</c:v>
                </c:pt>
                <c:pt idx="37">
                  <c:v>42796</c:v>
                </c:pt>
                <c:pt idx="38">
                  <c:v>42797</c:v>
                </c:pt>
                <c:pt idx="39">
                  <c:v>42800</c:v>
                </c:pt>
                <c:pt idx="40">
                  <c:v>42801</c:v>
                </c:pt>
                <c:pt idx="41">
                  <c:v>42802</c:v>
                </c:pt>
                <c:pt idx="42">
                  <c:v>42803</c:v>
                </c:pt>
                <c:pt idx="43">
                  <c:v>42804</c:v>
                </c:pt>
                <c:pt idx="44">
                  <c:v>42807</c:v>
                </c:pt>
                <c:pt idx="45">
                  <c:v>42808</c:v>
                </c:pt>
                <c:pt idx="46">
                  <c:v>42809</c:v>
                </c:pt>
                <c:pt idx="47">
                  <c:v>42810</c:v>
                </c:pt>
                <c:pt idx="48">
                  <c:v>42811</c:v>
                </c:pt>
                <c:pt idx="49">
                  <c:v>42814</c:v>
                </c:pt>
                <c:pt idx="50">
                  <c:v>42815</c:v>
                </c:pt>
                <c:pt idx="51">
                  <c:v>42816</c:v>
                </c:pt>
                <c:pt idx="52">
                  <c:v>42817</c:v>
                </c:pt>
                <c:pt idx="53">
                  <c:v>42818</c:v>
                </c:pt>
                <c:pt idx="54">
                  <c:v>42821</c:v>
                </c:pt>
                <c:pt idx="55">
                  <c:v>42822</c:v>
                </c:pt>
                <c:pt idx="56">
                  <c:v>42823</c:v>
                </c:pt>
                <c:pt idx="57">
                  <c:v>42824</c:v>
                </c:pt>
                <c:pt idx="58">
                  <c:v>42825</c:v>
                </c:pt>
                <c:pt idx="59">
                  <c:v>42830</c:v>
                </c:pt>
                <c:pt idx="60">
                  <c:v>42831</c:v>
                </c:pt>
                <c:pt idx="61">
                  <c:v>42832</c:v>
                </c:pt>
                <c:pt idx="62">
                  <c:v>42835</c:v>
                </c:pt>
                <c:pt idx="63">
                  <c:v>42836</c:v>
                </c:pt>
                <c:pt idx="64">
                  <c:v>42837</c:v>
                </c:pt>
                <c:pt idx="65">
                  <c:v>42838</c:v>
                </c:pt>
                <c:pt idx="66">
                  <c:v>42839</c:v>
                </c:pt>
                <c:pt idx="67">
                  <c:v>42842</c:v>
                </c:pt>
                <c:pt idx="68">
                  <c:v>42843</c:v>
                </c:pt>
                <c:pt idx="69">
                  <c:v>42844</c:v>
                </c:pt>
                <c:pt idx="70">
                  <c:v>42845</c:v>
                </c:pt>
                <c:pt idx="71">
                  <c:v>42846</c:v>
                </c:pt>
                <c:pt idx="72">
                  <c:v>42849</c:v>
                </c:pt>
                <c:pt idx="73">
                  <c:v>42850</c:v>
                </c:pt>
                <c:pt idx="74">
                  <c:v>42851</c:v>
                </c:pt>
                <c:pt idx="75">
                  <c:v>42852</c:v>
                </c:pt>
                <c:pt idx="76">
                  <c:v>42853</c:v>
                </c:pt>
                <c:pt idx="77">
                  <c:v>42857</c:v>
                </c:pt>
                <c:pt idx="78">
                  <c:v>42858</c:v>
                </c:pt>
                <c:pt idx="79">
                  <c:v>42859</c:v>
                </c:pt>
                <c:pt idx="80">
                  <c:v>42860</c:v>
                </c:pt>
                <c:pt idx="81">
                  <c:v>42863</c:v>
                </c:pt>
                <c:pt idx="82">
                  <c:v>42864</c:v>
                </c:pt>
                <c:pt idx="83">
                  <c:v>42865</c:v>
                </c:pt>
                <c:pt idx="84">
                  <c:v>42866</c:v>
                </c:pt>
                <c:pt idx="85">
                  <c:v>42867</c:v>
                </c:pt>
                <c:pt idx="86">
                  <c:v>42870</c:v>
                </c:pt>
                <c:pt idx="87">
                  <c:v>42871</c:v>
                </c:pt>
                <c:pt idx="88">
                  <c:v>42872</c:v>
                </c:pt>
                <c:pt idx="89">
                  <c:v>42873</c:v>
                </c:pt>
                <c:pt idx="90">
                  <c:v>42874</c:v>
                </c:pt>
                <c:pt idx="91">
                  <c:v>42877</c:v>
                </c:pt>
                <c:pt idx="92">
                  <c:v>42878</c:v>
                </c:pt>
                <c:pt idx="93">
                  <c:v>42879</c:v>
                </c:pt>
                <c:pt idx="94">
                  <c:v>42880</c:v>
                </c:pt>
                <c:pt idx="95">
                  <c:v>42881</c:v>
                </c:pt>
                <c:pt idx="96">
                  <c:v>42886</c:v>
                </c:pt>
                <c:pt idx="97">
                  <c:v>42887</c:v>
                </c:pt>
                <c:pt idx="98">
                  <c:v>42888</c:v>
                </c:pt>
                <c:pt idx="99">
                  <c:v>42891</c:v>
                </c:pt>
                <c:pt idx="100">
                  <c:v>42892</c:v>
                </c:pt>
                <c:pt idx="101">
                  <c:v>42893</c:v>
                </c:pt>
                <c:pt idx="102">
                  <c:v>42894</c:v>
                </c:pt>
                <c:pt idx="103">
                  <c:v>42895</c:v>
                </c:pt>
                <c:pt idx="104">
                  <c:v>42898</c:v>
                </c:pt>
                <c:pt idx="105">
                  <c:v>42899</c:v>
                </c:pt>
                <c:pt idx="106">
                  <c:v>42900</c:v>
                </c:pt>
                <c:pt idx="107">
                  <c:v>42901</c:v>
                </c:pt>
                <c:pt idx="108">
                  <c:v>42902</c:v>
                </c:pt>
                <c:pt idx="109">
                  <c:v>42905</c:v>
                </c:pt>
                <c:pt idx="110">
                  <c:v>42906</c:v>
                </c:pt>
                <c:pt idx="111">
                  <c:v>42907</c:v>
                </c:pt>
                <c:pt idx="112">
                  <c:v>42908</c:v>
                </c:pt>
                <c:pt idx="113">
                  <c:v>42909</c:v>
                </c:pt>
                <c:pt idx="114">
                  <c:v>42912</c:v>
                </c:pt>
                <c:pt idx="115">
                  <c:v>42913</c:v>
                </c:pt>
                <c:pt idx="116">
                  <c:v>42914</c:v>
                </c:pt>
                <c:pt idx="117">
                  <c:v>42915</c:v>
                </c:pt>
                <c:pt idx="118">
                  <c:v>42916</c:v>
                </c:pt>
                <c:pt idx="119">
                  <c:v>42919</c:v>
                </c:pt>
                <c:pt idx="120">
                  <c:v>42920</c:v>
                </c:pt>
                <c:pt idx="121">
                  <c:v>42921</c:v>
                </c:pt>
                <c:pt idx="122">
                  <c:v>42922</c:v>
                </c:pt>
                <c:pt idx="123">
                  <c:v>42923</c:v>
                </c:pt>
                <c:pt idx="124">
                  <c:v>42926</c:v>
                </c:pt>
                <c:pt idx="125">
                  <c:v>42927</c:v>
                </c:pt>
                <c:pt idx="126">
                  <c:v>42928</c:v>
                </c:pt>
                <c:pt idx="127">
                  <c:v>42929</c:v>
                </c:pt>
                <c:pt idx="128">
                  <c:v>42930</c:v>
                </c:pt>
                <c:pt idx="129">
                  <c:v>42933</c:v>
                </c:pt>
                <c:pt idx="130">
                  <c:v>42934</c:v>
                </c:pt>
                <c:pt idx="131">
                  <c:v>42935</c:v>
                </c:pt>
                <c:pt idx="132">
                  <c:v>42936</c:v>
                </c:pt>
                <c:pt idx="133">
                  <c:v>42937</c:v>
                </c:pt>
                <c:pt idx="134">
                  <c:v>42940</c:v>
                </c:pt>
                <c:pt idx="135">
                  <c:v>42941</c:v>
                </c:pt>
                <c:pt idx="136">
                  <c:v>42942</c:v>
                </c:pt>
                <c:pt idx="137">
                  <c:v>42943</c:v>
                </c:pt>
                <c:pt idx="138">
                  <c:v>42944</c:v>
                </c:pt>
                <c:pt idx="139">
                  <c:v>42947</c:v>
                </c:pt>
                <c:pt idx="140">
                  <c:v>42948</c:v>
                </c:pt>
                <c:pt idx="141">
                  <c:v>42949</c:v>
                </c:pt>
                <c:pt idx="142">
                  <c:v>42950</c:v>
                </c:pt>
                <c:pt idx="143">
                  <c:v>42951</c:v>
                </c:pt>
                <c:pt idx="144">
                  <c:v>42954</c:v>
                </c:pt>
                <c:pt idx="145">
                  <c:v>42955</c:v>
                </c:pt>
                <c:pt idx="146">
                  <c:v>42956</c:v>
                </c:pt>
                <c:pt idx="147">
                  <c:v>42957</c:v>
                </c:pt>
                <c:pt idx="148">
                  <c:v>42958</c:v>
                </c:pt>
                <c:pt idx="149">
                  <c:v>42961</c:v>
                </c:pt>
                <c:pt idx="150">
                  <c:v>42962</c:v>
                </c:pt>
                <c:pt idx="151">
                  <c:v>42963</c:v>
                </c:pt>
                <c:pt idx="152">
                  <c:v>42964</c:v>
                </c:pt>
                <c:pt idx="153">
                  <c:v>42965</c:v>
                </c:pt>
                <c:pt idx="154">
                  <c:v>42968</c:v>
                </c:pt>
                <c:pt idx="155">
                  <c:v>42969</c:v>
                </c:pt>
                <c:pt idx="156">
                  <c:v>42970</c:v>
                </c:pt>
                <c:pt idx="157">
                  <c:v>42971</c:v>
                </c:pt>
                <c:pt idx="158">
                  <c:v>42972</c:v>
                </c:pt>
                <c:pt idx="159">
                  <c:v>42975</c:v>
                </c:pt>
                <c:pt idx="160">
                  <c:v>42976</c:v>
                </c:pt>
                <c:pt idx="161">
                  <c:v>42977</c:v>
                </c:pt>
                <c:pt idx="162">
                  <c:v>42978</c:v>
                </c:pt>
                <c:pt idx="163">
                  <c:v>42979</c:v>
                </c:pt>
                <c:pt idx="164">
                  <c:v>42982</c:v>
                </c:pt>
                <c:pt idx="165">
                  <c:v>42983</c:v>
                </c:pt>
                <c:pt idx="166">
                  <c:v>42984</c:v>
                </c:pt>
                <c:pt idx="167">
                  <c:v>42985</c:v>
                </c:pt>
                <c:pt idx="168">
                  <c:v>42986</c:v>
                </c:pt>
                <c:pt idx="169">
                  <c:v>42989</c:v>
                </c:pt>
                <c:pt idx="170">
                  <c:v>42990</c:v>
                </c:pt>
                <c:pt idx="171">
                  <c:v>42991</c:v>
                </c:pt>
                <c:pt idx="172">
                  <c:v>42992</c:v>
                </c:pt>
                <c:pt idx="173">
                  <c:v>42993</c:v>
                </c:pt>
                <c:pt idx="174">
                  <c:v>42996</c:v>
                </c:pt>
                <c:pt idx="175">
                  <c:v>42997</c:v>
                </c:pt>
                <c:pt idx="176">
                  <c:v>42998</c:v>
                </c:pt>
                <c:pt idx="177">
                  <c:v>42999</c:v>
                </c:pt>
                <c:pt idx="178">
                  <c:v>43000</c:v>
                </c:pt>
                <c:pt idx="179">
                  <c:v>43003</c:v>
                </c:pt>
                <c:pt idx="180">
                  <c:v>43004</c:v>
                </c:pt>
                <c:pt idx="181">
                  <c:v>43005</c:v>
                </c:pt>
                <c:pt idx="182">
                  <c:v>43006</c:v>
                </c:pt>
                <c:pt idx="183">
                  <c:v>43007</c:v>
                </c:pt>
                <c:pt idx="184">
                  <c:v>43017</c:v>
                </c:pt>
                <c:pt idx="185">
                  <c:v>43018</c:v>
                </c:pt>
                <c:pt idx="186">
                  <c:v>43019</c:v>
                </c:pt>
                <c:pt idx="187">
                  <c:v>43020</c:v>
                </c:pt>
                <c:pt idx="188">
                  <c:v>43021</c:v>
                </c:pt>
                <c:pt idx="189">
                  <c:v>43024</c:v>
                </c:pt>
                <c:pt idx="190">
                  <c:v>43025</c:v>
                </c:pt>
                <c:pt idx="191">
                  <c:v>43026</c:v>
                </c:pt>
                <c:pt idx="192">
                  <c:v>43027</c:v>
                </c:pt>
                <c:pt idx="193">
                  <c:v>43028</c:v>
                </c:pt>
                <c:pt idx="194">
                  <c:v>43031</c:v>
                </c:pt>
                <c:pt idx="195">
                  <c:v>43032</c:v>
                </c:pt>
                <c:pt idx="196">
                  <c:v>43033</c:v>
                </c:pt>
                <c:pt idx="197">
                  <c:v>43034</c:v>
                </c:pt>
                <c:pt idx="198">
                  <c:v>43035</c:v>
                </c:pt>
                <c:pt idx="199">
                  <c:v>43038</c:v>
                </c:pt>
                <c:pt idx="200">
                  <c:v>43039</c:v>
                </c:pt>
                <c:pt idx="201">
                  <c:v>43040</c:v>
                </c:pt>
                <c:pt idx="202">
                  <c:v>43041</c:v>
                </c:pt>
                <c:pt idx="203">
                  <c:v>43042</c:v>
                </c:pt>
                <c:pt idx="204">
                  <c:v>43045</c:v>
                </c:pt>
                <c:pt idx="205">
                  <c:v>43046</c:v>
                </c:pt>
                <c:pt idx="206">
                  <c:v>43047</c:v>
                </c:pt>
                <c:pt idx="207">
                  <c:v>43048</c:v>
                </c:pt>
                <c:pt idx="208">
                  <c:v>43049</c:v>
                </c:pt>
                <c:pt idx="209">
                  <c:v>43052</c:v>
                </c:pt>
                <c:pt idx="210">
                  <c:v>43053</c:v>
                </c:pt>
                <c:pt idx="211">
                  <c:v>43054</c:v>
                </c:pt>
                <c:pt idx="212">
                  <c:v>43055</c:v>
                </c:pt>
                <c:pt idx="213">
                  <c:v>43056</c:v>
                </c:pt>
                <c:pt idx="214">
                  <c:v>43059</c:v>
                </c:pt>
                <c:pt idx="215">
                  <c:v>43060</c:v>
                </c:pt>
                <c:pt idx="216">
                  <c:v>43061</c:v>
                </c:pt>
                <c:pt idx="217">
                  <c:v>43062</c:v>
                </c:pt>
                <c:pt idx="218">
                  <c:v>43063</c:v>
                </c:pt>
                <c:pt idx="219">
                  <c:v>43066</c:v>
                </c:pt>
                <c:pt idx="220">
                  <c:v>43067</c:v>
                </c:pt>
                <c:pt idx="221">
                  <c:v>43068</c:v>
                </c:pt>
                <c:pt idx="222">
                  <c:v>43069</c:v>
                </c:pt>
                <c:pt idx="223">
                  <c:v>43070</c:v>
                </c:pt>
                <c:pt idx="224">
                  <c:v>43073</c:v>
                </c:pt>
                <c:pt idx="225">
                  <c:v>43074</c:v>
                </c:pt>
                <c:pt idx="226">
                  <c:v>43075</c:v>
                </c:pt>
                <c:pt idx="227">
                  <c:v>43076</c:v>
                </c:pt>
                <c:pt idx="228">
                  <c:v>43077</c:v>
                </c:pt>
                <c:pt idx="229">
                  <c:v>43080</c:v>
                </c:pt>
                <c:pt idx="230">
                  <c:v>43081</c:v>
                </c:pt>
                <c:pt idx="231">
                  <c:v>43082</c:v>
                </c:pt>
                <c:pt idx="232">
                  <c:v>43083</c:v>
                </c:pt>
                <c:pt idx="233">
                  <c:v>43084</c:v>
                </c:pt>
                <c:pt idx="234">
                  <c:v>43087</c:v>
                </c:pt>
                <c:pt idx="235">
                  <c:v>43088</c:v>
                </c:pt>
                <c:pt idx="236">
                  <c:v>43089</c:v>
                </c:pt>
                <c:pt idx="237">
                  <c:v>43090</c:v>
                </c:pt>
                <c:pt idx="238">
                  <c:v>43091</c:v>
                </c:pt>
                <c:pt idx="239">
                  <c:v>43094</c:v>
                </c:pt>
                <c:pt idx="240">
                  <c:v>43095</c:v>
                </c:pt>
                <c:pt idx="241">
                  <c:v>43096</c:v>
                </c:pt>
                <c:pt idx="242">
                  <c:v>43097</c:v>
                </c:pt>
                <c:pt idx="243">
                  <c:v>43098</c:v>
                </c:pt>
              </c:numCache>
            </c:numRef>
          </c:cat>
          <c:val>
            <c:numRef>
              <c:f>RMB匯率!$B$3:$B$246</c:f>
              <c:numCache>
                <c:formatCode>#,##0.000</c:formatCode>
                <c:ptCount val="244"/>
                <c:pt idx="0">
                  <c:v>6.9497999999999998</c:v>
                </c:pt>
                <c:pt idx="1">
                  <c:v>6.9526000000000003</c:v>
                </c:pt>
                <c:pt idx="2">
                  <c:v>6.9306999999999999</c:v>
                </c:pt>
                <c:pt idx="3">
                  <c:v>6.8667999999999996</c:v>
                </c:pt>
                <c:pt idx="4">
                  <c:v>6.9261999999999997</c:v>
                </c:pt>
                <c:pt idx="5">
                  <c:v>6.9234</c:v>
                </c:pt>
                <c:pt idx="6">
                  <c:v>6.9234999999999998</c:v>
                </c:pt>
                <c:pt idx="7">
                  <c:v>6.9141000000000004</c:v>
                </c:pt>
                <c:pt idx="8">
                  <c:v>6.8909000000000002</c:v>
                </c:pt>
                <c:pt idx="9">
                  <c:v>6.8874000000000004</c:v>
                </c:pt>
                <c:pt idx="10">
                  <c:v>6.8992000000000004</c:v>
                </c:pt>
                <c:pt idx="11">
                  <c:v>6.8525</c:v>
                </c:pt>
                <c:pt idx="12">
                  <c:v>6.8567999999999998</c:v>
                </c:pt>
                <c:pt idx="13">
                  <c:v>6.8693</c:v>
                </c:pt>
                <c:pt idx="14">
                  <c:v>6.8571999999999997</c:v>
                </c:pt>
                <c:pt idx="15">
                  <c:v>6.8331</c:v>
                </c:pt>
                <c:pt idx="16">
                  <c:v>6.8596000000000004</c:v>
                </c:pt>
                <c:pt idx="17">
                  <c:v>6.8587999999999996</c:v>
                </c:pt>
                <c:pt idx="18">
                  <c:v>6.8555999999999999</c:v>
                </c:pt>
                <c:pt idx="19">
                  <c:v>6.8605999999999998</c:v>
                </c:pt>
                <c:pt idx="20">
                  <c:v>6.8604000000000003</c:v>
                </c:pt>
                <c:pt idx="21">
                  <c:v>6.8849</c:v>
                </c:pt>
                <c:pt idx="22">
                  <c:v>6.8710000000000004</c:v>
                </c:pt>
                <c:pt idx="23">
                  <c:v>6.8818999999999999</c:v>
                </c:pt>
                <c:pt idx="24">
                  <c:v>6.8898000000000001</c:v>
                </c:pt>
                <c:pt idx="25">
                  <c:v>6.8806000000000003</c:v>
                </c:pt>
                <c:pt idx="26">
                  <c:v>6.8632</c:v>
                </c:pt>
                <c:pt idx="27">
                  <c:v>6.8628999999999998</c:v>
                </c:pt>
                <c:pt idx="28">
                  <c:v>6.8456000000000001</c:v>
                </c:pt>
                <c:pt idx="29">
                  <c:v>6.8742999999999999</c:v>
                </c:pt>
                <c:pt idx="30">
                  <c:v>6.8789999999999996</c:v>
                </c:pt>
                <c:pt idx="31">
                  <c:v>6.883</c:v>
                </c:pt>
                <c:pt idx="32">
                  <c:v>6.8695000000000004</c:v>
                </c:pt>
                <c:pt idx="33">
                  <c:v>6.8654999999999999</c:v>
                </c:pt>
                <c:pt idx="34">
                  <c:v>6.8814000000000002</c:v>
                </c:pt>
                <c:pt idx="35">
                  <c:v>6.875</c:v>
                </c:pt>
                <c:pt idx="36">
                  <c:v>6.8798000000000004</c:v>
                </c:pt>
                <c:pt idx="37">
                  <c:v>6.8808999999999996</c:v>
                </c:pt>
                <c:pt idx="38">
                  <c:v>6.8895999999999997</c:v>
                </c:pt>
                <c:pt idx="39">
                  <c:v>6.8789999999999996</c:v>
                </c:pt>
                <c:pt idx="40">
                  <c:v>6.8956999999999997</c:v>
                </c:pt>
                <c:pt idx="41">
                  <c:v>6.9032</c:v>
                </c:pt>
                <c:pt idx="42">
                  <c:v>6.9124999999999996</c:v>
                </c:pt>
                <c:pt idx="43">
                  <c:v>6.9123000000000001</c:v>
                </c:pt>
                <c:pt idx="44">
                  <c:v>6.8987999999999996</c:v>
                </c:pt>
                <c:pt idx="45">
                  <c:v>6.9118000000000004</c:v>
                </c:pt>
                <c:pt idx="46">
                  <c:v>6.9115000000000002</c:v>
                </c:pt>
                <c:pt idx="47">
                  <c:v>6.8861999999999997</c:v>
                </c:pt>
                <c:pt idx="48">
                  <c:v>6.8872999999999998</c:v>
                </c:pt>
                <c:pt idx="49">
                  <c:v>6.8997999999999999</c:v>
                </c:pt>
                <c:pt idx="50">
                  <c:v>6.9070999999999998</c:v>
                </c:pt>
                <c:pt idx="51">
                  <c:v>6.8888999999999996</c:v>
                </c:pt>
                <c:pt idx="52">
                  <c:v>6.8856000000000002</c:v>
                </c:pt>
                <c:pt idx="53">
                  <c:v>6.8845000000000001</c:v>
                </c:pt>
                <c:pt idx="54">
                  <c:v>6.8700999999999999</c:v>
                </c:pt>
                <c:pt idx="55">
                  <c:v>6.8781999999999996</c:v>
                </c:pt>
                <c:pt idx="56">
                  <c:v>6.8914999999999997</c:v>
                </c:pt>
                <c:pt idx="57">
                  <c:v>6.8888999999999996</c:v>
                </c:pt>
                <c:pt idx="58">
                  <c:v>6.8993000000000002</c:v>
                </c:pt>
                <c:pt idx="59">
                  <c:v>6.8906000000000001</c:v>
                </c:pt>
                <c:pt idx="60">
                  <c:v>6.8929999999999998</c:v>
                </c:pt>
                <c:pt idx="61">
                  <c:v>6.8948999999999998</c:v>
                </c:pt>
                <c:pt idx="62">
                  <c:v>6.9042000000000003</c:v>
                </c:pt>
                <c:pt idx="63">
                  <c:v>6.8956999999999997</c:v>
                </c:pt>
                <c:pt idx="64">
                  <c:v>6.8940000000000001</c:v>
                </c:pt>
                <c:pt idx="65">
                  <c:v>6.8651</c:v>
                </c:pt>
                <c:pt idx="66">
                  <c:v>6.8739999999999997</c:v>
                </c:pt>
                <c:pt idx="67">
                  <c:v>6.8784999999999998</c:v>
                </c:pt>
                <c:pt idx="68">
                  <c:v>6.8849</c:v>
                </c:pt>
                <c:pt idx="69">
                  <c:v>6.8663999999999996</c:v>
                </c:pt>
                <c:pt idx="70">
                  <c:v>6.8792</c:v>
                </c:pt>
                <c:pt idx="71">
                  <c:v>6.8822999999999999</c:v>
                </c:pt>
                <c:pt idx="72">
                  <c:v>6.8673000000000002</c:v>
                </c:pt>
                <c:pt idx="73">
                  <c:v>6.8833000000000002</c:v>
                </c:pt>
                <c:pt idx="74">
                  <c:v>6.8845000000000001</c:v>
                </c:pt>
                <c:pt idx="75">
                  <c:v>6.8895999999999997</c:v>
                </c:pt>
                <c:pt idx="76">
                  <c:v>6.8930999999999996</c:v>
                </c:pt>
                <c:pt idx="77">
                  <c:v>6.8956</c:v>
                </c:pt>
                <c:pt idx="78">
                  <c:v>6.8891999999999998</c:v>
                </c:pt>
                <c:pt idx="79">
                  <c:v>6.8956999999999997</c:v>
                </c:pt>
                <c:pt idx="80">
                  <c:v>6.8883999999999999</c:v>
                </c:pt>
                <c:pt idx="81">
                  <c:v>6.8947000000000003</c:v>
                </c:pt>
                <c:pt idx="82">
                  <c:v>6.9036999999999997</c:v>
                </c:pt>
                <c:pt idx="83">
                  <c:v>6.9066000000000001</c:v>
                </c:pt>
                <c:pt idx="84">
                  <c:v>6.9051</c:v>
                </c:pt>
                <c:pt idx="85">
                  <c:v>6.8948</c:v>
                </c:pt>
                <c:pt idx="86">
                  <c:v>6.8852000000000002</c:v>
                </c:pt>
                <c:pt idx="87">
                  <c:v>6.8789999999999996</c:v>
                </c:pt>
                <c:pt idx="88">
                  <c:v>6.8635000000000002</c:v>
                </c:pt>
                <c:pt idx="89">
                  <c:v>6.8612000000000002</c:v>
                </c:pt>
                <c:pt idx="90">
                  <c:v>6.8785999999999996</c:v>
                </c:pt>
                <c:pt idx="91">
                  <c:v>6.8673000000000002</c:v>
                </c:pt>
                <c:pt idx="92">
                  <c:v>6.8661000000000003</c:v>
                </c:pt>
                <c:pt idx="93">
                  <c:v>6.8757999999999999</c:v>
                </c:pt>
                <c:pt idx="94">
                  <c:v>6.8695000000000004</c:v>
                </c:pt>
                <c:pt idx="95">
                  <c:v>6.8697999999999997</c:v>
                </c:pt>
                <c:pt idx="96">
                  <c:v>6.8632999999999997</c:v>
                </c:pt>
                <c:pt idx="97">
                  <c:v>6.8090000000000002</c:v>
                </c:pt>
                <c:pt idx="98">
                  <c:v>6.8070000000000004</c:v>
                </c:pt>
                <c:pt idx="99">
                  <c:v>6.7934999999999999</c:v>
                </c:pt>
                <c:pt idx="100">
                  <c:v>6.7934000000000001</c:v>
                </c:pt>
                <c:pt idx="101">
                  <c:v>6.7858000000000001</c:v>
                </c:pt>
                <c:pt idx="102">
                  <c:v>6.7930000000000001</c:v>
                </c:pt>
                <c:pt idx="103">
                  <c:v>6.7971000000000004</c:v>
                </c:pt>
                <c:pt idx="104">
                  <c:v>6.7948000000000004</c:v>
                </c:pt>
                <c:pt idx="105">
                  <c:v>6.7953999999999999</c:v>
                </c:pt>
                <c:pt idx="106">
                  <c:v>6.7938999999999998</c:v>
                </c:pt>
                <c:pt idx="107">
                  <c:v>6.7851999999999997</c:v>
                </c:pt>
                <c:pt idx="108">
                  <c:v>6.7995000000000001</c:v>
                </c:pt>
                <c:pt idx="109">
                  <c:v>6.7972000000000001</c:v>
                </c:pt>
                <c:pt idx="110">
                  <c:v>6.8095999999999997</c:v>
                </c:pt>
                <c:pt idx="111">
                  <c:v>6.8193000000000001</c:v>
                </c:pt>
                <c:pt idx="112">
                  <c:v>6.8197000000000001</c:v>
                </c:pt>
                <c:pt idx="113">
                  <c:v>6.8238000000000003</c:v>
                </c:pt>
                <c:pt idx="114">
                  <c:v>6.8220000000000001</c:v>
                </c:pt>
                <c:pt idx="115">
                  <c:v>6.8292000000000002</c:v>
                </c:pt>
                <c:pt idx="116">
                  <c:v>6.8052999999999999</c:v>
                </c:pt>
                <c:pt idx="117">
                  <c:v>6.7939999999999996</c:v>
                </c:pt>
                <c:pt idx="118">
                  <c:v>6.7744</c:v>
                </c:pt>
                <c:pt idx="119">
                  <c:v>6.7771999999999997</c:v>
                </c:pt>
                <c:pt idx="120">
                  <c:v>6.7888999999999999</c:v>
                </c:pt>
                <c:pt idx="121">
                  <c:v>6.7922000000000002</c:v>
                </c:pt>
                <c:pt idx="122">
                  <c:v>6.7953000000000001</c:v>
                </c:pt>
                <c:pt idx="123">
                  <c:v>6.7914000000000003</c:v>
                </c:pt>
                <c:pt idx="124">
                  <c:v>6.7964000000000002</c:v>
                </c:pt>
                <c:pt idx="125">
                  <c:v>6.7983000000000002</c:v>
                </c:pt>
                <c:pt idx="126">
                  <c:v>6.7868000000000004</c:v>
                </c:pt>
                <c:pt idx="127">
                  <c:v>6.7801999999999998</c:v>
                </c:pt>
                <c:pt idx="128">
                  <c:v>6.7774000000000001</c:v>
                </c:pt>
                <c:pt idx="129">
                  <c:v>6.7561999999999998</c:v>
                </c:pt>
                <c:pt idx="130">
                  <c:v>6.7610999999999999</c:v>
                </c:pt>
                <c:pt idx="131">
                  <c:v>6.7450999999999999</c:v>
                </c:pt>
                <c:pt idx="132">
                  <c:v>6.7464000000000004</c:v>
                </c:pt>
                <c:pt idx="133">
                  <c:v>6.7415000000000003</c:v>
                </c:pt>
                <c:pt idx="134">
                  <c:v>6.7409999999999997</c:v>
                </c:pt>
                <c:pt idx="135">
                  <c:v>6.7484999999999999</c:v>
                </c:pt>
                <c:pt idx="136">
                  <c:v>6.7529000000000003</c:v>
                </c:pt>
                <c:pt idx="137">
                  <c:v>6.7306999999999997</c:v>
                </c:pt>
                <c:pt idx="138">
                  <c:v>6.7373000000000003</c:v>
                </c:pt>
                <c:pt idx="139">
                  <c:v>6.7282999999999999</c:v>
                </c:pt>
                <c:pt idx="140">
                  <c:v>6.7148000000000003</c:v>
                </c:pt>
                <c:pt idx="141">
                  <c:v>6.7205000000000004</c:v>
                </c:pt>
                <c:pt idx="142">
                  <c:v>6.7210999999999999</c:v>
                </c:pt>
                <c:pt idx="143">
                  <c:v>6.7131999999999996</c:v>
                </c:pt>
                <c:pt idx="144">
                  <c:v>6.7228000000000003</c:v>
                </c:pt>
                <c:pt idx="145">
                  <c:v>6.7183999999999999</c:v>
                </c:pt>
                <c:pt idx="146">
                  <c:v>6.7074999999999996</c:v>
                </c:pt>
                <c:pt idx="147">
                  <c:v>6.6769999999999996</c:v>
                </c:pt>
                <c:pt idx="148">
                  <c:v>6.6642000000000001</c:v>
                </c:pt>
                <c:pt idx="149">
                  <c:v>6.6600999999999999</c:v>
                </c:pt>
                <c:pt idx="150">
                  <c:v>6.6688999999999998</c:v>
                </c:pt>
                <c:pt idx="151">
                  <c:v>6.6779000000000002</c:v>
                </c:pt>
                <c:pt idx="152">
                  <c:v>6.6708999999999996</c:v>
                </c:pt>
                <c:pt idx="153">
                  <c:v>6.6744000000000003</c:v>
                </c:pt>
                <c:pt idx="154">
                  <c:v>6.6708999999999996</c:v>
                </c:pt>
                <c:pt idx="155">
                  <c:v>6.6597</c:v>
                </c:pt>
                <c:pt idx="156">
                  <c:v>6.6632999999999996</c:v>
                </c:pt>
                <c:pt idx="157">
                  <c:v>6.6524999999999999</c:v>
                </c:pt>
                <c:pt idx="158">
                  <c:v>6.6578999999999997</c:v>
                </c:pt>
                <c:pt idx="159">
                  <c:v>6.6353</c:v>
                </c:pt>
                <c:pt idx="160">
                  <c:v>6.6292999999999997</c:v>
                </c:pt>
                <c:pt idx="161">
                  <c:v>6.6101999999999999</c:v>
                </c:pt>
                <c:pt idx="162">
                  <c:v>6.601</c:v>
                </c:pt>
                <c:pt idx="163">
                  <c:v>6.5909000000000004</c:v>
                </c:pt>
                <c:pt idx="164">
                  <c:v>6.5667999999999997</c:v>
                </c:pt>
                <c:pt idx="165">
                  <c:v>6.5369999999999999</c:v>
                </c:pt>
                <c:pt idx="166">
                  <c:v>6.5311000000000003</c:v>
                </c:pt>
                <c:pt idx="167">
                  <c:v>6.5269000000000004</c:v>
                </c:pt>
                <c:pt idx="168">
                  <c:v>6.5031999999999996</c:v>
                </c:pt>
                <c:pt idx="169">
                  <c:v>6.4996999999999998</c:v>
                </c:pt>
                <c:pt idx="170">
                  <c:v>6.5277000000000003</c:v>
                </c:pt>
                <c:pt idx="171">
                  <c:v>6.5381999999999998</c:v>
                </c:pt>
                <c:pt idx="172">
                  <c:v>6.5465</c:v>
                </c:pt>
                <c:pt idx="173">
                  <c:v>6.5423</c:v>
                </c:pt>
                <c:pt idx="174">
                  <c:v>6.5419</c:v>
                </c:pt>
                <c:pt idx="175">
                  <c:v>6.5529999999999999</c:v>
                </c:pt>
                <c:pt idx="176">
                  <c:v>6.5670000000000002</c:v>
                </c:pt>
                <c:pt idx="177">
                  <c:v>6.5867000000000004</c:v>
                </c:pt>
                <c:pt idx="178">
                  <c:v>6.5861000000000001</c:v>
                </c:pt>
                <c:pt idx="179">
                  <c:v>6.5945</c:v>
                </c:pt>
                <c:pt idx="180">
                  <c:v>6.6075999999999997</c:v>
                </c:pt>
                <c:pt idx="181">
                  <c:v>6.6192000000000002</c:v>
                </c:pt>
                <c:pt idx="182">
                  <c:v>6.6284999999999998</c:v>
                </c:pt>
                <c:pt idx="183">
                  <c:v>6.6368999999999998</c:v>
                </c:pt>
                <c:pt idx="184">
                  <c:v>6.6493000000000002</c:v>
                </c:pt>
                <c:pt idx="185">
                  <c:v>6.6273</c:v>
                </c:pt>
                <c:pt idx="186">
                  <c:v>6.5841000000000003</c:v>
                </c:pt>
                <c:pt idx="187">
                  <c:v>6.5808</c:v>
                </c:pt>
                <c:pt idx="188">
                  <c:v>6.5865999999999998</c:v>
                </c:pt>
                <c:pt idx="189">
                  <c:v>6.5838999999999999</c:v>
                </c:pt>
                <c:pt idx="190">
                  <c:v>6.5883000000000003</c:v>
                </c:pt>
                <c:pt idx="191">
                  <c:v>6.5991</c:v>
                </c:pt>
                <c:pt idx="192">
                  <c:v>6.6093000000000002</c:v>
                </c:pt>
                <c:pt idx="193">
                  <c:v>6.6092000000000004</c:v>
                </c:pt>
                <c:pt idx="194">
                  <c:v>6.6204999999999998</c:v>
                </c:pt>
                <c:pt idx="195">
                  <c:v>6.6268000000000002</c:v>
                </c:pt>
                <c:pt idx="196">
                  <c:v>6.6322000000000001</c:v>
                </c:pt>
                <c:pt idx="197">
                  <c:v>6.6288</c:v>
                </c:pt>
                <c:pt idx="198">
                  <c:v>6.6473000000000004</c:v>
                </c:pt>
                <c:pt idx="199">
                  <c:v>6.6486999999999998</c:v>
                </c:pt>
                <c:pt idx="200">
                  <c:v>6.6397000000000004</c:v>
                </c:pt>
                <c:pt idx="201">
                  <c:v>6.63</c:v>
                </c:pt>
                <c:pt idx="202">
                  <c:v>6.6196000000000002</c:v>
                </c:pt>
                <c:pt idx="203">
                  <c:v>6.6071999999999997</c:v>
                </c:pt>
                <c:pt idx="204">
                  <c:v>6.6246999999999998</c:v>
                </c:pt>
                <c:pt idx="205">
                  <c:v>6.6215999999999999</c:v>
                </c:pt>
                <c:pt idx="206">
                  <c:v>6.6276999999999999</c:v>
                </c:pt>
                <c:pt idx="207">
                  <c:v>6.6325000000000003</c:v>
                </c:pt>
                <c:pt idx="208">
                  <c:v>6.6281999999999996</c:v>
                </c:pt>
                <c:pt idx="209">
                  <c:v>6.6346999999999996</c:v>
                </c:pt>
                <c:pt idx="210">
                  <c:v>6.6398999999999999</c:v>
                </c:pt>
                <c:pt idx="211">
                  <c:v>6.6262999999999996</c:v>
                </c:pt>
                <c:pt idx="212">
                  <c:v>6.6285999999999996</c:v>
                </c:pt>
                <c:pt idx="213">
                  <c:v>6.6276999999999999</c:v>
                </c:pt>
                <c:pt idx="214">
                  <c:v>6.6271000000000004</c:v>
                </c:pt>
                <c:pt idx="215">
                  <c:v>6.6356000000000002</c:v>
                </c:pt>
                <c:pt idx="216">
                  <c:v>6.6289999999999996</c:v>
                </c:pt>
                <c:pt idx="217">
                  <c:v>6.6021000000000001</c:v>
                </c:pt>
                <c:pt idx="218">
                  <c:v>6.5810000000000004</c:v>
                </c:pt>
                <c:pt idx="219">
                  <c:v>6.5873999999999997</c:v>
                </c:pt>
                <c:pt idx="220">
                  <c:v>6.5944000000000003</c:v>
                </c:pt>
                <c:pt idx="221">
                  <c:v>6.6010999999999997</c:v>
                </c:pt>
                <c:pt idx="222">
                  <c:v>6.6033999999999997</c:v>
                </c:pt>
                <c:pt idx="223">
                  <c:v>6.6067</c:v>
                </c:pt>
                <c:pt idx="224">
                  <c:v>6.6105</c:v>
                </c:pt>
                <c:pt idx="225">
                  <c:v>6.6113</c:v>
                </c:pt>
                <c:pt idx="226">
                  <c:v>6.6162999999999998</c:v>
                </c:pt>
                <c:pt idx="227">
                  <c:v>6.6195000000000004</c:v>
                </c:pt>
                <c:pt idx="228">
                  <c:v>6.6218000000000004</c:v>
                </c:pt>
                <c:pt idx="229">
                  <c:v>6.6151999999999997</c:v>
                </c:pt>
                <c:pt idx="230">
                  <c:v>6.6162000000000001</c:v>
                </c:pt>
                <c:pt idx="231">
                  <c:v>6.6250999999999998</c:v>
                </c:pt>
                <c:pt idx="232">
                  <c:v>6.6032999999999999</c:v>
                </c:pt>
                <c:pt idx="233">
                  <c:v>6.6113</c:v>
                </c:pt>
                <c:pt idx="234">
                  <c:v>6.6162000000000001</c:v>
                </c:pt>
                <c:pt idx="235">
                  <c:v>6.6097999999999999</c:v>
                </c:pt>
                <c:pt idx="236">
                  <c:v>6.6066000000000003</c:v>
                </c:pt>
                <c:pt idx="237">
                  <c:v>6.5795000000000003</c:v>
                </c:pt>
                <c:pt idx="238">
                  <c:v>6.5820999999999996</c:v>
                </c:pt>
                <c:pt idx="239">
                  <c:v>6.5682999999999998</c:v>
                </c:pt>
                <c:pt idx="240">
                  <c:v>6.5415999999999999</c:v>
                </c:pt>
                <c:pt idx="241">
                  <c:v>6.5420999999999996</c:v>
                </c:pt>
                <c:pt idx="242">
                  <c:v>6.5411999999999999</c:v>
                </c:pt>
                <c:pt idx="243">
                  <c:v>6.5342000000000002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1910272"/>
        <c:axId val="52781632"/>
      </c:lineChart>
      <c:dateAx>
        <c:axId val="601910272"/>
        <c:scaling>
          <c:orientation val="minMax"/>
          <c:max val="43100"/>
          <c:min val="42736"/>
        </c:scaling>
        <c:delete val="0"/>
        <c:axPos val="b"/>
        <c:numFmt formatCode="\ [$-1028]yyyy/m/d" sourceLinked="1"/>
        <c:majorTickMark val="in"/>
        <c:minorTickMark val="none"/>
        <c:tickLblPos val="nextTo"/>
        <c:crossAx val="52781632"/>
        <c:crosses val="autoZero"/>
        <c:auto val="1"/>
        <c:lblOffset val="100"/>
        <c:baseTimeUnit val="days"/>
      </c:dateAx>
      <c:valAx>
        <c:axId val="52781632"/>
        <c:scaling>
          <c:orientation val="minMax"/>
          <c:max val="7"/>
          <c:min val="6.4"/>
        </c:scaling>
        <c:delete val="0"/>
        <c:axPos val="l"/>
        <c:majorGridlines/>
        <c:numFmt formatCode="#,##0.00" sourceLinked="0"/>
        <c:majorTickMark val="in"/>
        <c:minorTickMark val="none"/>
        <c:tickLblPos val="nextTo"/>
        <c:crossAx val="601910272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t"/>
      <c:layout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v>外匯儲備</c:v>
          </c:tx>
          <c:marker>
            <c:symbol val="none"/>
          </c:marker>
          <c:cat>
            <c:numRef>
              <c:f>工作表1!$A$206:$A$349</c:f>
              <c:numCache>
                <c:formatCode>\ [$-1028]yyyy/m</c:formatCode>
                <c:ptCount val="144"/>
                <c:pt idx="0">
                  <c:v>38718</c:v>
                </c:pt>
                <c:pt idx="1">
                  <c:v>38749</c:v>
                </c:pt>
                <c:pt idx="2">
                  <c:v>38777</c:v>
                </c:pt>
                <c:pt idx="3">
                  <c:v>38808</c:v>
                </c:pt>
                <c:pt idx="4">
                  <c:v>38838</c:v>
                </c:pt>
                <c:pt idx="5">
                  <c:v>38869</c:v>
                </c:pt>
                <c:pt idx="6">
                  <c:v>38899</c:v>
                </c:pt>
                <c:pt idx="7">
                  <c:v>38930</c:v>
                </c:pt>
                <c:pt idx="8">
                  <c:v>38961</c:v>
                </c:pt>
                <c:pt idx="9">
                  <c:v>38991</c:v>
                </c:pt>
                <c:pt idx="10">
                  <c:v>39022</c:v>
                </c:pt>
                <c:pt idx="11">
                  <c:v>39052</c:v>
                </c:pt>
                <c:pt idx="12">
                  <c:v>39083</c:v>
                </c:pt>
                <c:pt idx="13">
                  <c:v>39114</c:v>
                </c:pt>
                <c:pt idx="14">
                  <c:v>39142</c:v>
                </c:pt>
                <c:pt idx="15">
                  <c:v>39173</c:v>
                </c:pt>
                <c:pt idx="16">
                  <c:v>39203</c:v>
                </c:pt>
                <c:pt idx="17">
                  <c:v>39234</c:v>
                </c:pt>
                <c:pt idx="18">
                  <c:v>39264</c:v>
                </c:pt>
                <c:pt idx="19">
                  <c:v>39295</c:v>
                </c:pt>
                <c:pt idx="20">
                  <c:v>39326</c:v>
                </c:pt>
                <c:pt idx="21">
                  <c:v>39356</c:v>
                </c:pt>
                <c:pt idx="22">
                  <c:v>39387</c:v>
                </c:pt>
                <c:pt idx="23">
                  <c:v>39417</c:v>
                </c:pt>
                <c:pt idx="24">
                  <c:v>39448</c:v>
                </c:pt>
                <c:pt idx="25">
                  <c:v>39479</c:v>
                </c:pt>
                <c:pt idx="26">
                  <c:v>39508</c:v>
                </c:pt>
                <c:pt idx="27">
                  <c:v>39539</c:v>
                </c:pt>
                <c:pt idx="28">
                  <c:v>39569</c:v>
                </c:pt>
                <c:pt idx="29">
                  <c:v>39600</c:v>
                </c:pt>
                <c:pt idx="30">
                  <c:v>39630</c:v>
                </c:pt>
                <c:pt idx="31">
                  <c:v>39661</c:v>
                </c:pt>
                <c:pt idx="32">
                  <c:v>39692</c:v>
                </c:pt>
                <c:pt idx="33">
                  <c:v>39722</c:v>
                </c:pt>
                <c:pt idx="34">
                  <c:v>39753</c:v>
                </c:pt>
                <c:pt idx="35">
                  <c:v>39783</c:v>
                </c:pt>
                <c:pt idx="36">
                  <c:v>39814</c:v>
                </c:pt>
                <c:pt idx="37">
                  <c:v>39845</c:v>
                </c:pt>
                <c:pt idx="38">
                  <c:v>39873</c:v>
                </c:pt>
                <c:pt idx="39">
                  <c:v>39904</c:v>
                </c:pt>
                <c:pt idx="40">
                  <c:v>39934</c:v>
                </c:pt>
                <c:pt idx="41">
                  <c:v>39965</c:v>
                </c:pt>
                <c:pt idx="42">
                  <c:v>39995</c:v>
                </c:pt>
                <c:pt idx="43">
                  <c:v>40026</c:v>
                </c:pt>
                <c:pt idx="44">
                  <c:v>40057</c:v>
                </c:pt>
                <c:pt idx="45">
                  <c:v>40087</c:v>
                </c:pt>
                <c:pt idx="46">
                  <c:v>40118</c:v>
                </c:pt>
                <c:pt idx="47">
                  <c:v>40148</c:v>
                </c:pt>
                <c:pt idx="48">
                  <c:v>40179</c:v>
                </c:pt>
                <c:pt idx="49">
                  <c:v>40210</c:v>
                </c:pt>
                <c:pt idx="50">
                  <c:v>40238</c:v>
                </c:pt>
                <c:pt idx="51">
                  <c:v>40269</c:v>
                </c:pt>
                <c:pt idx="52">
                  <c:v>40299</c:v>
                </c:pt>
                <c:pt idx="53">
                  <c:v>40330</c:v>
                </c:pt>
                <c:pt idx="54">
                  <c:v>40360</c:v>
                </c:pt>
                <c:pt idx="55">
                  <c:v>40391</c:v>
                </c:pt>
                <c:pt idx="56">
                  <c:v>40422</c:v>
                </c:pt>
                <c:pt idx="57">
                  <c:v>40452</c:v>
                </c:pt>
                <c:pt idx="58">
                  <c:v>40483</c:v>
                </c:pt>
                <c:pt idx="59">
                  <c:v>40513</c:v>
                </c:pt>
                <c:pt idx="60">
                  <c:v>40544</c:v>
                </c:pt>
                <c:pt idx="61">
                  <c:v>40575</c:v>
                </c:pt>
                <c:pt idx="62">
                  <c:v>40603</c:v>
                </c:pt>
                <c:pt idx="63">
                  <c:v>40634</c:v>
                </c:pt>
                <c:pt idx="64">
                  <c:v>40664</c:v>
                </c:pt>
                <c:pt idx="65">
                  <c:v>40695</c:v>
                </c:pt>
                <c:pt idx="66">
                  <c:v>40725</c:v>
                </c:pt>
                <c:pt idx="67">
                  <c:v>40756</c:v>
                </c:pt>
                <c:pt idx="68">
                  <c:v>40787</c:v>
                </c:pt>
                <c:pt idx="69">
                  <c:v>40817</c:v>
                </c:pt>
                <c:pt idx="70">
                  <c:v>40848</c:v>
                </c:pt>
                <c:pt idx="71">
                  <c:v>40878</c:v>
                </c:pt>
                <c:pt idx="72">
                  <c:v>40909</c:v>
                </c:pt>
                <c:pt idx="73">
                  <c:v>40940</c:v>
                </c:pt>
                <c:pt idx="74">
                  <c:v>40969</c:v>
                </c:pt>
                <c:pt idx="75">
                  <c:v>41000</c:v>
                </c:pt>
                <c:pt idx="76">
                  <c:v>41030</c:v>
                </c:pt>
                <c:pt idx="77">
                  <c:v>41061</c:v>
                </c:pt>
                <c:pt idx="78">
                  <c:v>41091</c:v>
                </c:pt>
                <c:pt idx="79">
                  <c:v>41122</c:v>
                </c:pt>
                <c:pt idx="80">
                  <c:v>41153</c:v>
                </c:pt>
                <c:pt idx="81">
                  <c:v>41183</c:v>
                </c:pt>
                <c:pt idx="82">
                  <c:v>41214</c:v>
                </c:pt>
                <c:pt idx="83">
                  <c:v>41244</c:v>
                </c:pt>
                <c:pt idx="84">
                  <c:v>41275</c:v>
                </c:pt>
                <c:pt idx="85">
                  <c:v>41306</c:v>
                </c:pt>
                <c:pt idx="86">
                  <c:v>41334</c:v>
                </c:pt>
                <c:pt idx="87">
                  <c:v>41365</c:v>
                </c:pt>
                <c:pt idx="88">
                  <c:v>41395</c:v>
                </c:pt>
                <c:pt idx="89">
                  <c:v>41426</c:v>
                </c:pt>
                <c:pt idx="90">
                  <c:v>41456</c:v>
                </c:pt>
                <c:pt idx="91">
                  <c:v>41487</c:v>
                </c:pt>
                <c:pt idx="92">
                  <c:v>41518</c:v>
                </c:pt>
                <c:pt idx="93">
                  <c:v>41548</c:v>
                </c:pt>
                <c:pt idx="94">
                  <c:v>41579</c:v>
                </c:pt>
                <c:pt idx="95">
                  <c:v>41609</c:v>
                </c:pt>
                <c:pt idx="96">
                  <c:v>41640</c:v>
                </c:pt>
                <c:pt idx="97">
                  <c:v>41671</c:v>
                </c:pt>
                <c:pt idx="98">
                  <c:v>41699</c:v>
                </c:pt>
                <c:pt idx="99">
                  <c:v>41730</c:v>
                </c:pt>
                <c:pt idx="100">
                  <c:v>41760</c:v>
                </c:pt>
                <c:pt idx="101">
                  <c:v>41791</c:v>
                </c:pt>
                <c:pt idx="102">
                  <c:v>41821</c:v>
                </c:pt>
                <c:pt idx="103">
                  <c:v>41852</c:v>
                </c:pt>
                <c:pt idx="104">
                  <c:v>41883</c:v>
                </c:pt>
                <c:pt idx="105">
                  <c:v>41913</c:v>
                </c:pt>
                <c:pt idx="106">
                  <c:v>41944</c:v>
                </c:pt>
                <c:pt idx="107">
                  <c:v>41974</c:v>
                </c:pt>
                <c:pt idx="108">
                  <c:v>42005</c:v>
                </c:pt>
                <c:pt idx="109">
                  <c:v>42036</c:v>
                </c:pt>
                <c:pt idx="110">
                  <c:v>42064</c:v>
                </c:pt>
                <c:pt idx="111">
                  <c:v>42095</c:v>
                </c:pt>
                <c:pt idx="112">
                  <c:v>42125</c:v>
                </c:pt>
                <c:pt idx="113">
                  <c:v>42156</c:v>
                </c:pt>
                <c:pt idx="114">
                  <c:v>42186</c:v>
                </c:pt>
                <c:pt idx="115">
                  <c:v>42217</c:v>
                </c:pt>
                <c:pt idx="116">
                  <c:v>42248</c:v>
                </c:pt>
                <c:pt idx="117">
                  <c:v>42278</c:v>
                </c:pt>
                <c:pt idx="118">
                  <c:v>42309</c:v>
                </c:pt>
                <c:pt idx="119">
                  <c:v>42339</c:v>
                </c:pt>
                <c:pt idx="120">
                  <c:v>42370</c:v>
                </c:pt>
                <c:pt idx="121">
                  <c:v>42401</c:v>
                </c:pt>
                <c:pt idx="122">
                  <c:v>42430</c:v>
                </c:pt>
                <c:pt idx="123">
                  <c:v>42461</c:v>
                </c:pt>
                <c:pt idx="124">
                  <c:v>42491</c:v>
                </c:pt>
                <c:pt idx="125">
                  <c:v>42522</c:v>
                </c:pt>
                <c:pt idx="126">
                  <c:v>42552</c:v>
                </c:pt>
                <c:pt idx="127">
                  <c:v>42583</c:v>
                </c:pt>
                <c:pt idx="128">
                  <c:v>42614</c:v>
                </c:pt>
                <c:pt idx="129">
                  <c:v>42644</c:v>
                </c:pt>
                <c:pt idx="130">
                  <c:v>42675</c:v>
                </c:pt>
                <c:pt idx="131">
                  <c:v>42705</c:v>
                </c:pt>
                <c:pt idx="132">
                  <c:v>42736</c:v>
                </c:pt>
                <c:pt idx="133">
                  <c:v>42767</c:v>
                </c:pt>
                <c:pt idx="134">
                  <c:v>42795</c:v>
                </c:pt>
                <c:pt idx="135">
                  <c:v>42826</c:v>
                </c:pt>
                <c:pt idx="136">
                  <c:v>42856</c:v>
                </c:pt>
                <c:pt idx="137">
                  <c:v>42887</c:v>
                </c:pt>
                <c:pt idx="138">
                  <c:v>42917</c:v>
                </c:pt>
                <c:pt idx="139">
                  <c:v>42948</c:v>
                </c:pt>
                <c:pt idx="140">
                  <c:v>42979</c:v>
                </c:pt>
                <c:pt idx="141">
                  <c:v>43009</c:v>
                </c:pt>
                <c:pt idx="142">
                  <c:v>43040</c:v>
                </c:pt>
                <c:pt idx="143">
                  <c:v>43070</c:v>
                </c:pt>
              </c:numCache>
            </c:numRef>
          </c:cat>
          <c:val>
            <c:numRef>
              <c:f>工作表1!$B$206:$B$349</c:f>
              <c:numCache>
                <c:formatCode>#,##0_ </c:formatCode>
                <c:ptCount val="144"/>
                <c:pt idx="0">
                  <c:v>8451.7999999999993</c:v>
                </c:pt>
                <c:pt idx="1">
                  <c:v>8536.7200000000012</c:v>
                </c:pt>
                <c:pt idx="2">
                  <c:v>8750.7000000000007</c:v>
                </c:pt>
                <c:pt idx="3">
                  <c:v>8950.3971000000001</c:v>
                </c:pt>
                <c:pt idx="4">
                  <c:v>9250.1964000000007</c:v>
                </c:pt>
                <c:pt idx="5">
                  <c:v>9411.146999999999</c:v>
                </c:pt>
                <c:pt idx="6">
                  <c:v>9545.4994999999999</c:v>
                </c:pt>
                <c:pt idx="7">
                  <c:v>9720.3904000000002</c:v>
                </c:pt>
                <c:pt idx="8">
                  <c:v>9879.2769000000008</c:v>
                </c:pt>
                <c:pt idx="9">
                  <c:v>10096.2641</c:v>
                </c:pt>
                <c:pt idx="10">
                  <c:v>10387.5105</c:v>
                </c:pt>
                <c:pt idx="11">
                  <c:v>10663.4426</c:v>
                </c:pt>
                <c:pt idx="12">
                  <c:v>11046.917800000001</c:v>
                </c:pt>
                <c:pt idx="13">
                  <c:v>11573.722399999999</c:v>
                </c:pt>
                <c:pt idx="14">
                  <c:v>12020.310300000001</c:v>
                </c:pt>
                <c:pt idx="15">
                  <c:v>12465.655699999999</c:v>
                </c:pt>
                <c:pt idx="16">
                  <c:v>12926.709800000001</c:v>
                </c:pt>
                <c:pt idx="17">
                  <c:v>13326.247100000001</c:v>
                </c:pt>
                <c:pt idx="18">
                  <c:v>13851.998100000001</c:v>
                </c:pt>
                <c:pt idx="19">
                  <c:v>14086.411900000001</c:v>
                </c:pt>
                <c:pt idx="20">
                  <c:v>14336.114</c:v>
                </c:pt>
                <c:pt idx="21">
                  <c:v>14548.979200000002</c:v>
                </c:pt>
                <c:pt idx="22">
                  <c:v>14969.058299999999</c:v>
                </c:pt>
                <c:pt idx="23">
                  <c:v>15282.491099999999</c:v>
                </c:pt>
                <c:pt idx="24">
                  <c:v>15898.104000000001</c:v>
                </c:pt>
                <c:pt idx="25">
                  <c:v>16471.337100000001</c:v>
                </c:pt>
                <c:pt idx="26">
                  <c:v>16821.77</c:v>
                </c:pt>
                <c:pt idx="27">
                  <c:v>17566.5514</c:v>
                </c:pt>
                <c:pt idx="28">
                  <c:v>17969.607400000001</c:v>
                </c:pt>
                <c:pt idx="29">
                  <c:v>18088.280500000001</c:v>
                </c:pt>
                <c:pt idx="30">
                  <c:v>18451.641800000001</c:v>
                </c:pt>
                <c:pt idx="31">
                  <c:v>18841.527900000001</c:v>
                </c:pt>
                <c:pt idx="32">
                  <c:v>19055.8452</c:v>
                </c:pt>
                <c:pt idx="33">
                  <c:v>18796.875599999999</c:v>
                </c:pt>
                <c:pt idx="34">
                  <c:v>18847.173200000001</c:v>
                </c:pt>
                <c:pt idx="35">
                  <c:v>19460.3024</c:v>
                </c:pt>
                <c:pt idx="36">
                  <c:v>19134.559999999998</c:v>
                </c:pt>
                <c:pt idx="37">
                  <c:v>19120.66</c:v>
                </c:pt>
                <c:pt idx="38">
                  <c:v>19537.41</c:v>
                </c:pt>
                <c:pt idx="39">
                  <c:v>20088.800000000003</c:v>
                </c:pt>
                <c:pt idx="40">
                  <c:v>20894.91</c:v>
                </c:pt>
                <c:pt idx="41">
                  <c:v>21316.061300000001</c:v>
                </c:pt>
                <c:pt idx="42">
                  <c:v>21746.179100000001</c:v>
                </c:pt>
                <c:pt idx="43">
                  <c:v>22108.268800000002</c:v>
                </c:pt>
                <c:pt idx="44">
                  <c:v>22725.951700000001</c:v>
                </c:pt>
                <c:pt idx="45">
                  <c:v>23282.720000000001</c:v>
                </c:pt>
                <c:pt idx="46">
                  <c:v>23887.884699999999</c:v>
                </c:pt>
                <c:pt idx="47">
                  <c:v>23991.5229</c:v>
                </c:pt>
                <c:pt idx="48">
                  <c:v>24152.2107</c:v>
                </c:pt>
                <c:pt idx="49">
                  <c:v>24245.9067</c:v>
                </c:pt>
                <c:pt idx="50">
                  <c:v>24470.836500000001</c:v>
                </c:pt>
                <c:pt idx="51">
                  <c:v>24905.116999999998</c:v>
                </c:pt>
                <c:pt idx="52">
                  <c:v>24395.057799999999</c:v>
                </c:pt>
                <c:pt idx="53">
                  <c:v>24542.748</c:v>
                </c:pt>
                <c:pt idx="54">
                  <c:v>25388.9395</c:v>
                </c:pt>
                <c:pt idx="55">
                  <c:v>25478.377099999998</c:v>
                </c:pt>
                <c:pt idx="56">
                  <c:v>26483.03</c:v>
                </c:pt>
                <c:pt idx="57">
                  <c:v>27608.989999999998</c:v>
                </c:pt>
                <c:pt idx="58">
                  <c:v>27678.090000000004</c:v>
                </c:pt>
                <c:pt idx="59">
                  <c:v>28473.38</c:v>
                </c:pt>
                <c:pt idx="60">
                  <c:v>29316.739999999998</c:v>
                </c:pt>
                <c:pt idx="61">
                  <c:v>29913.86</c:v>
                </c:pt>
                <c:pt idx="62">
                  <c:v>30446.739999999998</c:v>
                </c:pt>
                <c:pt idx="63">
                  <c:v>31458.43</c:v>
                </c:pt>
                <c:pt idx="64">
                  <c:v>31659.969999999998</c:v>
                </c:pt>
                <c:pt idx="65">
                  <c:v>31974.91</c:v>
                </c:pt>
                <c:pt idx="66">
                  <c:v>32452.829999999998</c:v>
                </c:pt>
                <c:pt idx="67">
                  <c:v>32624.989999999998</c:v>
                </c:pt>
                <c:pt idx="68">
                  <c:v>32016.83</c:v>
                </c:pt>
                <c:pt idx="69">
                  <c:v>32737.96</c:v>
                </c:pt>
                <c:pt idx="70">
                  <c:v>32209.07</c:v>
                </c:pt>
                <c:pt idx="71">
                  <c:v>31811.480000000003</c:v>
                </c:pt>
                <c:pt idx="72">
                  <c:v>32536.309999999998</c:v>
                </c:pt>
                <c:pt idx="73">
                  <c:v>33096.57</c:v>
                </c:pt>
                <c:pt idx="74">
                  <c:v>33049.71</c:v>
                </c:pt>
                <c:pt idx="75">
                  <c:v>32989.129999999997</c:v>
                </c:pt>
                <c:pt idx="76">
                  <c:v>32061.09</c:v>
                </c:pt>
                <c:pt idx="77">
                  <c:v>32400.050000000003</c:v>
                </c:pt>
                <c:pt idx="78">
                  <c:v>32399.520000000004</c:v>
                </c:pt>
                <c:pt idx="79">
                  <c:v>32729.01</c:v>
                </c:pt>
                <c:pt idx="80">
                  <c:v>32850.949999999997</c:v>
                </c:pt>
                <c:pt idx="81">
                  <c:v>32874.255799999999</c:v>
                </c:pt>
                <c:pt idx="82">
                  <c:v>32976.713900000002</c:v>
                </c:pt>
                <c:pt idx="83">
                  <c:v>33115.8923</c:v>
                </c:pt>
                <c:pt idx="84">
                  <c:v>34100.61</c:v>
                </c:pt>
                <c:pt idx="85">
                  <c:v>33954.18</c:v>
                </c:pt>
                <c:pt idx="86">
                  <c:v>34426.49</c:v>
                </c:pt>
                <c:pt idx="87">
                  <c:v>35344.82</c:v>
                </c:pt>
                <c:pt idx="88">
                  <c:v>35148.074000000001</c:v>
                </c:pt>
                <c:pt idx="89">
                  <c:v>34966.86</c:v>
                </c:pt>
                <c:pt idx="90">
                  <c:v>35478.1</c:v>
                </c:pt>
                <c:pt idx="91">
                  <c:v>35530.43</c:v>
                </c:pt>
                <c:pt idx="92">
                  <c:v>36626.619999999995</c:v>
                </c:pt>
                <c:pt idx="93">
                  <c:v>37365.870000000003</c:v>
                </c:pt>
                <c:pt idx="94">
                  <c:v>37894.51</c:v>
                </c:pt>
                <c:pt idx="95">
                  <c:v>38213.15</c:v>
                </c:pt>
                <c:pt idx="96">
                  <c:v>38666.406199999998</c:v>
                </c:pt>
                <c:pt idx="97">
                  <c:v>39137.392200000002</c:v>
                </c:pt>
                <c:pt idx="98">
                  <c:v>39480.965400000001</c:v>
                </c:pt>
                <c:pt idx="99">
                  <c:v>39787.9516</c:v>
                </c:pt>
                <c:pt idx="100">
                  <c:v>39838.904109999996</c:v>
                </c:pt>
                <c:pt idx="101">
                  <c:v>39932.127200000003</c:v>
                </c:pt>
                <c:pt idx="102">
                  <c:v>39662.67</c:v>
                </c:pt>
                <c:pt idx="103">
                  <c:v>39688.25</c:v>
                </c:pt>
                <c:pt idx="104">
                  <c:v>38877</c:v>
                </c:pt>
                <c:pt idx="105">
                  <c:v>38529.182399999998</c:v>
                </c:pt>
                <c:pt idx="106">
                  <c:v>38473.540200000003</c:v>
                </c:pt>
                <c:pt idx="107">
                  <c:v>38430.179400000001</c:v>
                </c:pt>
                <c:pt idx="108">
                  <c:v>38134.137799999997</c:v>
                </c:pt>
                <c:pt idx="109">
                  <c:v>38015.025099999999</c:v>
                </c:pt>
                <c:pt idx="110">
                  <c:v>37300.379499999995</c:v>
                </c:pt>
                <c:pt idx="111">
                  <c:v>37481.42</c:v>
                </c:pt>
                <c:pt idx="112">
                  <c:v>37111.43</c:v>
                </c:pt>
                <c:pt idx="113">
                  <c:v>36938.380000000005</c:v>
                </c:pt>
                <c:pt idx="114">
                  <c:v>36513.098865500004</c:v>
                </c:pt>
                <c:pt idx="115">
                  <c:v>35573.81</c:v>
                </c:pt>
                <c:pt idx="116">
                  <c:v>35141.203357300001</c:v>
                </c:pt>
                <c:pt idx="117">
                  <c:v>35255.067823199999</c:v>
                </c:pt>
                <c:pt idx="118">
                  <c:v>34382.840000000004</c:v>
                </c:pt>
                <c:pt idx="119">
                  <c:v>33303.620000000003</c:v>
                </c:pt>
                <c:pt idx="120">
                  <c:v>32308.93</c:v>
                </c:pt>
                <c:pt idx="121">
                  <c:v>32023.21</c:v>
                </c:pt>
                <c:pt idx="122">
                  <c:v>32125.79</c:v>
                </c:pt>
                <c:pt idx="123">
                  <c:v>32196.68</c:v>
                </c:pt>
                <c:pt idx="124">
                  <c:v>31917.360000000001</c:v>
                </c:pt>
                <c:pt idx="125">
                  <c:v>32051.62</c:v>
                </c:pt>
                <c:pt idx="126">
                  <c:v>32010.57</c:v>
                </c:pt>
                <c:pt idx="127">
                  <c:v>31851.67</c:v>
                </c:pt>
                <c:pt idx="128">
                  <c:v>31663.82</c:v>
                </c:pt>
                <c:pt idx="129">
                  <c:v>31206.550000000003</c:v>
                </c:pt>
                <c:pt idx="130">
                  <c:v>30515.98</c:v>
                </c:pt>
                <c:pt idx="131">
                  <c:v>30105.17</c:v>
                </c:pt>
                <c:pt idx="132">
                  <c:v>29982.04</c:v>
                </c:pt>
                <c:pt idx="133">
                  <c:v>30051.239999999998</c:v>
                </c:pt>
                <c:pt idx="134">
                  <c:v>30090.880000000001</c:v>
                </c:pt>
                <c:pt idx="135">
                  <c:v>30295.329999999998</c:v>
                </c:pt>
                <c:pt idx="136">
                  <c:v>30535.67</c:v>
                </c:pt>
                <c:pt idx="137">
                  <c:v>30567.890000000003</c:v>
                </c:pt>
                <c:pt idx="138">
                  <c:v>30807.199999999997</c:v>
                </c:pt>
                <c:pt idx="139">
                  <c:v>30915.27</c:v>
                </c:pt>
                <c:pt idx="140">
                  <c:v>31085.100000000002</c:v>
                </c:pt>
                <c:pt idx="141">
                  <c:v>31092.13</c:v>
                </c:pt>
                <c:pt idx="142">
                  <c:v>31192.77</c:v>
                </c:pt>
                <c:pt idx="143">
                  <c:v>31399.49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4117120"/>
        <c:axId val="52809088"/>
      </c:lineChart>
      <c:dateAx>
        <c:axId val="634117120"/>
        <c:scaling>
          <c:orientation val="minMax"/>
        </c:scaling>
        <c:delete val="0"/>
        <c:axPos val="b"/>
        <c:numFmt formatCode="\ [$-1028]yyyy/m" sourceLinked="1"/>
        <c:majorTickMark val="in"/>
        <c:minorTickMark val="none"/>
        <c:tickLblPos val="nextTo"/>
        <c:crossAx val="52809088"/>
        <c:crosses val="autoZero"/>
        <c:auto val="1"/>
        <c:lblOffset val="100"/>
        <c:baseTimeUnit val="months"/>
        <c:majorUnit val="12"/>
        <c:majorTimeUnit val="months"/>
      </c:dateAx>
      <c:valAx>
        <c:axId val="52809088"/>
        <c:scaling>
          <c:orientation val="minMax"/>
          <c:min val="5000"/>
        </c:scaling>
        <c:delete val="0"/>
        <c:axPos val="l"/>
        <c:majorGridlines/>
        <c:numFmt formatCode="#,##0_ " sourceLinked="1"/>
        <c:majorTickMark val="in"/>
        <c:minorTickMark val="none"/>
        <c:tickLblPos val="nextTo"/>
        <c:crossAx val="634117120"/>
        <c:crosses val="autoZero"/>
        <c:crossBetween val="between"/>
        <c:majorUnit val="10000"/>
      </c:valAx>
      <c:spPr>
        <a:ln>
          <a:solidFill>
            <a:schemeClr val="tx1"/>
          </a:solidFill>
        </a:ln>
      </c:spPr>
    </c:plotArea>
    <c:legend>
      <c:legendPos val="t"/>
      <c:layout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34D9-CFB5-4EE4-B112-61344B34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33</Pages>
  <Words>13371</Words>
  <Characters>10440</Characters>
  <Application>Microsoft Office Word</Application>
  <DocSecurity>0</DocSecurity>
  <Lines>87</Lines>
  <Paragraphs>47</Paragraphs>
  <ScaleCrop>false</ScaleCrop>
  <Company>CEPD</Company>
  <LinksUpToDate>false</LinksUpToDate>
  <CharactersWithSpaces>23764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參、中國經濟</dc:title>
  <dc:creator>user</dc:creator>
  <cp:lastModifiedBy>許易民</cp:lastModifiedBy>
  <cp:revision>43</cp:revision>
  <cp:lastPrinted>2018-02-12T09:43:00Z</cp:lastPrinted>
  <dcterms:created xsi:type="dcterms:W3CDTF">2018-02-08T07:11:00Z</dcterms:created>
  <dcterms:modified xsi:type="dcterms:W3CDTF">2018-02-21T01:31:00Z</dcterms:modified>
</cp:coreProperties>
</file>