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drawings/drawing4.xml" ContentType="application/vnd.openxmlformats-officedocument.drawingml.chartshapes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微軟正黑體" w:eastAsia="微軟正黑體" w:hAnsi="微軟正黑體" w:cstheme="minorBidi"/>
          <w:b/>
          <w:bCs/>
          <w:noProof/>
          <w:kern w:val="0"/>
          <w:sz w:val="36"/>
          <w:szCs w:val="36"/>
          <w:lang w:val="zh-TW"/>
        </w:rPr>
        <w:id w:val="-1268779043"/>
        <w:docPartObj>
          <w:docPartGallery w:val="Table of Contents"/>
          <w:docPartUnique/>
        </w:docPartObj>
      </w:sdtPr>
      <w:sdtEndPr>
        <w:rPr>
          <w:bCs w:val="0"/>
          <w:sz w:val="28"/>
          <w:szCs w:val="28"/>
          <w:lang w:val="en-US"/>
        </w:rPr>
      </w:sdtEndPr>
      <w:sdtContent>
        <w:p w:rsidR="006D7283" w:rsidRPr="00161792" w:rsidRDefault="006D7283" w:rsidP="006D7283">
          <w:pPr>
            <w:snapToGrid w:val="0"/>
            <w:spacing w:beforeLines="1000" w:before="3600" w:line="400" w:lineRule="atLeast"/>
            <w:jc w:val="center"/>
            <w:rPr>
              <w:rFonts w:ascii="微軟正黑體" w:eastAsia="微軟正黑體" w:hAnsi="微軟正黑體" w:cstheme="minorBidi"/>
              <w:b/>
              <w:sz w:val="52"/>
              <w:szCs w:val="48"/>
            </w:rPr>
          </w:pPr>
          <w:r w:rsidRPr="00161792">
            <w:rPr>
              <w:rFonts w:ascii="微軟正黑體" w:eastAsia="微軟正黑體" w:hAnsi="微軟正黑體" w:cstheme="minorBidi"/>
              <w:b/>
              <w:sz w:val="52"/>
              <w:szCs w:val="48"/>
            </w:rPr>
            <w:t>201</w:t>
          </w:r>
          <w:r w:rsidRPr="00161792">
            <w:rPr>
              <w:rFonts w:ascii="微軟正黑體" w:eastAsia="微軟正黑體" w:hAnsi="微軟正黑體" w:cstheme="minorBidi" w:hint="eastAsia"/>
              <w:b/>
              <w:sz w:val="52"/>
              <w:szCs w:val="48"/>
            </w:rPr>
            <w:t>4年兩岸經貿、中國大陸</w:t>
          </w:r>
        </w:p>
        <w:p w:rsidR="006D7283" w:rsidRPr="00161792" w:rsidRDefault="006D7283" w:rsidP="006D7283">
          <w:pPr>
            <w:snapToGrid w:val="0"/>
            <w:spacing w:afterLines="50" w:after="180" w:line="400" w:lineRule="atLeast"/>
            <w:jc w:val="center"/>
            <w:rPr>
              <w:rFonts w:ascii="微軟正黑體" w:eastAsia="微軟正黑體" w:hAnsi="微軟正黑體" w:cstheme="minorBidi"/>
              <w:b/>
              <w:sz w:val="52"/>
              <w:szCs w:val="48"/>
            </w:rPr>
          </w:pPr>
          <w:r w:rsidRPr="00161792">
            <w:rPr>
              <w:rFonts w:ascii="微軟正黑體" w:eastAsia="微軟正黑體" w:hAnsi="微軟正黑體" w:cstheme="minorBidi" w:hint="eastAsia"/>
              <w:b/>
              <w:sz w:val="52"/>
              <w:szCs w:val="48"/>
            </w:rPr>
            <w:t>（含香港）經濟情勢分析</w:t>
          </w:r>
        </w:p>
        <w:p w:rsidR="006D7283" w:rsidRPr="00161792" w:rsidRDefault="006D7283" w:rsidP="006D7283">
          <w:pPr>
            <w:tabs>
              <w:tab w:val="center" w:pos="4153"/>
              <w:tab w:val="left" w:pos="7104"/>
            </w:tabs>
            <w:snapToGrid w:val="0"/>
            <w:spacing w:beforeLines="2000" w:before="7200" w:line="400" w:lineRule="atLeast"/>
            <w:rPr>
              <w:rFonts w:ascii="微軟正黑體" w:eastAsia="微軟正黑體" w:hAnsi="微軟正黑體" w:cstheme="minorBidi"/>
              <w:sz w:val="32"/>
              <w:szCs w:val="22"/>
            </w:rPr>
          </w:pPr>
          <w:r w:rsidRPr="00161792">
            <w:rPr>
              <w:rFonts w:ascii="微軟正黑體" w:eastAsia="微軟正黑體" w:hAnsi="微軟正黑體" w:cstheme="minorBidi"/>
              <w:sz w:val="32"/>
              <w:szCs w:val="22"/>
            </w:rPr>
            <w:tab/>
          </w:r>
          <w:r w:rsidRPr="00161792">
            <w:rPr>
              <w:rFonts w:ascii="微軟正黑體" w:eastAsia="微軟正黑體" w:hAnsi="微軟正黑體" w:cstheme="minorBidi" w:hint="eastAsia"/>
              <w:sz w:val="32"/>
              <w:szCs w:val="22"/>
            </w:rPr>
            <w:t>國家發展委員會 經濟發展處 編製</w:t>
          </w:r>
          <w:r w:rsidRPr="00161792">
            <w:rPr>
              <w:rFonts w:ascii="微軟正黑體" w:eastAsia="微軟正黑體" w:hAnsi="微軟正黑體" w:cstheme="minorBidi"/>
              <w:sz w:val="32"/>
              <w:szCs w:val="22"/>
            </w:rPr>
            <w:tab/>
          </w:r>
        </w:p>
        <w:p w:rsidR="005E4731" w:rsidRPr="00161792" w:rsidRDefault="006D7283" w:rsidP="005E4731">
          <w:pPr>
            <w:snapToGrid w:val="0"/>
            <w:spacing w:afterLines="50" w:after="180" w:line="400" w:lineRule="atLeast"/>
            <w:jc w:val="center"/>
            <w:rPr>
              <w:rFonts w:ascii="微軟正黑體" w:eastAsia="微軟正黑體" w:hAnsi="微軟正黑體" w:cstheme="minorBidi"/>
              <w:sz w:val="32"/>
              <w:szCs w:val="22"/>
            </w:rPr>
            <w:sectPr w:rsidR="005E4731" w:rsidRPr="00161792" w:rsidSect="00A64728">
              <w:footerReference w:type="even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lowerRoman" w:start="1"/>
              <w:cols w:space="425"/>
              <w:titlePg/>
              <w:docGrid w:type="lines" w:linePitch="360"/>
            </w:sectPr>
          </w:pPr>
          <w:r w:rsidRPr="00161792">
            <w:rPr>
              <w:rFonts w:ascii="微軟正黑體" w:eastAsia="微軟正黑體" w:hAnsi="微軟正黑體" w:cstheme="minorBidi"/>
              <w:sz w:val="32"/>
              <w:szCs w:val="22"/>
            </w:rPr>
            <w:t>201</w:t>
          </w:r>
          <w:r w:rsidR="00A9317D">
            <w:rPr>
              <w:rFonts w:ascii="微軟正黑體" w:eastAsia="微軟正黑體" w:hAnsi="微軟正黑體" w:cstheme="minorBidi" w:hint="eastAsia"/>
              <w:sz w:val="32"/>
              <w:szCs w:val="22"/>
            </w:rPr>
            <w:t>5</w:t>
          </w:r>
          <w:r w:rsidRPr="00161792">
            <w:rPr>
              <w:rFonts w:ascii="微軟正黑體" w:eastAsia="微軟正黑體" w:hAnsi="微軟正黑體" w:cstheme="minorBidi" w:hint="eastAsia"/>
              <w:sz w:val="32"/>
              <w:szCs w:val="22"/>
            </w:rPr>
            <w:t>年</w:t>
          </w:r>
          <w:r w:rsidR="00A9317D">
            <w:rPr>
              <w:rFonts w:ascii="微軟正黑體" w:eastAsia="微軟正黑體" w:hAnsi="微軟正黑體" w:cstheme="minorBidi" w:hint="eastAsia"/>
              <w:sz w:val="32"/>
              <w:szCs w:val="22"/>
            </w:rPr>
            <w:t>3</w:t>
          </w:r>
          <w:r w:rsidRPr="00161792">
            <w:rPr>
              <w:rFonts w:ascii="微軟正黑體" w:eastAsia="微軟正黑體" w:hAnsi="微軟正黑體" w:cstheme="minorBidi" w:hint="eastAsia"/>
              <w:sz w:val="32"/>
              <w:szCs w:val="22"/>
            </w:rPr>
            <w:t>月</w:t>
          </w:r>
          <w:r w:rsidR="005E4731">
            <w:rPr>
              <w:rFonts w:ascii="微軟正黑體" w:eastAsia="微軟正黑體" w:hAnsi="微軟正黑體" w:cstheme="minorBidi"/>
              <w:sz w:val="32"/>
              <w:szCs w:val="22"/>
            </w:rPr>
            <w:br w:type="page"/>
          </w:r>
        </w:p>
        <w:p w:rsidR="005E4731" w:rsidRDefault="005E4731">
          <w:pPr>
            <w:widowControl/>
            <w:rPr>
              <w:rFonts w:ascii="微軟正黑體" w:eastAsia="微軟正黑體" w:hAnsi="微軟正黑體" w:cstheme="minorBidi"/>
              <w:sz w:val="32"/>
              <w:szCs w:val="22"/>
            </w:rPr>
          </w:pPr>
        </w:p>
        <w:p w:rsidR="006D7283" w:rsidRPr="00161792" w:rsidRDefault="006D7283" w:rsidP="006D7283">
          <w:pPr>
            <w:snapToGrid w:val="0"/>
            <w:spacing w:afterLines="50" w:after="180" w:line="400" w:lineRule="atLeast"/>
            <w:jc w:val="center"/>
            <w:rPr>
              <w:rFonts w:ascii="微軟正黑體" w:eastAsia="微軟正黑體" w:hAnsi="微軟正黑體" w:cstheme="minorBidi"/>
              <w:sz w:val="32"/>
              <w:szCs w:val="22"/>
            </w:rPr>
            <w:sectPr w:rsidR="006D7283" w:rsidRPr="00161792" w:rsidSect="00A64728">
              <w:footerReference w:type="even" r:id="rId11"/>
              <w:footerReference w:type="default" r:id="rId12"/>
              <w:pgSz w:w="11906" w:h="16838"/>
              <w:pgMar w:top="1440" w:right="1800" w:bottom="1440" w:left="1800" w:header="851" w:footer="992" w:gutter="0"/>
              <w:pgNumType w:fmt="lowerRoman" w:start="1"/>
              <w:cols w:space="425"/>
              <w:titlePg/>
              <w:docGrid w:type="lines" w:linePitch="360"/>
            </w:sectPr>
          </w:pPr>
        </w:p>
        <w:p w:rsidR="006D7283" w:rsidRPr="00161792" w:rsidRDefault="006D7283" w:rsidP="006D7283">
          <w:pPr>
            <w:pStyle w:val="aff4"/>
            <w:spacing w:after="180"/>
            <w:rPr>
              <w:rFonts w:ascii="微軟正黑體" w:eastAsia="微軟正黑體" w:hAnsi="微軟正黑體"/>
              <w:color w:val="auto"/>
              <w:sz w:val="36"/>
              <w:szCs w:val="36"/>
              <w:lang w:val="zh-TW"/>
            </w:rPr>
          </w:pPr>
        </w:p>
        <w:p w:rsidR="006D7283" w:rsidRPr="00E64366" w:rsidRDefault="006D7283" w:rsidP="006D7283">
          <w:pPr>
            <w:pStyle w:val="aff4"/>
            <w:spacing w:after="180"/>
            <w:jc w:val="center"/>
            <w:rPr>
              <w:rFonts w:ascii="微軟正黑體" w:eastAsia="微軟正黑體" w:hAnsi="微軟正黑體"/>
              <w:color w:val="auto"/>
              <w:sz w:val="36"/>
              <w:szCs w:val="36"/>
              <w:lang w:val="zh-TW"/>
            </w:rPr>
          </w:pPr>
          <w:r w:rsidRPr="00161792">
            <w:rPr>
              <w:rFonts w:ascii="微軟正黑體" w:eastAsia="微軟正黑體" w:hAnsi="微軟正黑體"/>
              <w:color w:val="auto"/>
              <w:sz w:val="36"/>
              <w:szCs w:val="36"/>
              <w:lang w:val="zh-TW"/>
            </w:rPr>
            <w:t>目錄</w:t>
          </w:r>
        </w:p>
        <w:p w:rsidR="00337CE6" w:rsidRPr="003C11D5" w:rsidRDefault="006D7283" w:rsidP="003C11D5">
          <w:pPr>
            <w:pStyle w:val="1f0"/>
            <w:snapToGrid/>
            <w:spacing w:line="360" w:lineRule="exact"/>
          </w:pPr>
          <w:r w:rsidRPr="003C11D5">
            <w:fldChar w:fldCharType="begin"/>
          </w:r>
          <w:r w:rsidRPr="003C11D5">
            <w:instrText xml:space="preserve"> TOC \o "1-3" \h \z \u </w:instrText>
          </w:r>
          <w:r w:rsidRPr="003C11D5">
            <w:fldChar w:fldCharType="separate"/>
          </w:r>
          <w:hyperlink w:anchor="_Toc413072663" w:history="1">
            <w:r w:rsidR="00337CE6" w:rsidRPr="003C11D5">
              <w:rPr>
                <w:rFonts w:hint="eastAsia"/>
              </w:rPr>
              <w:t>【摘要】</w:t>
            </w:r>
            <w:r w:rsidR="00337CE6" w:rsidRPr="003C11D5">
              <w:rPr>
                <w:webHidden/>
              </w:rPr>
              <w:tab/>
            </w:r>
            <w:r w:rsidR="00337CE6" w:rsidRPr="003C11D5">
              <w:rPr>
                <w:webHidden/>
              </w:rPr>
              <w:fldChar w:fldCharType="begin"/>
            </w:r>
            <w:r w:rsidR="00337CE6" w:rsidRPr="003C11D5">
              <w:rPr>
                <w:webHidden/>
              </w:rPr>
              <w:instrText xml:space="preserve"> PAGEREF _Toc413072663 \h </w:instrText>
            </w:r>
            <w:r w:rsidR="00337CE6" w:rsidRPr="003C11D5">
              <w:rPr>
                <w:webHidden/>
              </w:rPr>
            </w:r>
            <w:r w:rsidR="00337CE6" w:rsidRPr="003C11D5">
              <w:rPr>
                <w:webHidden/>
              </w:rPr>
              <w:fldChar w:fldCharType="separate"/>
            </w:r>
            <w:r w:rsidR="00046092">
              <w:rPr>
                <w:webHidden/>
              </w:rPr>
              <w:t>i</w:t>
            </w:r>
            <w:r w:rsidR="00337CE6" w:rsidRPr="003C11D5">
              <w:rPr>
                <w:webHidden/>
              </w:rPr>
              <w:fldChar w:fldCharType="end"/>
            </w:r>
          </w:hyperlink>
          <w:r w:rsidR="008F5D34">
            <w:rPr>
              <w:rFonts w:hint="eastAsia"/>
            </w:rPr>
            <w:t>-v</w:t>
          </w:r>
        </w:p>
        <w:p w:rsidR="00337CE6" w:rsidRPr="003C11D5" w:rsidRDefault="00D127D3" w:rsidP="003C11D5">
          <w:pPr>
            <w:pStyle w:val="1f0"/>
            <w:snapToGrid/>
            <w:spacing w:line="360" w:lineRule="exact"/>
          </w:pPr>
          <w:hyperlink w:anchor="_Toc413072664" w:history="1">
            <w:r w:rsidR="00337CE6" w:rsidRPr="003C11D5">
              <w:rPr>
                <w:rFonts w:hint="eastAsia"/>
              </w:rPr>
              <w:t>壹、兩岸經貿情勢</w:t>
            </w:r>
            <w:r w:rsidR="00337CE6" w:rsidRPr="003C11D5">
              <w:rPr>
                <w:webHidden/>
              </w:rPr>
              <w:tab/>
            </w:r>
            <w:r w:rsidR="00337CE6" w:rsidRPr="003C11D5">
              <w:rPr>
                <w:webHidden/>
              </w:rPr>
              <w:fldChar w:fldCharType="begin"/>
            </w:r>
            <w:r w:rsidR="00337CE6" w:rsidRPr="003C11D5">
              <w:rPr>
                <w:webHidden/>
              </w:rPr>
              <w:instrText xml:space="preserve"> PAGEREF _Toc413072664 \h </w:instrText>
            </w:r>
            <w:r w:rsidR="00337CE6" w:rsidRPr="003C11D5">
              <w:rPr>
                <w:webHidden/>
              </w:rPr>
            </w:r>
            <w:r w:rsidR="00337CE6" w:rsidRPr="003C11D5">
              <w:rPr>
                <w:webHidden/>
              </w:rPr>
              <w:fldChar w:fldCharType="separate"/>
            </w:r>
            <w:r w:rsidR="00046092">
              <w:rPr>
                <w:webHidden/>
              </w:rPr>
              <w:t>1</w:t>
            </w:r>
            <w:r w:rsidR="00337CE6" w:rsidRPr="003C11D5">
              <w:rPr>
                <w:webHidden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65" w:history="1"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一、雙邊投資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_Toc413072665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1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66" w:history="1"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二、雙邊貿易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_Toc413072666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5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1f0"/>
            <w:snapToGrid/>
            <w:spacing w:line="360" w:lineRule="exact"/>
          </w:pPr>
          <w:hyperlink w:anchor="_Toc413072667" w:history="1">
            <w:r w:rsidR="00337CE6" w:rsidRPr="003C11D5">
              <w:rPr>
                <w:rFonts w:hint="eastAsia"/>
              </w:rPr>
              <w:t>貳、中國大陸經濟情勢</w:t>
            </w:r>
            <w:r w:rsidR="00337CE6" w:rsidRPr="003C11D5">
              <w:rPr>
                <w:webHidden/>
              </w:rPr>
              <w:tab/>
            </w:r>
            <w:r w:rsidR="00337CE6" w:rsidRPr="003C11D5">
              <w:rPr>
                <w:webHidden/>
              </w:rPr>
              <w:fldChar w:fldCharType="begin"/>
            </w:r>
            <w:r w:rsidR="00337CE6" w:rsidRPr="003C11D5">
              <w:rPr>
                <w:webHidden/>
              </w:rPr>
              <w:instrText xml:space="preserve"> PAGEREF _Toc413072667 \h </w:instrText>
            </w:r>
            <w:r w:rsidR="00337CE6" w:rsidRPr="003C11D5">
              <w:rPr>
                <w:webHidden/>
              </w:rPr>
            </w:r>
            <w:r w:rsidR="00337CE6" w:rsidRPr="003C11D5">
              <w:rPr>
                <w:webHidden/>
              </w:rPr>
              <w:fldChar w:fldCharType="separate"/>
            </w:r>
            <w:r w:rsidR="00046092">
              <w:rPr>
                <w:webHidden/>
              </w:rPr>
              <w:t>9</w:t>
            </w:r>
            <w:r w:rsidR="00337CE6" w:rsidRPr="003C11D5">
              <w:rPr>
                <w:webHidden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68" w:history="1"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一、經濟發展現況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_Toc413072668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9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69" w:history="1"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二、金融情勢及外人投資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_Toc413072669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13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1f0"/>
            <w:snapToGrid/>
            <w:spacing w:line="360" w:lineRule="exact"/>
          </w:pPr>
          <w:hyperlink w:anchor="_Toc413072670" w:history="1">
            <w:r w:rsidR="00337CE6" w:rsidRPr="00C0290F">
              <w:rPr>
                <w:rFonts w:hint="eastAsia"/>
              </w:rPr>
              <w:t>參、香港經濟情勢</w:t>
            </w:r>
            <w:r w:rsidR="00337CE6" w:rsidRPr="003C11D5">
              <w:rPr>
                <w:webHidden/>
              </w:rPr>
              <w:tab/>
            </w:r>
            <w:r w:rsidR="00337CE6" w:rsidRPr="003C11D5">
              <w:rPr>
                <w:webHidden/>
              </w:rPr>
              <w:fldChar w:fldCharType="begin"/>
            </w:r>
            <w:r w:rsidR="00337CE6" w:rsidRPr="003C11D5">
              <w:rPr>
                <w:webHidden/>
              </w:rPr>
              <w:instrText xml:space="preserve"> PAGEREF _Toc413072670 \h </w:instrText>
            </w:r>
            <w:r w:rsidR="00337CE6" w:rsidRPr="003C11D5">
              <w:rPr>
                <w:webHidden/>
              </w:rPr>
            </w:r>
            <w:r w:rsidR="00337CE6" w:rsidRPr="003C11D5">
              <w:rPr>
                <w:webHidden/>
              </w:rPr>
              <w:fldChar w:fldCharType="separate"/>
            </w:r>
            <w:r w:rsidR="00046092">
              <w:rPr>
                <w:webHidden/>
              </w:rPr>
              <w:t>18</w:t>
            </w:r>
            <w:r w:rsidR="00337CE6" w:rsidRPr="003C11D5">
              <w:rPr>
                <w:webHidden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71" w:history="1"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一、經濟發展現況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_Toc413072671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18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72" w:history="1"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二、金融情勢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_Toc413072672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21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1f0"/>
            <w:snapToGrid/>
            <w:spacing w:line="360" w:lineRule="exact"/>
          </w:pPr>
          <w:hyperlink w:anchor="_Toc413072673" w:history="1">
            <w:r w:rsidR="00337CE6" w:rsidRPr="003C11D5">
              <w:rPr>
                <w:rFonts w:hint="eastAsia"/>
              </w:rPr>
              <w:t>附表</w:t>
            </w:r>
            <w:r w:rsidR="00337CE6" w:rsidRPr="003C11D5">
              <w:rPr>
                <w:webHidden/>
              </w:rPr>
              <w:tab/>
            </w:r>
            <w:r w:rsidR="00337CE6" w:rsidRPr="003C11D5">
              <w:rPr>
                <w:webHidden/>
              </w:rPr>
              <w:fldChar w:fldCharType="begin"/>
            </w:r>
            <w:r w:rsidR="00337CE6" w:rsidRPr="003C11D5">
              <w:rPr>
                <w:webHidden/>
              </w:rPr>
              <w:instrText xml:space="preserve"> PAGEREF _Toc413072673 \h </w:instrText>
            </w:r>
            <w:r w:rsidR="00337CE6" w:rsidRPr="003C11D5">
              <w:rPr>
                <w:webHidden/>
              </w:rPr>
            </w:r>
            <w:r w:rsidR="00337CE6" w:rsidRPr="003C11D5">
              <w:rPr>
                <w:webHidden/>
              </w:rPr>
              <w:fldChar w:fldCharType="separate"/>
            </w:r>
            <w:r w:rsidR="00046092">
              <w:rPr>
                <w:webHidden/>
              </w:rPr>
              <w:t>23</w:t>
            </w:r>
            <w:r w:rsidR="00337CE6" w:rsidRPr="003C11D5">
              <w:rPr>
                <w:webHidden/>
              </w:rPr>
              <w:fldChar w:fldCharType="end"/>
            </w:r>
          </w:hyperlink>
        </w:p>
        <w:p w:rsidR="003C11D5" w:rsidRPr="003C11D5" w:rsidRDefault="003C11D5" w:rsidP="003C11D5">
          <w:pPr>
            <w:rPr>
              <w:noProof/>
              <w:sz w:val="28"/>
              <w:szCs w:val="28"/>
            </w:rPr>
          </w:pPr>
        </w:p>
        <w:p w:rsidR="00337CE6" w:rsidRPr="003C11D5" w:rsidRDefault="00D127D3" w:rsidP="003C11D5">
          <w:pPr>
            <w:pStyle w:val="1f0"/>
            <w:snapToGrid/>
            <w:spacing w:line="360" w:lineRule="exact"/>
          </w:pPr>
          <w:hyperlink w:anchor="_Toc413072674" w:history="1">
            <w:r w:rsidR="00337CE6" w:rsidRPr="003C11D5">
              <w:rPr>
                <w:rFonts w:hint="eastAsia"/>
              </w:rPr>
              <w:t>【附錄】專題分析</w:t>
            </w:r>
            <w:r w:rsidR="00337CE6" w:rsidRPr="003C11D5">
              <w:rPr>
                <w:webHidden/>
              </w:rPr>
              <w:tab/>
            </w:r>
            <w:r w:rsidR="00337CE6" w:rsidRPr="003C11D5">
              <w:rPr>
                <w:webHidden/>
              </w:rPr>
              <w:fldChar w:fldCharType="begin"/>
            </w:r>
            <w:r w:rsidR="00337CE6" w:rsidRPr="003C11D5">
              <w:rPr>
                <w:webHidden/>
              </w:rPr>
              <w:instrText xml:space="preserve"> PAGEREF _Toc413072674 \h </w:instrText>
            </w:r>
            <w:r w:rsidR="00337CE6" w:rsidRPr="003C11D5">
              <w:rPr>
                <w:webHidden/>
              </w:rPr>
            </w:r>
            <w:r w:rsidR="00337CE6" w:rsidRPr="003C11D5">
              <w:rPr>
                <w:webHidden/>
              </w:rPr>
              <w:fldChar w:fldCharType="separate"/>
            </w:r>
            <w:r w:rsidR="00046092">
              <w:rPr>
                <w:webHidden/>
              </w:rPr>
              <w:t>27</w:t>
            </w:r>
            <w:r w:rsidR="00337CE6" w:rsidRPr="003C11D5">
              <w:rPr>
                <w:webHidden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  <w:sz w:val="28"/>
              <w:szCs w:val="28"/>
            </w:rPr>
          </w:pPr>
          <w:hyperlink w:anchor="_Toc413072675" w:history="1">
            <w:r w:rsidR="00337CE6" w:rsidRPr="008F5D34">
              <w:rPr>
                <w:rStyle w:val="a4"/>
                <w:rFonts w:asciiTheme="majorEastAsia" w:eastAsiaTheme="majorEastAsia" w:hAnsiTheme="majorEastAsia" w:hint="eastAsia"/>
                <w:noProof/>
                <w:color w:val="auto"/>
                <w:sz w:val="28"/>
                <w:szCs w:val="28"/>
              </w:rPr>
              <w:t>◎</w:t>
            </w:r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中國大陸推動「國家新型城鎮化規劃」重點研析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_Toc413072675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27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337CE6" w:rsidRPr="003C11D5" w:rsidRDefault="00D127D3" w:rsidP="003C11D5">
          <w:pPr>
            <w:pStyle w:val="26"/>
            <w:tabs>
              <w:tab w:val="right" w:leader="dot" w:pos="8296"/>
            </w:tabs>
            <w:spacing w:beforeLines="50" w:before="180" w:after="0" w:line="360" w:lineRule="exact"/>
            <w:ind w:left="242"/>
            <w:rPr>
              <w:rStyle w:val="a4"/>
              <w:rFonts w:ascii="微軟正黑體" w:eastAsia="微軟正黑體" w:hAnsi="微軟正黑體"/>
              <w:noProof/>
              <w:color w:val="auto"/>
            </w:rPr>
          </w:pPr>
          <w:hyperlink w:anchor="_Toc413072676" w:history="1">
            <w:r w:rsidR="00337CE6" w:rsidRPr="008F5D34">
              <w:rPr>
                <w:rStyle w:val="a4"/>
                <w:rFonts w:asciiTheme="majorEastAsia" w:eastAsiaTheme="majorEastAsia" w:hAnsiTheme="majorEastAsia" w:hint="eastAsia"/>
                <w:noProof/>
                <w:color w:val="auto"/>
                <w:sz w:val="28"/>
                <w:szCs w:val="28"/>
              </w:rPr>
              <w:t>◎</w:t>
            </w:r>
            <w:r w:rsidR="00337CE6" w:rsidRPr="003C11D5">
              <w:rPr>
                <w:rStyle w:val="a4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</w:rPr>
              <w:t>中國大陸的經濟新常態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ab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instrText xml:space="preserve"> PAGEREF _Toc413072676 \h </w:instrTex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046092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t>33</w:t>
            </w:r>
            <w:r w:rsidR="00337CE6" w:rsidRPr="003C11D5">
              <w:rPr>
                <w:rStyle w:val="a4"/>
                <w:rFonts w:ascii="微軟正黑體" w:eastAsia="微軟正黑體" w:hAnsi="微軟正黑體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6D7283" w:rsidRPr="00161792" w:rsidRDefault="006D7283" w:rsidP="003C11D5">
          <w:pPr>
            <w:pStyle w:val="1f0"/>
            <w:snapToGrid/>
            <w:spacing w:line="360" w:lineRule="exact"/>
          </w:pPr>
          <w:r w:rsidRPr="003C11D5">
            <w:fldChar w:fldCharType="end"/>
          </w:r>
        </w:p>
      </w:sdtContent>
    </w:sdt>
    <w:p w:rsidR="005E4731" w:rsidRPr="00161792" w:rsidRDefault="005E4731" w:rsidP="005E4731">
      <w:pPr>
        <w:snapToGrid w:val="0"/>
        <w:spacing w:afterLines="50" w:after="180" w:line="400" w:lineRule="atLeast"/>
        <w:jc w:val="center"/>
        <w:rPr>
          <w:rFonts w:ascii="微軟正黑體" w:eastAsia="微軟正黑體" w:hAnsi="微軟正黑體" w:cstheme="minorBidi"/>
          <w:sz w:val="32"/>
          <w:szCs w:val="22"/>
        </w:rPr>
        <w:sectPr w:rsidR="005E4731" w:rsidRPr="00161792" w:rsidSect="00A64728">
          <w:footerReference w:type="even" r:id="rId13"/>
          <w:footerReference w:type="default" r:id="rId14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5E4731" w:rsidRDefault="005E4731">
      <w:pPr>
        <w:widowControl/>
        <w:rPr>
          <w:rFonts w:ascii="微軟正黑體" w:eastAsia="微軟正黑體" w:hAnsi="微軟正黑體" w:cstheme="minorBidi"/>
          <w:sz w:val="32"/>
          <w:szCs w:val="22"/>
        </w:rPr>
      </w:pPr>
      <w:r>
        <w:rPr>
          <w:rFonts w:ascii="微軟正黑體" w:eastAsia="微軟正黑體" w:hAnsi="微軟正黑體" w:cstheme="minorBidi"/>
          <w:sz w:val="32"/>
          <w:szCs w:val="22"/>
        </w:rPr>
        <w:lastRenderedPageBreak/>
        <w:br w:type="page"/>
      </w:r>
    </w:p>
    <w:p w:rsidR="00C12D6A" w:rsidRPr="00161792" w:rsidRDefault="00C12D6A" w:rsidP="00C12D6A">
      <w:pPr>
        <w:snapToGrid w:val="0"/>
        <w:spacing w:afterLines="50" w:after="180" w:line="400" w:lineRule="atLeast"/>
        <w:jc w:val="center"/>
        <w:rPr>
          <w:rFonts w:ascii="微軟正黑體" w:eastAsia="微軟正黑體" w:hAnsi="微軟正黑體" w:cstheme="minorBidi"/>
          <w:sz w:val="32"/>
          <w:szCs w:val="22"/>
        </w:rPr>
        <w:sectPr w:rsidR="00C12D6A" w:rsidRPr="00161792" w:rsidSect="00A64728">
          <w:footerReference w:type="even" r:id="rId15"/>
          <w:footerReference w:type="default" r:id="rId16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A469AA" w:rsidRPr="00371A60" w:rsidRDefault="00A469AA" w:rsidP="00552C93">
      <w:pPr>
        <w:pStyle w:val="11"/>
        <w:spacing w:beforeLines="30" w:before="108" w:after="0" w:line="480" w:lineRule="exact"/>
        <w:jc w:val="center"/>
        <w:rPr>
          <w:rFonts w:ascii="微軟正黑體" w:eastAsia="微軟正黑體" w:hAnsi="微軟正黑體"/>
          <w:kern w:val="0"/>
          <w:sz w:val="40"/>
          <w:szCs w:val="40"/>
        </w:rPr>
      </w:pPr>
      <w:bookmarkStart w:id="0" w:name="_Toc413072663"/>
      <w:r w:rsidRPr="00371A60">
        <w:rPr>
          <w:rFonts w:ascii="微軟正黑體" w:eastAsia="微軟正黑體" w:hAnsi="微軟正黑體"/>
          <w:kern w:val="0"/>
          <w:sz w:val="40"/>
          <w:szCs w:val="40"/>
        </w:rPr>
        <w:lastRenderedPageBreak/>
        <w:t>【</w:t>
      </w:r>
      <w:r w:rsidRPr="00371A60">
        <w:rPr>
          <w:rFonts w:ascii="微軟正黑體" w:eastAsia="微軟正黑體" w:hAnsi="微軟正黑體" w:hint="eastAsia"/>
          <w:kern w:val="0"/>
          <w:sz w:val="40"/>
          <w:szCs w:val="40"/>
        </w:rPr>
        <w:t>摘要</w:t>
      </w:r>
      <w:r w:rsidRPr="00371A60">
        <w:rPr>
          <w:rFonts w:ascii="微軟正黑體" w:eastAsia="微軟正黑體" w:hAnsi="微軟正黑體"/>
          <w:kern w:val="0"/>
          <w:sz w:val="40"/>
          <w:szCs w:val="40"/>
        </w:rPr>
        <w:t>】</w:t>
      </w:r>
      <w:bookmarkEnd w:id="0"/>
    </w:p>
    <w:p w:rsidR="001F4DAB" w:rsidRPr="00876136" w:rsidRDefault="001F4DAB" w:rsidP="001F4DAB">
      <w:pPr>
        <w:widowControl/>
        <w:snapToGrid w:val="0"/>
        <w:spacing w:beforeLines="25" w:before="90" w:line="480" w:lineRule="exact"/>
        <w:jc w:val="both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876136">
        <w:rPr>
          <w:rFonts w:ascii="微軟正黑體" w:eastAsia="微軟正黑體" w:hAnsi="微軟正黑體"/>
          <w:b/>
          <w:kern w:val="0"/>
          <w:sz w:val="28"/>
          <w:szCs w:val="32"/>
        </w:rPr>
        <w:t>【兩岸經貿】</w:t>
      </w:r>
    </w:p>
    <w:p w:rsidR="00A9317D" w:rsidRPr="0064126F" w:rsidRDefault="00A9317D" w:rsidP="003B6150">
      <w:pPr>
        <w:widowControl/>
        <w:snapToGrid w:val="0"/>
        <w:spacing w:beforeLines="25" w:before="90" w:afterLines="23" w:after="82" w:line="440" w:lineRule="exact"/>
        <w:ind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2014年兩岸投資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續呈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我長彼消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的現象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，我對</w:t>
      </w:r>
      <w:r w:rsidR="00C0290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大陸</w:t>
      </w:r>
      <w:r w:rsidRPr="0064126F">
        <w:rPr>
          <w:rFonts w:ascii="微軟正黑體" w:eastAsia="微軟正黑體" w:hAnsi="微軟正黑體"/>
          <w:kern w:val="0"/>
          <w:sz w:val="28"/>
          <w:szCs w:val="32"/>
        </w:rPr>
        <w:t>核准投（增）資金額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較上年增加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13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陸資來</w:t>
      </w:r>
      <w:proofErr w:type="gramStart"/>
      <w:r w:rsidR="0059548A">
        <w:rPr>
          <w:rFonts w:ascii="微軟正黑體" w:eastAsia="微軟正黑體" w:hAnsi="微軟正黑體" w:hint="eastAsia"/>
          <w:kern w:val="0"/>
          <w:sz w:val="28"/>
          <w:szCs w:val="32"/>
        </w:rPr>
        <w:t>臺</w:t>
      </w:r>
      <w:proofErr w:type="gramEnd"/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投資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則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減少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。在雙邊貿易方面，</w:t>
      </w:r>
      <w:r w:rsidRPr="009D03B9">
        <w:rPr>
          <w:rFonts w:ascii="微軟正黑體" w:eastAsia="微軟正黑體" w:hAnsi="微軟正黑體" w:hint="eastAsia"/>
          <w:kern w:val="0"/>
          <w:sz w:val="28"/>
          <w:szCs w:val="32"/>
        </w:rPr>
        <w:t>我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對</w:t>
      </w:r>
      <w:r w:rsidR="00C0290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大陸出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口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金額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僅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較上年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微增0.4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%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，自</w:t>
      </w:r>
      <w:r w:rsidR="00C0290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大陸進口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則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增加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12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出超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則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減少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13.0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%</w:t>
      </w:r>
      <w:r w:rsidRPr="0064126F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r w:rsidR="005919B4" w:rsidRPr="005919B4">
        <w:rPr>
          <w:rFonts w:ascii="微軟正黑體" w:eastAsia="微軟正黑體" w:hAnsi="微軟正黑體" w:hint="eastAsia"/>
          <w:kern w:val="0"/>
          <w:sz w:val="28"/>
          <w:szCs w:val="32"/>
        </w:rPr>
        <w:t>展望未來，歐元區和日本成長乏力， 將繼續成為全球經濟擴張的主要障礙， 並拖累全球貿易，加上中國大陸經營成本上升，及中國大陸產業供應鏈逐步建立，進口替代能力提高等因素之下，臺灣對中國大陸出口仍面臨相當挑戰。</w:t>
      </w:r>
    </w:p>
    <w:p w:rsidR="00A9317D" w:rsidRPr="00FA19F6" w:rsidRDefault="00A9317D" w:rsidP="00CD34C1">
      <w:pPr>
        <w:pStyle w:val="af9"/>
        <w:widowControl/>
        <w:numPr>
          <w:ilvl w:val="0"/>
          <w:numId w:val="11"/>
        </w:numPr>
        <w:tabs>
          <w:tab w:val="left" w:pos="709"/>
        </w:tabs>
        <w:snapToGrid w:val="0"/>
        <w:spacing w:beforeLines="25" w:before="90" w:line="440" w:lineRule="exact"/>
        <w:ind w:leftChars="0"/>
        <w:jc w:val="both"/>
        <w:rPr>
          <w:rFonts w:ascii="微軟正黑體" w:eastAsia="微軟正黑體" w:hAnsi="微軟正黑體"/>
          <w:sz w:val="28"/>
          <w:szCs w:val="32"/>
        </w:rPr>
      </w:pPr>
      <w:r w:rsidRPr="00E838AB">
        <w:rPr>
          <w:rFonts w:ascii="微軟正黑體" w:eastAsia="微軟正黑體" w:hAnsi="微軟正黑體" w:hint="eastAsia"/>
          <w:b/>
          <w:sz w:val="28"/>
          <w:szCs w:val="32"/>
        </w:rPr>
        <w:t>對</w:t>
      </w:r>
      <w:r w:rsidR="00C0290F">
        <w:rPr>
          <w:rFonts w:ascii="微軟正黑體" w:eastAsia="微軟正黑體" w:hAnsi="微軟正黑體" w:hint="eastAsia"/>
          <w:b/>
          <w:sz w:val="28"/>
          <w:szCs w:val="32"/>
        </w:rPr>
        <w:t>中國</w:t>
      </w:r>
      <w:r w:rsidRPr="00E838AB">
        <w:rPr>
          <w:rFonts w:ascii="微軟正黑體" w:eastAsia="微軟正黑體" w:hAnsi="微軟正黑體" w:hint="eastAsia"/>
          <w:b/>
          <w:sz w:val="28"/>
          <w:szCs w:val="32"/>
        </w:rPr>
        <w:t>大陸投資增加：</w:t>
      </w:r>
      <w:r w:rsidR="005919B4" w:rsidRPr="005919B4">
        <w:rPr>
          <w:rFonts w:ascii="微軟正黑體" w:eastAsia="微軟正黑體" w:hAnsi="微軟正黑體" w:hint="eastAsia"/>
          <w:sz w:val="28"/>
          <w:szCs w:val="32"/>
        </w:rPr>
        <w:t>受人口紅利和資本累積效用遞減</w:t>
      </w:r>
      <w:r w:rsidR="00B34435">
        <w:rPr>
          <w:rFonts w:ascii="微軟正黑體" w:eastAsia="微軟正黑體" w:hAnsi="微軟正黑體" w:hint="eastAsia"/>
          <w:sz w:val="28"/>
          <w:szCs w:val="32"/>
        </w:rPr>
        <w:t>、</w:t>
      </w:r>
      <w:r w:rsidR="005919B4" w:rsidRPr="005919B4">
        <w:rPr>
          <w:rFonts w:ascii="微軟正黑體" w:eastAsia="微軟正黑體" w:hAnsi="微軟正黑體" w:hint="eastAsia"/>
          <w:sz w:val="28"/>
          <w:szCs w:val="32"/>
        </w:rPr>
        <w:t>製造業產能</w:t>
      </w:r>
      <w:r w:rsidR="005919B4">
        <w:rPr>
          <w:rFonts w:ascii="微軟正黑體" w:eastAsia="微軟正黑體" w:hAnsi="微軟正黑體" w:hint="eastAsia"/>
          <w:sz w:val="28"/>
          <w:szCs w:val="32"/>
        </w:rPr>
        <w:t>過剩</w:t>
      </w:r>
      <w:r w:rsidR="00B34435">
        <w:rPr>
          <w:rFonts w:ascii="微軟正黑體" w:eastAsia="微軟正黑體" w:hAnsi="微軟正黑體" w:hint="eastAsia"/>
          <w:sz w:val="28"/>
          <w:szCs w:val="32"/>
        </w:rPr>
        <w:t>、</w:t>
      </w:r>
      <w:r w:rsidR="005919B4" w:rsidRPr="005919B4">
        <w:rPr>
          <w:rFonts w:ascii="微軟正黑體" w:eastAsia="微軟正黑體" w:hAnsi="微軟正黑體" w:hint="eastAsia"/>
          <w:sz w:val="28"/>
          <w:szCs w:val="32"/>
        </w:rPr>
        <w:t>房市降溫等影響，依據經濟部投審會統計，</w:t>
      </w:r>
      <w:r w:rsidR="00CD34C1" w:rsidRPr="00CD34C1">
        <w:rPr>
          <w:rFonts w:ascii="微軟正黑體" w:eastAsia="微軟正黑體" w:hAnsi="微軟正黑體" w:hint="eastAsia"/>
          <w:sz w:val="28"/>
          <w:szCs w:val="32"/>
        </w:rPr>
        <w:t>2014年累計核准對中國大陸投資件數為388件，較上年減少11.8%，累計核准投（增）資金額為98.3億美元，雖較上年成長13.2%，但投資金額是近5年來次低水準</w:t>
      </w:r>
      <w:r w:rsidR="00B34435" w:rsidRPr="00B34435">
        <w:rPr>
          <w:rFonts w:ascii="微軟正黑體" w:eastAsia="微軟正黑體" w:hAnsi="微軟正黑體" w:hint="eastAsia"/>
          <w:sz w:val="28"/>
          <w:szCs w:val="32"/>
        </w:rPr>
        <w:t>；其中，第4季對中國大陸投資金額較上年同季成長4.8%。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在投資業別部分，主要集中在金融及保險業(占比1</w:t>
      </w:r>
      <w:r>
        <w:rPr>
          <w:rFonts w:ascii="微軟正黑體" w:eastAsia="微軟正黑體" w:hAnsi="微軟正黑體" w:hint="eastAsia"/>
          <w:sz w:val="28"/>
          <w:szCs w:val="32"/>
        </w:rPr>
        <w:t>6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.1%)、電子零組件製造業</w:t>
      </w:r>
      <w:r>
        <w:rPr>
          <w:rFonts w:ascii="微軟正黑體" w:eastAsia="微軟正黑體" w:hAnsi="微軟正黑體" w:hint="eastAsia"/>
          <w:sz w:val="28"/>
          <w:szCs w:val="32"/>
        </w:rPr>
        <w:t>(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占比</w:t>
      </w:r>
      <w:r>
        <w:rPr>
          <w:rFonts w:ascii="微軟正黑體" w:eastAsia="微軟正黑體" w:hAnsi="微軟正黑體" w:hint="eastAsia"/>
          <w:sz w:val="28"/>
          <w:szCs w:val="32"/>
        </w:rPr>
        <w:t>15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7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%)</w:t>
      </w:r>
      <w:r>
        <w:rPr>
          <w:rFonts w:ascii="微軟正黑體" w:eastAsia="微軟正黑體" w:hAnsi="微軟正黑體" w:hint="eastAsia"/>
          <w:sz w:val="28"/>
          <w:szCs w:val="32"/>
        </w:rPr>
        <w:t>、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電腦、電子產品及光學製品製造業(占比1</w:t>
      </w:r>
      <w:r>
        <w:rPr>
          <w:rFonts w:ascii="微軟正黑體" w:eastAsia="微軟正黑體" w:hAnsi="微軟正黑體" w:hint="eastAsia"/>
          <w:sz w:val="28"/>
          <w:szCs w:val="32"/>
        </w:rPr>
        <w:t>2.9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%)、批發及零售業</w:t>
      </w:r>
      <w:r>
        <w:rPr>
          <w:rFonts w:ascii="微軟正黑體" w:eastAsia="微軟正黑體" w:hAnsi="微軟正黑體" w:hint="eastAsia"/>
          <w:sz w:val="28"/>
          <w:szCs w:val="32"/>
        </w:rPr>
        <w:t>(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占比</w:t>
      </w:r>
      <w:r>
        <w:rPr>
          <w:rFonts w:ascii="微軟正黑體" w:eastAsia="微軟正黑體" w:hAnsi="微軟正黑體" w:hint="eastAsia"/>
          <w:sz w:val="28"/>
          <w:szCs w:val="32"/>
        </w:rPr>
        <w:t>10.7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%)及</w:t>
      </w:r>
      <w:r w:rsidRPr="004C5717">
        <w:rPr>
          <w:rFonts w:ascii="微軟正黑體" w:eastAsia="微軟正黑體" w:hAnsi="微軟正黑體" w:hint="eastAsia"/>
          <w:sz w:val="28"/>
          <w:szCs w:val="32"/>
        </w:rPr>
        <w:t>非金屬礦物製品製造業</w:t>
      </w:r>
      <w:r>
        <w:rPr>
          <w:rFonts w:ascii="微軟正黑體" w:eastAsia="微軟正黑體" w:hAnsi="微軟正黑體" w:hint="eastAsia"/>
          <w:sz w:val="28"/>
          <w:szCs w:val="32"/>
        </w:rPr>
        <w:t>(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占比</w:t>
      </w:r>
      <w:r>
        <w:rPr>
          <w:rFonts w:ascii="微軟正黑體" w:eastAsia="微軟正黑體" w:hAnsi="微軟正黑體" w:hint="eastAsia"/>
          <w:sz w:val="28"/>
          <w:szCs w:val="32"/>
        </w:rPr>
        <w:t>6.7</w:t>
      </w:r>
      <w:r w:rsidRPr="00FA19F6">
        <w:rPr>
          <w:rFonts w:ascii="微軟正黑體" w:eastAsia="微軟正黑體" w:hAnsi="微軟正黑體" w:hint="eastAsia"/>
          <w:sz w:val="28"/>
          <w:szCs w:val="32"/>
        </w:rPr>
        <w:t>%)。</w:t>
      </w:r>
    </w:p>
    <w:p w:rsidR="00A9317D" w:rsidRDefault="00A9317D" w:rsidP="003B6150">
      <w:pPr>
        <w:pStyle w:val="af9"/>
        <w:widowControl/>
        <w:numPr>
          <w:ilvl w:val="0"/>
          <w:numId w:val="9"/>
        </w:numPr>
        <w:snapToGrid w:val="0"/>
        <w:spacing w:beforeLines="25" w:before="90" w:line="440" w:lineRule="exact"/>
        <w:ind w:leftChars="0" w:left="482" w:hanging="482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E838AB">
        <w:rPr>
          <w:rFonts w:ascii="微軟正黑體" w:eastAsia="微軟正黑體" w:hAnsi="微軟正黑體" w:hint="eastAsia"/>
          <w:b/>
          <w:kern w:val="0"/>
          <w:sz w:val="28"/>
          <w:szCs w:val="32"/>
        </w:rPr>
        <w:t>陸資來</w:t>
      </w:r>
      <w:proofErr w:type="gramStart"/>
      <w:r w:rsidR="0059548A">
        <w:rPr>
          <w:rFonts w:ascii="微軟正黑體" w:eastAsia="微軟正黑體" w:hAnsi="微軟正黑體" w:hint="eastAsia"/>
          <w:b/>
          <w:kern w:val="0"/>
          <w:sz w:val="28"/>
          <w:szCs w:val="32"/>
        </w:rPr>
        <w:t>臺</w:t>
      </w:r>
      <w:proofErr w:type="gramEnd"/>
      <w:r w:rsidRPr="00E838AB">
        <w:rPr>
          <w:rFonts w:ascii="微軟正黑體" w:eastAsia="微軟正黑體" w:hAnsi="微軟正黑體" w:hint="eastAsia"/>
          <w:b/>
          <w:kern w:val="0"/>
          <w:sz w:val="28"/>
          <w:szCs w:val="32"/>
        </w:rPr>
        <w:t>投資略減：</w:t>
      </w:r>
      <w:r w:rsidRPr="003A0BC3">
        <w:rPr>
          <w:rFonts w:ascii="微軟正黑體" w:eastAsia="微軟正黑體" w:hAnsi="微軟正黑體" w:hint="eastAsia"/>
          <w:kern w:val="0"/>
          <w:sz w:val="28"/>
          <w:szCs w:val="32"/>
        </w:rPr>
        <w:t>2014年核准陸資來</w:t>
      </w:r>
      <w:proofErr w:type="gramStart"/>
      <w:r w:rsidR="0059548A">
        <w:rPr>
          <w:rFonts w:ascii="微軟正黑體" w:eastAsia="微軟正黑體" w:hAnsi="微軟正黑體" w:hint="eastAsia"/>
          <w:kern w:val="0"/>
          <w:sz w:val="28"/>
          <w:szCs w:val="32"/>
        </w:rPr>
        <w:t>臺</w:t>
      </w:r>
      <w:proofErr w:type="gramEnd"/>
      <w:r w:rsidRPr="003A0BC3">
        <w:rPr>
          <w:rFonts w:ascii="微軟正黑體" w:eastAsia="微軟正黑體" w:hAnsi="微軟正黑體" w:hint="eastAsia"/>
          <w:kern w:val="0"/>
          <w:sz w:val="28"/>
          <w:szCs w:val="32"/>
        </w:rPr>
        <w:t>投資金額為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3.3</w:t>
      </w:r>
      <w:r w:rsidR="005B4B7F">
        <w:rPr>
          <w:rFonts w:ascii="微軟正黑體" w:eastAsia="微軟正黑體" w:hAnsi="微軟正黑體" w:hint="eastAsia"/>
          <w:kern w:val="0"/>
          <w:sz w:val="28"/>
          <w:szCs w:val="32"/>
        </w:rPr>
        <w:t>億美元，較上年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略減4</w:t>
      </w:r>
      <w:r w:rsidRPr="003A0BC3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 w:rsidRPr="003A0BC3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；其中，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2"/>
        </w:rPr>
        <w:t>第4季陸資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來</w:t>
      </w:r>
      <w:proofErr w:type="gramStart"/>
      <w:r w:rsidR="0059548A">
        <w:rPr>
          <w:rFonts w:ascii="微軟正黑體" w:eastAsia="微軟正黑體" w:hAnsi="微軟正黑體" w:hint="eastAsia"/>
          <w:kern w:val="0"/>
          <w:sz w:val="28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投資金額0.71億美元</w:t>
      </w:r>
      <w:r w:rsidRPr="0016376A">
        <w:rPr>
          <w:rFonts w:ascii="微軟正黑體" w:eastAsia="微軟正黑體" w:hAnsi="微軟正黑體" w:hint="eastAsia"/>
          <w:kern w:val="0"/>
          <w:sz w:val="28"/>
          <w:szCs w:val="32"/>
        </w:rPr>
        <w:t>，較上年同</w:t>
      </w:r>
      <w:r w:rsidR="005B4B7F">
        <w:rPr>
          <w:rFonts w:ascii="微軟正黑體" w:eastAsia="微軟正黑體" w:hAnsi="微軟正黑體" w:hint="eastAsia"/>
          <w:kern w:val="0"/>
          <w:sz w:val="28"/>
          <w:szCs w:val="32"/>
        </w:rPr>
        <w:t>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增加139</w:t>
      </w:r>
      <w:r w:rsidRPr="0016376A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9967F8">
        <w:rPr>
          <w:rFonts w:ascii="微軟正黑體" w:eastAsia="微軟正黑體" w:hAnsi="微軟正黑體" w:hint="eastAsia"/>
          <w:kern w:val="0"/>
          <w:sz w:val="28"/>
          <w:szCs w:val="32"/>
        </w:rPr>
        <w:t>主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因</w:t>
      </w:r>
      <w:r w:rsidR="009967F8">
        <w:rPr>
          <w:rFonts w:ascii="微軟正黑體" w:eastAsia="微軟正黑體" w:hAnsi="微軟正黑體" w:hint="eastAsia"/>
          <w:kern w:val="0"/>
          <w:sz w:val="28"/>
          <w:szCs w:val="32"/>
        </w:rPr>
        <w:t>是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比較基期</w:t>
      </w:r>
      <w:r w:rsidR="009967F8">
        <w:rPr>
          <w:rFonts w:ascii="微軟正黑體" w:eastAsia="微軟正黑體" w:hAnsi="微軟正黑體" w:hint="eastAsia"/>
          <w:kern w:val="0"/>
          <w:sz w:val="28"/>
          <w:szCs w:val="32"/>
        </w:rPr>
        <w:t>較低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所致。</w:t>
      </w:r>
      <w:r w:rsidRPr="00E60485">
        <w:rPr>
          <w:rFonts w:ascii="微軟正黑體" w:eastAsia="微軟正黑體" w:hAnsi="微軟正黑體"/>
          <w:kern w:val="0"/>
          <w:sz w:val="28"/>
          <w:szCs w:val="32"/>
        </w:rPr>
        <w:t>201</w:t>
      </w:r>
      <w:r w:rsidRPr="00E60485"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E60485">
        <w:rPr>
          <w:rFonts w:ascii="微軟正黑體" w:eastAsia="微軟正黑體" w:hAnsi="微軟正黑體"/>
          <w:kern w:val="0"/>
          <w:sz w:val="28"/>
          <w:szCs w:val="32"/>
        </w:rPr>
        <w:t>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金額較大的投資案為</w:t>
      </w:r>
      <w:r w:rsidRPr="008F3197">
        <w:rPr>
          <w:rFonts w:ascii="微軟正黑體" w:eastAsia="微軟正黑體" w:hAnsi="微軟正黑體" w:hint="eastAsia"/>
          <w:kern w:val="0"/>
          <w:sz w:val="28"/>
          <w:szCs w:val="32"/>
        </w:rPr>
        <w:t>長春英利汽車工業股份有限公司申請匯入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1.27億美元，</w:t>
      </w:r>
      <w:r w:rsidRPr="008F3197">
        <w:rPr>
          <w:rFonts w:ascii="微軟正黑體" w:eastAsia="微軟正黑體" w:hAnsi="微軟正黑體" w:hint="eastAsia"/>
          <w:kern w:val="0"/>
          <w:sz w:val="28"/>
          <w:szCs w:val="32"/>
        </w:rPr>
        <w:t>投資宏利汽車部件股份有限公司，從事汽車及其零件製造業等業務</w:t>
      </w:r>
      <w:r w:rsidRPr="00E60485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A9317D" w:rsidRDefault="00A9317D" w:rsidP="003B6150">
      <w:pPr>
        <w:pStyle w:val="af9"/>
        <w:widowControl/>
        <w:numPr>
          <w:ilvl w:val="0"/>
          <w:numId w:val="9"/>
        </w:numPr>
        <w:snapToGrid w:val="0"/>
        <w:spacing w:beforeLines="25" w:before="90" w:line="440" w:lineRule="exact"/>
        <w:ind w:leftChars="0" w:left="482" w:hanging="482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E838AB">
        <w:rPr>
          <w:rFonts w:ascii="微軟正黑體" w:eastAsia="微軟正黑體" w:hAnsi="微軟正黑體" w:hint="eastAsia"/>
          <w:b/>
          <w:kern w:val="0"/>
          <w:sz w:val="28"/>
          <w:szCs w:val="32"/>
        </w:rPr>
        <w:t>對</w:t>
      </w:r>
      <w:r w:rsidR="00C0290F">
        <w:rPr>
          <w:rFonts w:ascii="微軟正黑體" w:eastAsia="微軟正黑體" w:hAnsi="微軟正黑體" w:hint="eastAsia"/>
          <w:b/>
          <w:kern w:val="0"/>
          <w:sz w:val="28"/>
          <w:szCs w:val="32"/>
        </w:rPr>
        <w:t>中國</w:t>
      </w:r>
      <w:r w:rsidRPr="00E838AB">
        <w:rPr>
          <w:rFonts w:ascii="微軟正黑體" w:eastAsia="微軟正黑體" w:hAnsi="微軟正黑體" w:hint="eastAsia"/>
          <w:b/>
          <w:kern w:val="0"/>
          <w:sz w:val="28"/>
          <w:szCs w:val="32"/>
        </w:rPr>
        <w:t>大陸出口微增：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2014年對</w:t>
      </w:r>
      <w:r w:rsidR="00C0290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大陸貿易總額為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1,301.9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億美元，占我整體對外貿易總額之比重達2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%。在出口方面，累計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全年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出口金額為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821</w:t>
      </w:r>
      <w:r w:rsidRPr="009D03B9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億美元（占我出口總額26.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%），較上年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微增0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；其中，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第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2、3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季對</w:t>
      </w:r>
      <w:r w:rsidR="00C0290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大陸出口較上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年同期分別增加2.6％、4.9%，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第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1、4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則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較上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年同期分別減少3.4％、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lastRenderedPageBreak/>
        <w:t>2.3%。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在進口方面，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全年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自</w:t>
      </w:r>
      <w:r w:rsidR="00C0290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大陸進口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480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億美元（占我進口總額1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7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%），較上年增加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12.8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1F4DAB" w:rsidRPr="006D7283" w:rsidRDefault="001F4DAB" w:rsidP="00376324">
      <w:pPr>
        <w:widowControl/>
        <w:snapToGrid w:val="0"/>
        <w:spacing w:beforeLines="25" w:before="90" w:line="480" w:lineRule="exact"/>
        <w:jc w:val="both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161792">
        <w:rPr>
          <w:rFonts w:ascii="微軟正黑體" w:eastAsia="微軟正黑體" w:hAnsi="微軟正黑體"/>
          <w:b/>
          <w:kern w:val="0"/>
          <w:sz w:val="28"/>
          <w:szCs w:val="32"/>
        </w:rPr>
        <w:t>【</w:t>
      </w:r>
      <w:r w:rsidRPr="00161792">
        <w:rPr>
          <w:rFonts w:ascii="微軟正黑體" w:eastAsia="微軟正黑體" w:hAnsi="微軟正黑體" w:hint="eastAsia"/>
          <w:b/>
          <w:kern w:val="0"/>
          <w:sz w:val="28"/>
          <w:szCs w:val="32"/>
        </w:rPr>
        <w:t>中國</w:t>
      </w:r>
      <w:r w:rsidRPr="00161792">
        <w:rPr>
          <w:rFonts w:ascii="微軟正黑體" w:eastAsia="微軟正黑體" w:hAnsi="微軟正黑體"/>
          <w:b/>
          <w:kern w:val="0"/>
          <w:sz w:val="28"/>
          <w:szCs w:val="32"/>
        </w:rPr>
        <w:t>大陸</w:t>
      </w:r>
      <w:r w:rsidRPr="00161792">
        <w:rPr>
          <w:rFonts w:ascii="微軟正黑體" w:eastAsia="微軟正黑體" w:hAnsi="微軟正黑體" w:hint="eastAsia"/>
          <w:b/>
          <w:kern w:val="0"/>
          <w:sz w:val="28"/>
          <w:szCs w:val="32"/>
        </w:rPr>
        <w:t>經濟</w:t>
      </w:r>
      <w:r w:rsidRPr="00161792">
        <w:rPr>
          <w:rFonts w:ascii="微軟正黑體" w:eastAsia="微軟正黑體" w:hAnsi="微軟正黑體"/>
          <w:b/>
          <w:kern w:val="0"/>
          <w:sz w:val="28"/>
          <w:szCs w:val="32"/>
        </w:rPr>
        <w:t>】</w:t>
      </w:r>
    </w:p>
    <w:p w:rsidR="00A9317D" w:rsidRDefault="00A9317D" w:rsidP="00A9317D">
      <w:pPr>
        <w:widowControl/>
        <w:snapToGrid w:val="0"/>
        <w:spacing w:beforeLines="25" w:before="90" w:afterLines="23" w:after="82" w:line="460" w:lineRule="exact"/>
        <w:ind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694109">
        <w:rPr>
          <w:rFonts w:ascii="微軟正黑體" w:eastAsia="微軟正黑體" w:hAnsi="微軟正黑體" w:hint="eastAsia"/>
          <w:kern w:val="0"/>
          <w:sz w:val="28"/>
          <w:szCs w:val="32"/>
        </w:rPr>
        <w:t>2014年中國大陸經濟成長率為7.4%，較2013年的7.7%下降0.3個百分點，是1990年以來最低的一年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2"/>
        </w:rPr>
        <w:t>另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Pr="00694109">
        <w:rPr>
          <w:rFonts w:ascii="微軟正黑體" w:eastAsia="微軟正黑體" w:hAnsi="微軟正黑體" w:hint="eastAsia"/>
          <w:kern w:val="0"/>
          <w:sz w:val="28"/>
          <w:szCs w:val="32"/>
        </w:rPr>
        <w:t>從2014年投資、消費、出口等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三</w:t>
      </w:r>
      <w:r w:rsidRPr="00694109">
        <w:rPr>
          <w:rFonts w:ascii="微軟正黑體" w:eastAsia="微軟正黑體" w:hAnsi="微軟正黑體" w:hint="eastAsia"/>
          <w:kern w:val="0"/>
          <w:sz w:val="28"/>
          <w:szCs w:val="32"/>
        </w:rPr>
        <w:t>大需求成長力道</w:t>
      </w:r>
      <w:r w:rsidRPr="00A56295">
        <w:rPr>
          <w:rFonts w:ascii="微軟正黑體" w:eastAsia="微軟正黑體" w:hAnsi="微軟正黑體" w:hint="eastAsia"/>
          <w:kern w:val="0"/>
          <w:sz w:val="28"/>
          <w:szCs w:val="32"/>
        </w:rPr>
        <w:t>，以及各季經濟成長率看來，顯示中國大陸</w:t>
      </w:r>
      <w:proofErr w:type="gramStart"/>
      <w:r w:rsidRPr="00A56295">
        <w:rPr>
          <w:rFonts w:ascii="微軟正黑體" w:eastAsia="微軟正黑體" w:hAnsi="微軟正黑體" w:hint="eastAsia"/>
          <w:kern w:val="0"/>
          <w:sz w:val="28"/>
          <w:szCs w:val="32"/>
        </w:rPr>
        <w:t>內需仍屬</w:t>
      </w:r>
      <w:proofErr w:type="gramEnd"/>
      <w:r w:rsidRPr="00A56295">
        <w:rPr>
          <w:rFonts w:ascii="微軟正黑體" w:eastAsia="微軟正黑體" w:hAnsi="微軟正黑體" w:hint="eastAsia"/>
          <w:kern w:val="0"/>
          <w:sz w:val="28"/>
          <w:szCs w:val="32"/>
        </w:rPr>
        <w:t>乏力，產能過剩並未根本緩解，通貨緊縮陰影揮之不去，房地產疲弱影響仍大，致經濟明顯</w:t>
      </w:r>
      <w:r w:rsidR="009967F8" w:rsidRPr="00A56295">
        <w:rPr>
          <w:rFonts w:ascii="微軟正黑體" w:eastAsia="微軟正黑體" w:hAnsi="微軟正黑體" w:hint="eastAsia"/>
          <w:kern w:val="0"/>
          <w:sz w:val="28"/>
          <w:szCs w:val="32"/>
        </w:rPr>
        <w:t>走緩</w:t>
      </w:r>
      <w:r w:rsidRPr="00694109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A9317D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30" w:before="108" w:afterLines="23" w:after="82" w:line="460" w:lineRule="exact"/>
        <w:ind w:leftChars="0" w:left="480"/>
        <w:jc w:val="both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161792">
        <w:rPr>
          <w:rFonts w:ascii="微軟正黑體" w:eastAsia="微軟正黑體" w:hAnsi="微軟正黑體" w:cs="MS Gothic" w:hint="eastAsia"/>
          <w:b/>
          <w:sz w:val="28"/>
          <w:szCs w:val="32"/>
        </w:rPr>
        <w:t>消費成長</w:t>
      </w:r>
      <w:r>
        <w:rPr>
          <w:rFonts w:ascii="微軟正黑體" w:eastAsia="微軟正黑體" w:hAnsi="微軟正黑體" w:cs="MS Gothic" w:hint="eastAsia"/>
          <w:b/>
          <w:sz w:val="28"/>
          <w:szCs w:val="32"/>
        </w:rPr>
        <w:t>力道不足</w:t>
      </w:r>
      <w:r w:rsidRPr="00161792">
        <w:rPr>
          <w:rFonts w:ascii="微軟正黑體" w:eastAsia="微軟正黑體" w:hAnsi="微軟正黑體" w:hint="eastAsia"/>
          <w:b/>
          <w:kern w:val="0"/>
          <w:sz w:val="28"/>
          <w:szCs w:val="32"/>
        </w:rPr>
        <w:t>：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2014年</w:t>
      </w:r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社會消費品零售總額</w:t>
      </w:r>
      <w:r>
        <w:rPr>
          <w:rFonts w:ascii="微軟正黑體" w:eastAsia="微軟正黑體" w:hAnsi="微軟正黑體" w:hint="eastAsia"/>
          <w:sz w:val="28"/>
          <w:szCs w:val="32"/>
        </w:rPr>
        <w:t>26.2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兆元，較上年成長12.</w:t>
      </w:r>
      <w:r>
        <w:rPr>
          <w:rFonts w:ascii="微軟正黑體" w:eastAsia="微軟正黑體" w:hAnsi="微軟正黑體" w:hint="eastAsia"/>
          <w:sz w:val="28"/>
          <w:szCs w:val="32"/>
        </w:rPr>
        <w:t>0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%，</w:t>
      </w:r>
      <w:r>
        <w:rPr>
          <w:rFonts w:ascii="微軟正黑體" w:eastAsia="微軟正黑體" w:hAnsi="微軟正黑體" w:hint="eastAsia"/>
          <w:sz w:val="28"/>
          <w:szCs w:val="32"/>
        </w:rPr>
        <w:t>與2013年的13.1%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減少</w:t>
      </w:r>
      <w:r>
        <w:rPr>
          <w:rFonts w:ascii="微軟正黑體" w:eastAsia="微軟正黑體" w:hAnsi="微軟正黑體" w:hint="eastAsia"/>
          <w:sz w:val="28"/>
          <w:szCs w:val="32"/>
        </w:rPr>
        <w:t>1.1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個百分點</w:t>
      </w:r>
      <w:r>
        <w:rPr>
          <w:rFonts w:ascii="微軟正黑體" w:eastAsia="微軟正黑體" w:hAnsi="微軟正黑體" w:hint="eastAsia"/>
          <w:sz w:val="28"/>
          <w:szCs w:val="32"/>
        </w:rPr>
        <w:t>，就</w:t>
      </w:r>
      <w:r w:rsidR="00D171BC">
        <w:rPr>
          <w:rFonts w:ascii="微軟正黑體" w:eastAsia="微軟正黑體" w:hAnsi="微軟正黑體" w:hint="eastAsia"/>
          <w:kern w:val="0"/>
          <w:sz w:val="28"/>
          <w:szCs w:val="30"/>
        </w:rPr>
        <w:t>1至4</w:t>
      </w:r>
      <w:r>
        <w:rPr>
          <w:rFonts w:ascii="微軟正黑體" w:eastAsia="微軟正黑體" w:hAnsi="微軟正黑體" w:hint="eastAsia"/>
          <w:sz w:val="28"/>
          <w:szCs w:val="32"/>
        </w:rPr>
        <w:t>季資料來看，分別為12.0%、12.2%、11.8%及12.0%，消費成長力道仍顯不足。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據</w:t>
      </w:r>
      <w:r>
        <w:rPr>
          <w:rFonts w:ascii="微軟正黑體" w:eastAsia="微軟正黑體" w:hAnsi="微軟正黑體" w:hint="eastAsia"/>
          <w:sz w:val="28"/>
          <w:szCs w:val="32"/>
        </w:rPr>
        <w:t>中國科學院預估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，</w:t>
      </w:r>
      <w:r w:rsidRPr="00113F01">
        <w:rPr>
          <w:rFonts w:ascii="微軟正黑體" w:eastAsia="微軟正黑體" w:hAnsi="微軟正黑體"/>
          <w:sz w:val="28"/>
          <w:szCs w:val="32"/>
        </w:rPr>
        <w:t>2015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年社會消費品零售總額</w:t>
      </w:r>
      <w:r>
        <w:rPr>
          <w:rFonts w:ascii="微軟正黑體" w:eastAsia="微軟正黑體" w:hAnsi="微軟正黑體" w:hint="eastAsia"/>
          <w:sz w:val="28"/>
          <w:szCs w:val="32"/>
        </w:rPr>
        <w:t>成長率為</w:t>
      </w:r>
      <w:r w:rsidRPr="00113F01">
        <w:rPr>
          <w:rFonts w:ascii="微軟正黑體" w:eastAsia="微軟正黑體" w:hAnsi="微軟正黑體"/>
          <w:sz w:val="28"/>
          <w:szCs w:val="32"/>
        </w:rPr>
        <w:t>11%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左右，</w:t>
      </w:r>
      <w:r>
        <w:rPr>
          <w:rFonts w:ascii="微軟正黑體" w:eastAsia="微軟正黑體" w:hAnsi="微軟正黑體" w:hint="eastAsia"/>
          <w:sz w:val="28"/>
          <w:szCs w:val="32"/>
        </w:rPr>
        <w:t>顯示消費成長力</w:t>
      </w:r>
      <w:r w:rsidR="00E838AB">
        <w:rPr>
          <w:rFonts w:ascii="微軟正黑體" w:eastAsia="微軟正黑體" w:hAnsi="微軟正黑體" w:hint="eastAsia"/>
          <w:sz w:val="28"/>
          <w:szCs w:val="32"/>
        </w:rPr>
        <w:t>道</w:t>
      </w:r>
      <w:r>
        <w:rPr>
          <w:rFonts w:ascii="微軟正黑體" w:eastAsia="微軟正黑體" w:hAnsi="微軟正黑體" w:hint="eastAsia"/>
          <w:sz w:val="28"/>
          <w:szCs w:val="32"/>
        </w:rPr>
        <w:t>仍弱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。</w:t>
      </w:r>
    </w:p>
    <w:p w:rsidR="00A9317D" w:rsidRPr="002C6CB6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8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2D47A1">
        <w:rPr>
          <w:rFonts w:ascii="微軟正黑體" w:eastAsia="微軟正黑體" w:hAnsi="微軟正黑體" w:hint="eastAsia"/>
          <w:b/>
          <w:kern w:val="0"/>
          <w:sz w:val="28"/>
          <w:szCs w:val="32"/>
        </w:rPr>
        <w:t>固定資產投資成長趨緩：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隨著房地產市場的相對調整，以及製造業領域產能的相對過剩，2014年中國大陸固定資產投資僅成長</w:t>
      </w:r>
      <w:r w:rsidRPr="008622AE">
        <w:rPr>
          <w:rFonts w:ascii="微軟正黑體" w:eastAsia="微軟正黑體" w:hAnsi="微軟正黑體"/>
          <w:sz w:val="28"/>
          <w:szCs w:val="32"/>
        </w:rPr>
        <w:t>15.7%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，較</w:t>
      </w:r>
      <w:r>
        <w:rPr>
          <w:rFonts w:ascii="微軟正黑體" w:eastAsia="微軟正黑體" w:hAnsi="微軟正黑體" w:hint="eastAsia"/>
          <w:sz w:val="28"/>
          <w:szCs w:val="32"/>
        </w:rPr>
        <w:t>上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年的19.6%大幅</w:t>
      </w:r>
      <w:r w:rsidR="009967F8">
        <w:rPr>
          <w:rFonts w:ascii="微軟正黑體" w:eastAsia="微軟正黑體" w:hAnsi="微軟正黑體" w:hint="eastAsia"/>
          <w:sz w:val="28"/>
          <w:szCs w:val="32"/>
        </w:rPr>
        <w:t>縮減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近4個百分點，</w:t>
      </w:r>
      <w:proofErr w:type="gramStart"/>
      <w:r w:rsidRPr="008622AE">
        <w:rPr>
          <w:rFonts w:ascii="微軟正黑體" w:eastAsia="微軟正黑體" w:hAnsi="微軟正黑體" w:hint="eastAsia"/>
          <w:sz w:val="28"/>
          <w:szCs w:val="32"/>
        </w:rPr>
        <w:t>就季資料</w:t>
      </w:r>
      <w:proofErr w:type="gramEnd"/>
      <w:r w:rsidRPr="008622AE">
        <w:rPr>
          <w:rFonts w:ascii="微軟正黑體" w:eastAsia="微軟正黑體" w:hAnsi="微軟正黑體" w:hint="eastAsia"/>
          <w:sz w:val="28"/>
          <w:szCs w:val="32"/>
        </w:rPr>
        <w:t>來看，固定資產投資</w:t>
      </w:r>
      <w:r w:rsidR="00D171BC">
        <w:rPr>
          <w:rFonts w:ascii="微軟正黑體" w:eastAsia="微軟正黑體" w:hAnsi="微軟正黑體" w:hint="eastAsia"/>
          <w:kern w:val="0"/>
          <w:sz w:val="28"/>
          <w:szCs w:val="30"/>
        </w:rPr>
        <w:t>1至4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季分別成長17.6%、</w:t>
      </w:r>
      <w:r w:rsidR="000C37F2">
        <w:rPr>
          <w:rFonts w:ascii="微軟正黑體" w:eastAsia="微軟正黑體" w:hAnsi="微軟正黑體" w:hint="eastAsia"/>
          <w:sz w:val="28"/>
          <w:szCs w:val="32"/>
        </w:rPr>
        <w:t>17.0%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、13.7%及14.5%，增速明顯下滑。在經濟新常態下，中國大陸難以再推大規模刺激計畫，固定資產投資成長</w:t>
      </w:r>
      <w:proofErr w:type="gramStart"/>
      <w:r w:rsidRPr="008622AE">
        <w:rPr>
          <w:rFonts w:ascii="微軟正黑體" w:eastAsia="微軟正黑體" w:hAnsi="微軟正黑體" w:hint="eastAsia"/>
          <w:sz w:val="28"/>
          <w:szCs w:val="32"/>
        </w:rPr>
        <w:t>恐</w:t>
      </w:r>
      <w:proofErr w:type="gramEnd"/>
      <w:r w:rsidRPr="008622AE">
        <w:rPr>
          <w:rFonts w:ascii="微軟正黑體" w:eastAsia="微軟正黑體" w:hAnsi="微軟正黑體" w:hint="eastAsia"/>
          <w:sz w:val="28"/>
          <w:szCs w:val="32"/>
        </w:rPr>
        <w:t>持續下滑。</w:t>
      </w:r>
    </w:p>
    <w:p w:rsidR="00A9317D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80"/>
        <w:jc w:val="both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161792">
        <w:rPr>
          <w:rFonts w:ascii="微軟正黑體" w:eastAsia="微軟正黑體" w:hAnsi="微軟正黑體" w:hint="eastAsia"/>
          <w:b/>
          <w:kern w:val="0"/>
          <w:sz w:val="28"/>
          <w:szCs w:val="32"/>
        </w:rPr>
        <w:t>工業生產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持續</w:t>
      </w:r>
      <w:r w:rsidRPr="00161792">
        <w:rPr>
          <w:rFonts w:ascii="微軟正黑體" w:eastAsia="微軟正黑體" w:hAnsi="微軟正黑體" w:hint="eastAsia"/>
          <w:b/>
          <w:kern w:val="0"/>
          <w:sz w:val="28"/>
          <w:szCs w:val="32"/>
        </w:rPr>
        <w:t>疲軟：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2014年</w:t>
      </w:r>
      <w:r>
        <w:rPr>
          <w:rFonts w:ascii="微軟正黑體" w:eastAsia="微軟正黑體" w:hAnsi="微軟正黑體" w:hint="eastAsia"/>
          <w:sz w:val="28"/>
          <w:szCs w:val="32"/>
        </w:rPr>
        <w:t>全年規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模以</w:t>
      </w:r>
      <w:proofErr w:type="gramStart"/>
      <w:r w:rsidRPr="00161792">
        <w:rPr>
          <w:rFonts w:ascii="微軟正黑體" w:eastAsia="微軟正黑體" w:hAnsi="微軟正黑體" w:hint="eastAsia"/>
          <w:sz w:val="28"/>
          <w:szCs w:val="32"/>
        </w:rPr>
        <w:t>上</w:t>
      </w:r>
      <w:proofErr w:type="gramEnd"/>
      <w:r>
        <w:rPr>
          <w:rStyle w:val="a8"/>
          <w:rFonts w:ascii="微軟正黑體" w:eastAsia="微軟正黑體" w:hAnsi="微軟正黑體"/>
          <w:sz w:val="28"/>
          <w:szCs w:val="32"/>
        </w:rPr>
        <w:footnoteReference w:id="1"/>
      </w:r>
      <w:r w:rsidRPr="00161792">
        <w:rPr>
          <w:rFonts w:ascii="微軟正黑體" w:eastAsia="微軟正黑體" w:hAnsi="微軟正黑體" w:hint="eastAsia"/>
          <w:sz w:val="28"/>
          <w:szCs w:val="32"/>
        </w:rPr>
        <w:t>工業增加值年增率為</w:t>
      </w:r>
      <w:proofErr w:type="gramStart"/>
      <w:r w:rsidRPr="00161792">
        <w:rPr>
          <w:rFonts w:ascii="微軟正黑體" w:eastAsia="微軟正黑體" w:hAnsi="微軟正黑體" w:hint="eastAsia"/>
          <w:sz w:val="28"/>
          <w:szCs w:val="32"/>
        </w:rPr>
        <w:t>為</w:t>
      </w:r>
      <w:proofErr w:type="gramEnd"/>
      <w:r w:rsidRPr="00161792">
        <w:rPr>
          <w:rFonts w:ascii="微軟正黑體" w:eastAsia="微軟正黑體" w:hAnsi="微軟正黑體" w:hint="eastAsia"/>
          <w:sz w:val="28"/>
          <w:szCs w:val="32"/>
        </w:rPr>
        <w:t>8.</w:t>
      </w:r>
      <w:r>
        <w:rPr>
          <w:rFonts w:ascii="微軟正黑體" w:eastAsia="微軟正黑體" w:hAnsi="微軟正黑體" w:hint="eastAsia"/>
          <w:sz w:val="28"/>
          <w:szCs w:val="32"/>
        </w:rPr>
        <w:t>3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%，較</w:t>
      </w:r>
      <w:r>
        <w:rPr>
          <w:rFonts w:ascii="微軟正黑體" w:eastAsia="微軟正黑體" w:hAnsi="微軟正黑體" w:hint="eastAsia"/>
          <w:sz w:val="28"/>
          <w:szCs w:val="32"/>
        </w:rPr>
        <w:t>2013年全年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下滑</w:t>
      </w:r>
      <w:r>
        <w:rPr>
          <w:rFonts w:ascii="微軟正黑體" w:eastAsia="微軟正黑體" w:hAnsi="微軟正黑體" w:hint="eastAsia"/>
          <w:sz w:val="28"/>
          <w:szCs w:val="32"/>
        </w:rPr>
        <w:t>1.4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個百分點。</w:t>
      </w:r>
      <w:proofErr w:type="gramStart"/>
      <w:r w:rsidRPr="00161792">
        <w:rPr>
          <w:rFonts w:ascii="微軟正黑體" w:eastAsia="微軟正黑體" w:hAnsi="微軟正黑體" w:hint="eastAsia"/>
          <w:sz w:val="28"/>
          <w:szCs w:val="32"/>
        </w:rPr>
        <w:t>另</w:t>
      </w:r>
      <w:proofErr w:type="gramEnd"/>
      <w:r w:rsidRPr="00161792">
        <w:rPr>
          <w:rFonts w:ascii="微軟正黑體" w:eastAsia="微軟正黑體" w:hAnsi="微軟正黑體" w:hint="eastAsia"/>
          <w:sz w:val="28"/>
          <w:szCs w:val="32"/>
        </w:rPr>
        <w:t>，</w:t>
      </w:r>
      <w:r>
        <w:rPr>
          <w:rFonts w:ascii="微軟正黑體" w:eastAsia="微軟正黑體" w:hAnsi="微軟正黑體" w:hint="eastAsia"/>
          <w:sz w:val="28"/>
          <w:szCs w:val="32"/>
        </w:rPr>
        <w:t>中國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大陸官方</w:t>
      </w:r>
      <w:r>
        <w:rPr>
          <w:rFonts w:ascii="微軟正黑體" w:eastAsia="微軟正黑體" w:hAnsi="微軟正黑體" w:hint="eastAsia"/>
          <w:sz w:val="28"/>
          <w:szCs w:val="32"/>
        </w:rPr>
        <w:t>與</w:t>
      </w:r>
      <w:proofErr w:type="gramStart"/>
      <w:r w:rsidRPr="00161792">
        <w:rPr>
          <w:rFonts w:ascii="微軟正黑體" w:eastAsia="微軟正黑體" w:hAnsi="微軟正黑體" w:hint="eastAsia"/>
          <w:sz w:val="28"/>
          <w:szCs w:val="32"/>
        </w:rPr>
        <w:t>匯</w:t>
      </w:r>
      <w:proofErr w:type="gramEnd"/>
      <w:r w:rsidRPr="00161792">
        <w:rPr>
          <w:rFonts w:ascii="微軟正黑體" w:eastAsia="微軟正黑體" w:hAnsi="微軟正黑體" w:hint="eastAsia"/>
          <w:sz w:val="28"/>
          <w:szCs w:val="32"/>
        </w:rPr>
        <w:t>豐</w:t>
      </w:r>
      <w:r>
        <w:rPr>
          <w:rFonts w:ascii="微軟正黑體" w:eastAsia="微軟正黑體" w:hAnsi="微軟正黑體" w:hint="eastAsia"/>
          <w:sz w:val="28"/>
          <w:szCs w:val="32"/>
        </w:rPr>
        <w:t>分別編制的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製造業PMI指數</w:t>
      </w:r>
      <w:r>
        <w:rPr>
          <w:rFonts w:ascii="微軟正黑體" w:eastAsia="微軟正黑體" w:hAnsi="微軟正黑體" w:hint="eastAsia"/>
          <w:sz w:val="28"/>
          <w:szCs w:val="32"/>
        </w:rPr>
        <w:t>均自8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月</w:t>
      </w:r>
      <w:r>
        <w:rPr>
          <w:rFonts w:ascii="微軟正黑體" w:eastAsia="微軟正黑體" w:hAnsi="微軟正黑體" w:hint="eastAsia"/>
          <w:sz w:val="28"/>
          <w:szCs w:val="32"/>
        </w:rPr>
        <w:t>起逐步下滑，</w:t>
      </w:r>
      <w:r w:rsidRPr="00E15494">
        <w:rPr>
          <w:rFonts w:ascii="微軟正黑體" w:eastAsia="微軟正黑體" w:hAnsi="微軟正黑體"/>
          <w:sz w:val="28"/>
          <w:szCs w:val="32"/>
        </w:rPr>
        <w:t>反映</w:t>
      </w:r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E15494">
        <w:rPr>
          <w:rFonts w:ascii="微軟正黑體" w:eastAsia="微軟正黑體" w:hAnsi="微軟正黑體"/>
          <w:sz w:val="28"/>
          <w:szCs w:val="32"/>
        </w:rPr>
        <w:t>去庫存活動</w:t>
      </w:r>
      <w:r>
        <w:rPr>
          <w:rFonts w:ascii="微軟正黑體" w:eastAsia="微軟正黑體" w:hAnsi="微軟正黑體" w:hint="eastAsia"/>
          <w:sz w:val="28"/>
          <w:szCs w:val="32"/>
        </w:rPr>
        <w:t>仍持續</w:t>
      </w:r>
      <w:r w:rsidRPr="00E15494">
        <w:rPr>
          <w:rFonts w:ascii="微軟正黑體" w:eastAsia="微軟正黑體" w:hAnsi="微軟正黑體"/>
          <w:sz w:val="28"/>
          <w:szCs w:val="32"/>
        </w:rPr>
        <w:t>，企業信心偏低，經濟</w:t>
      </w:r>
      <w:r>
        <w:rPr>
          <w:rFonts w:ascii="微軟正黑體" w:eastAsia="微軟正黑體" w:hAnsi="微軟正黑體" w:hint="eastAsia"/>
          <w:sz w:val="28"/>
          <w:szCs w:val="32"/>
        </w:rPr>
        <w:t>成</w:t>
      </w:r>
      <w:r w:rsidRPr="00E15494">
        <w:rPr>
          <w:rFonts w:ascii="微軟正黑體" w:eastAsia="微軟正黑體" w:hAnsi="微軟正黑體"/>
          <w:sz w:val="28"/>
          <w:szCs w:val="32"/>
        </w:rPr>
        <w:t>長</w:t>
      </w:r>
      <w:r>
        <w:rPr>
          <w:rFonts w:ascii="微軟正黑體" w:eastAsia="微軟正黑體" w:hAnsi="微軟正黑體" w:hint="eastAsia"/>
          <w:sz w:val="28"/>
          <w:szCs w:val="32"/>
        </w:rPr>
        <w:t>潛</w:t>
      </w:r>
      <w:r w:rsidRPr="00E15494">
        <w:rPr>
          <w:rFonts w:ascii="微軟正黑體" w:eastAsia="微軟正黑體" w:hAnsi="微軟正黑體"/>
          <w:sz w:val="28"/>
          <w:szCs w:val="32"/>
        </w:rPr>
        <w:t>存下行壓力</w:t>
      </w:r>
      <w:r>
        <w:rPr>
          <w:rFonts w:ascii="微軟正黑體" w:eastAsia="微軟正黑體" w:hAnsi="微軟正黑體" w:hint="eastAsia"/>
          <w:sz w:val="28"/>
          <w:szCs w:val="32"/>
        </w:rPr>
        <w:t>。</w:t>
      </w:r>
    </w:p>
    <w:p w:rsidR="00A9317D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80"/>
        <w:jc w:val="both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對外貿易動能減弱</w:t>
      </w:r>
      <w:r w:rsidRPr="00161792">
        <w:rPr>
          <w:rFonts w:ascii="微軟正黑體" w:eastAsia="微軟正黑體" w:hAnsi="微軟正黑體" w:hint="eastAsia"/>
          <w:b/>
          <w:kern w:val="0"/>
          <w:sz w:val="28"/>
          <w:szCs w:val="32"/>
        </w:rPr>
        <w:t>：</w:t>
      </w:r>
      <w:r>
        <w:rPr>
          <w:rFonts w:ascii="微軟正黑體" w:eastAsia="微軟正黑體" w:hAnsi="微軟正黑體" w:hint="eastAsia"/>
          <w:sz w:val="28"/>
          <w:szCs w:val="32"/>
        </w:rPr>
        <w:t>由於全球</w:t>
      </w:r>
      <w:r w:rsidRPr="00B31F35">
        <w:rPr>
          <w:rFonts w:ascii="微軟正黑體" w:eastAsia="微軟正黑體" w:hAnsi="微軟正黑體" w:hint="eastAsia"/>
          <w:sz w:val="28"/>
          <w:szCs w:val="32"/>
        </w:rPr>
        <w:t>經濟復甦的步伐緩慢，國際市場需求不振，</w:t>
      </w:r>
      <w:r>
        <w:rPr>
          <w:rFonts w:ascii="微軟正黑體" w:eastAsia="微軟正黑體" w:hAnsi="微軟正黑體" w:hint="eastAsia"/>
          <w:sz w:val="28"/>
          <w:szCs w:val="32"/>
        </w:rPr>
        <w:t>加以目前中國</w:t>
      </w:r>
      <w:r w:rsidRPr="0064012A">
        <w:rPr>
          <w:rFonts w:ascii="微軟正黑體" w:eastAsia="微軟正黑體" w:hAnsi="微軟正黑體" w:hint="eastAsia"/>
          <w:sz w:val="28"/>
          <w:szCs w:val="32"/>
        </w:rPr>
        <w:t>大陸</w:t>
      </w:r>
      <w:r>
        <w:rPr>
          <w:rFonts w:ascii="微軟正黑體" w:eastAsia="微軟正黑體" w:hAnsi="微軟正黑體" w:hint="eastAsia"/>
          <w:sz w:val="28"/>
          <w:szCs w:val="32"/>
        </w:rPr>
        <w:t>正值產業調整結構，致</w:t>
      </w:r>
      <w:r w:rsidRPr="0064012A">
        <w:rPr>
          <w:rFonts w:ascii="微軟正黑體" w:eastAsia="微軟正黑體" w:hAnsi="微軟正黑體" w:hint="eastAsia"/>
          <w:sz w:val="28"/>
          <w:szCs w:val="32"/>
        </w:rPr>
        <w:t>生產成本提高傳統競爭優勢逐步弱化，削弱</w:t>
      </w:r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64012A">
        <w:rPr>
          <w:rFonts w:ascii="微軟正黑體" w:eastAsia="微軟正黑體" w:hAnsi="微軟正黑體" w:hint="eastAsia"/>
          <w:sz w:val="28"/>
          <w:szCs w:val="32"/>
        </w:rPr>
        <w:t>外貿成長動能，2014年</w:t>
      </w:r>
      <w:r>
        <w:rPr>
          <w:rFonts w:ascii="微軟正黑體" w:eastAsia="微軟正黑體" w:hAnsi="微軟正黑體" w:hint="eastAsia"/>
          <w:sz w:val="28"/>
          <w:szCs w:val="32"/>
        </w:rPr>
        <w:lastRenderedPageBreak/>
        <w:t>中國大陸貿易總值較上年僅成長3.4%。其中，出口金額成長6.1%，較上年減少1.8個百分點；進口金額成長0.4%，較上年更大幅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減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減少6.9個百分點。</w:t>
      </w:r>
    </w:p>
    <w:p w:rsidR="00A9317D" w:rsidRPr="00B47E72" w:rsidRDefault="00A9317D" w:rsidP="00543456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26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kern w:val="0"/>
          <w:sz w:val="28"/>
          <w:szCs w:val="32"/>
        </w:rPr>
        <w:t>貨幣供給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回落</w:t>
      </w: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，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政策</w:t>
      </w:r>
      <w:r w:rsidRPr="00054A77">
        <w:rPr>
          <w:rFonts w:ascii="微軟正黑體" w:eastAsia="微軟正黑體" w:hAnsi="微軟正黑體" w:cstheme="minorBidi" w:hint="eastAsia"/>
          <w:b/>
          <w:sz w:val="28"/>
          <w:szCs w:val="28"/>
        </w:rPr>
        <w:t>轉趨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寬鬆</w:t>
      </w:r>
      <w:r w:rsidRPr="00B47E72">
        <w:rPr>
          <w:rFonts w:ascii="微軟正黑體" w:eastAsia="微軟正黑體" w:hAnsi="微軟正黑體" w:hint="eastAsia"/>
          <w:b/>
          <w:kern w:val="0"/>
          <w:sz w:val="28"/>
          <w:szCs w:val="32"/>
        </w:rPr>
        <w:t>：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2014年廣義貨幣供給量（M2）年成長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率為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12.2%，較上年減少1.4個百分點，低於13%的年度目標。</w:t>
      </w:r>
      <w:r w:rsidR="00C13843">
        <w:rPr>
          <w:rFonts w:ascii="微軟正黑體" w:eastAsia="微軟正黑體" w:hAnsi="微軟正黑體" w:hint="eastAsia"/>
          <w:kern w:val="0"/>
          <w:sz w:val="28"/>
          <w:szCs w:val="32"/>
        </w:rPr>
        <w:t>為因應經濟走緩，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中國大陸</w:t>
      </w:r>
      <w:r w:rsidR="005D2782">
        <w:rPr>
          <w:rFonts w:ascii="微軟正黑體" w:eastAsia="微軟正黑體" w:hAnsi="微軟正黑體" w:hint="eastAsia"/>
          <w:kern w:val="0"/>
          <w:sz w:val="28"/>
          <w:szCs w:val="32"/>
        </w:rPr>
        <w:t>於2014年4月、6月兩次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推出定向降準</w:t>
      </w:r>
      <w:r w:rsidR="00932434">
        <w:rPr>
          <w:rStyle w:val="a8"/>
          <w:rFonts w:ascii="微軟正黑體" w:eastAsia="微軟正黑體" w:hAnsi="微軟正黑體"/>
          <w:kern w:val="0"/>
          <w:sz w:val="28"/>
          <w:szCs w:val="32"/>
        </w:rPr>
        <w:footnoteReference w:id="2"/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、</w:t>
      </w:r>
      <w:r w:rsidR="005D2782">
        <w:rPr>
          <w:rFonts w:ascii="微軟正黑體" w:eastAsia="微軟正黑體" w:hAnsi="微軟正黑體" w:hint="eastAsia"/>
          <w:kern w:val="0"/>
          <w:sz w:val="28"/>
          <w:szCs w:val="32"/>
        </w:rPr>
        <w:t>及11月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下調金融機構存、貸款基準利率等措施，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加強金融對實體經濟的支持</w:t>
      </w:r>
      <w:r>
        <w:rPr>
          <w:rFonts w:ascii="新細明體" w:hAnsi="新細明體" w:hint="eastAsia"/>
          <w:kern w:val="0"/>
          <w:sz w:val="28"/>
          <w:szCs w:val="32"/>
        </w:rPr>
        <w:t>，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引導融資成本下降，以補足經濟下行造成資本外流的流動性缺口，確保中國大陸經濟穩定成長。</w:t>
      </w:r>
    </w:p>
    <w:p w:rsidR="00A9317D" w:rsidRPr="00B47E72" w:rsidRDefault="00A9317D" w:rsidP="00273851">
      <w:pPr>
        <w:widowControl/>
        <w:numPr>
          <w:ilvl w:val="0"/>
          <w:numId w:val="10"/>
        </w:numPr>
        <w:tabs>
          <w:tab w:val="left" w:pos="567"/>
        </w:tabs>
        <w:autoSpaceDE w:val="0"/>
        <w:snapToGrid w:val="0"/>
        <w:spacing w:beforeLines="50" w:before="180" w:line="480" w:lineRule="exact"/>
        <w:ind w:left="426" w:hanging="426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表外融資</w:t>
      </w:r>
      <w:r>
        <w:rPr>
          <w:rFonts w:ascii="微軟正黑體" w:eastAsia="微軟正黑體" w:hAnsi="微軟正黑體" w:hint="eastAsia"/>
          <w:b/>
          <w:sz w:val="28"/>
          <w:szCs w:val="32"/>
        </w:rPr>
        <w:t>比重下降</w:t>
      </w: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，信貸風險仍高</w:t>
      </w:r>
      <w:r w:rsidRPr="00B47E72">
        <w:rPr>
          <w:rFonts w:ascii="新細明體" w:hAnsi="新細明體" w:hint="eastAsia"/>
          <w:b/>
          <w:sz w:val="28"/>
          <w:szCs w:val="32"/>
        </w:rPr>
        <w:t>：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2014年社會融資規模總額為人民幣16.5兆元，比上年減少8,598億元，為歷史次高。</w:t>
      </w:r>
      <w:r w:rsidR="009967F8">
        <w:rPr>
          <w:rFonts w:ascii="微軟正黑體" w:eastAsia="微軟正黑體" w:hAnsi="微軟正黑體" w:hint="eastAsia"/>
          <w:kern w:val="0"/>
          <w:sz w:val="28"/>
          <w:szCs w:val="32"/>
        </w:rPr>
        <w:t>其中，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影子銀行在官方嚴格控管下，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占社會融資規模比重已從上年的29.8%下降至17.6%</w:t>
      </w:r>
      <w:r>
        <w:rPr>
          <w:rFonts w:ascii="新細明體" w:hAnsi="新細明體" w:hint="eastAsia"/>
          <w:kern w:val="0"/>
          <w:sz w:val="28"/>
          <w:szCs w:val="32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成長速度雖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逐漸減緩，但整體規模仍持續擴大，根據信用評等公司穆迪（Moody's）指出，截至2014年底，中國大陸的影子銀行資產規模達45兆元人民幣，占GDP的71%，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整體槓桿率上升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；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2"/>
        </w:rPr>
        <w:t>另</w:t>
      </w:r>
      <w:proofErr w:type="gramEnd"/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，標準普爾則示警，隨著中國大陸經濟成長趨緩，預期未來3年信貸不良率恐翻</w:t>
      </w:r>
      <w:proofErr w:type="gramStart"/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倍</w:t>
      </w:r>
      <w:proofErr w:type="gramEnd"/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成長。</w:t>
      </w:r>
    </w:p>
    <w:p w:rsidR="00A9317D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26" w:hanging="426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kern w:val="0"/>
          <w:sz w:val="28"/>
          <w:szCs w:val="32"/>
        </w:rPr>
        <w:t>股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價屢創新高，人民幣波動幅度擴大</w:t>
      </w:r>
      <w:r w:rsidRPr="00B47E72">
        <w:rPr>
          <w:rFonts w:ascii="微軟正黑體" w:eastAsia="微軟正黑體" w:hAnsi="微軟正黑體" w:hint="eastAsia"/>
          <w:b/>
          <w:kern w:val="0"/>
          <w:sz w:val="28"/>
          <w:szCs w:val="32"/>
        </w:rPr>
        <w:t>：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受到人民銀行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降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息利多影響，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中國大陸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股市表現強勁，屢創年度高點，至2014年底，上證綜合指數和深圳綜合指數分別較上年上漲52.9%和上漲33.8%。</w:t>
      </w:r>
      <w:proofErr w:type="gramStart"/>
      <w:r w:rsidR="009967F8">
        <w:rPr>
          <w:rFonts w:ascii="微軟正黑體" w:eastAsia="微軟正黑體" w:hAnsi="微軟正黑體" w:hint="eastAsia"/>
          <w:kern w:val="0"/>
          <w:sz w:val="28"/>
          <w:szCs w:val="32"/>
        </w:rPr>
        <w:t>此外，</w:t>
      </w:r>
      <w:proofErr w:type="gramEnd"/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中國大陸積極推進人民幣匯率市場化，打破匯率單邊升值預期，加大匯率雙向波動彈性，截至2014年</w:t>
      </w:r>
      <w:r w:rsidR="00C20B49">
        <w:rPr>
          <w:rFonts w:ascii="微軟正黑體" w:eastAsia="微軟正黑體" w:hAnsi="微軟正黑體" w:hint="eastAsia"/>
          <w:kern w:val="0"/>
          <w:sz w:val="28"/>
          <w:szCs w:val="32"/>
        </w:rPr>
        <w:t>12月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底，人民幣兌美元匯率中間價</w:t>
      </w:r>
      <w:r w:rsidR="0084509C">
        <w:rPr>
          <w:rStyle w:val="a8"/>
          <w:rFonts w:ascii="微軟正黑體" w:eastAsia="微軟正黑體" w:hAnsi="微軟正黑體"/>
          <w:kern w:val="0"/>
          <w:sz w:val="28"/>
          <w:szCs w:val="32"/>
        </w:rPr>
        <w:footnoteReference w:id="3"/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為6.119，較上年</w:t>
      </w:r>
      <w:r w:rsidR="00166BC6">
        <w:rPr>
          <w:rFonts w:ascii="微軟正黑體" w:eastAsia="微軟正黑體" w:hAnsi="微軟正黑體" w:hint="eastAsia"/>
          <w:kern w:val="0"/>
          <w:sz w:val="28"/>
          <w:szCs w:val="32"/>
        </w:rPr>
        <w:t>12月底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微幅下跌0.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%。</w:t>
      </w:r>
    </w:p>
    <w:p w:rsidR="00A9317D" w:rsidRDefault="00A9317D" w:rsidP="00A9317D">
      <w:pPr>
        <w:widowControl/>
        <w:snapToGrid w:val="0"/>
        <w:spacing w:beforeLines="25" w:before="90" w:afterLines="23" w:after="82" w:line="460" w:lineRule="exact"/>
        <w:jc w:val="both"/>
        <w:rPr>
          <w:rFonts w:ascii="微軟正黑體" w:eastAsia="微軟正黑體" w:hAnsi="微軟正黑體"/>
          <w:kern w:val="0"/>
          <w:sz w:val="28"/>
          <w:szCs w:val="32"/>
        </w:rPr>
      </w:pPr>
    </w:p>
    <w:p w:rsidR="00376324" w:rsidRDefault="00376324" w:rsidP="00A9317D">
      <w:pPr>
        <w:widowControl/>
        <w:snapToGrid w:val="0"/>
        <w:spacing w:beforeLines="25" w:before="90" w:afterLines="23" w:after="82" w:line="460" w:lineRule="exact"/>
        <w:jc w:val="both"/>
        <w:rPr>
          <w:rFonts w:ascii="微軟正黑體" w:eastAsia="微軟正黑體" w:hAnsi="微軟正黑體"/>
          <w:kern w:val="0"/>
          <w:sz w:val="28"/>
          <w:szCs w:val="32"/>
        </w:rPr>
      </w:pPr>
    </w:p>
    <w:p w:rsidR="001F4DAB" w:rsidRPr="005A16E2" w:rsidRDefault="001F4DAB" w:rsidP="00376324">
      <w:pPr>
        <w:widowControl/>
        <w:snapToGrid w:val="0"/>
        <w:spacing w:beforeLines="25" w:before="90" w:line="480" w:lineRule="exact"/>
        <w:jc w:val="both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5A16E2">
        <w:rPr>
          <w:rFonts w:ascii="微軟正黑體" w:eastAsia="微軟正黑體" w:hAnsi="微軟正黑體"/>
          <w:b/>
          <w:kern w:val="0"/>
          <w:sz w:val="28"/>
          <w:szCs w:val="32"/>
        </w:rPr>
        <w:t>【</w:t>
      </w:r>
      <w:r w:rsidRPr="00CC7594">
        <w:rPr>
          <w:rFonts w:ascii="微軟正黑體" w:eastAsia="微軟正黑體" w:hAnsi="微軟正黑體" w:hint="eastAsia"/>
          <w:b/>
          <w:kern w:val="0"/>
          <w:sz w:val="28"/>
          <w:szCs w:val="32"/>
        </w:rPr>
        <w:t>香港經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濟</w:t>
      </w:r>
      <w:r w:rsidRPr="005A16E2">
        <w:rPr>
          <w:rFonts w:ascii="微軟正黑體" w:eastAsia="微軟正黑體" w:hAnsi="微軟正黑體"/>
          <w:b/>
          <w:kern w:val="0"/>
          <w:sz w:val="28"/>
          <w:szCs w:val="32"/>
        </w:rPr>
        <w:t>】</w:t>
      </w:r>
    </w:p>
    <w:p w:rsidR="00A9317D" w:rsidRPr="00FF2A45" w:rsidRDefault="00A9317D" w:rsidP="00A9317D">
      <w:pPr>
        <w:widowControl/>
        <w:snapToGrid w:val="0"/>
        <w:spacing w:beforeLines="25" w:before="90" w:afterLines="23" w:after="82" w:line="460" w:lineRule="exact"/>
        <w:ind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18792C">
        <w:rPr>
          <w:rFonts w:ascii="微軟正黑體" w:eastAsia="微軟正黑體" w:hAnsi="微軟正黑體" w:hint="eastAsia"/>
          <w:kern w:val="0"/>
          <w:sz w:val="28"/>
          <w:szCs w:val="32"/>
        </w:rPr>
        <w:t>2014年，香港GDP較上年成長2.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18792C">
        <w:rPr>
          <w:rFonts w:ascii="微軟正黑體" w:eastAsia="微軟正黑體" w:hAnsi="微軟正黑體" w:hint="eastAsia"/>
          <w:kern w:val="0"/>
          <w:sz w:val="28"/>
          <w:szCs w:val="32"/>
        </w:rPr>
        <w:t>%，</w:t>
      </w:r>
      <w:proofErr w:type="gramStart"/>
      <w:r w:rsidRPr="0018792C">
        <w:rPr>
          <w:rFonts w:ascii="微軟正黑體" w:eastAsia="微軟正黑體" w:hAnsi="微軟正黑體" w:hint="eastAsia"/>
          <w:kern w:val="0"/>
          <w:sz w:val="28"/>
          <w:szCs w:val="32"/>
        </w:rPr>
        <w:t>其中</w:t>
      </w:r>
      <w:r w:rsidR="00C20B49">
        <w:rPr>
          <w:rFonts w:ascii="微軟正黑體" w:eastAsia="微軟正黑體" w:hAnsi="微軟正黑體" w:hint="eastAsia"/>
          <w:kern w:val="0"/>
          <w:sz w:val="28"/>
          <w:szCs w:val="32"/>
        </w:rPr>
        <w:t>第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季</w:t>
      </w:r>
      <w:r w:rsidRPr="0018792C">
        <w:rPr>
          <w:rFonts w:ascii="微軟正黑體" w:eastAsia="微軟正黑體" w:hAnsi="微軟正黑體" w:hint="eastAsia"/>
          <w:kern w:val="0"/>
          <w:sz w:val="28"/>
          <w:szCs w:val="32"/>
        </w:rPr>
        <w:t>成長2.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18792C">
        <w:rPr>
          <w:rFonts w:ascii="微軟正黑體" w:eastAsia="微軟正黑體" w:hAnsi="微軟正黑體" w:hint="eastAsia"/>
          <w:kern w:val="0"/>
          <w:sz w:val="28"/>
          <w:szCs w:val="32"/>
        </w:rPr>
        <w:t>%，</w:t>
      </w:r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較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上</w:t>
      </w:r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季回落0.5個百分點，主因是歐日通縮風險升溫和主要新興經濟體成長放緩，致香港貨物出口</w:t>
      </w:r>
      <w:proofErr w:type="gramStart"/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放緩至近零</w:t>
      </w:r>
      <w:proofErr w:type="gramEnd"/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成長。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2"/>
        </w:rPr>
        <w:t>此外</w:t>
      </w:r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proofErr w:type="gramEnd"/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服務輸出也因旅客消費減少而明顯轉弱，而</w:t>
      </w:r>
      <w:r w:rsidR="00C20B49">
        <w:rPr>
          <w:rFonts w:ascii="微軟正黑體" w:eastAsia="微軟正黑體" w:hAnsi="微軟正黑體" w:hint="eastAsia"/>
          <w:kern w:val="0"/>
          <w:sz w:val="28"/>
          <w:szCs w:val="32"/>
        </w:rPr>
        <w:t>私人消費</w:t>
      </w:r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成長也見回軟。</w:t>
      </w:r>
      <w:r w:rsidRPr="0018792C">
        <w:rPr>
          <w:rFonts w:ascii="微軟正黑體" w:eastAsia="微軟正黑體" w:hAnsi="微軟正黑體" w:hint="eastAsia"/>
          <w:kern w:val="0"/>
          <w:sz w:val="28"/>
          <w:szCs w:val="32"/>
        </w:rPr>
        <w:t>展望未來，</w:t>
      </w:r>
      <w:r w:rsidR="00C20B49" w:rsidRPr="00C20B49">
        <w:rPr>
          <w:rFonts w:ascii="微軟正黑體" w:eastAsia="微軟正黑體" w:hAnsi="微軟正黑體" w:hint="eastAsia"/>
          <w:kern w:val="0"/>
          <w:sz w:val="28"/>
          <w:szCs w:val="32"/>
        </w:rPr>
        <w:t>全球政經</w:t>
      </w:r>
      <w:proofErr w:type="gramStart"/>
      <w:r w:rsidR="00C20B49" w:rsidRPr="00C20B49">
        <w:rPr>
          <w:rFonts w:ascii="微軟正黑體" w:eastAsia="微軟正黑體" w:hAnsi="微軟正黑體" w:hint="eastAsia"/>
          <w:kern w:val="0"/>
          <w:sz w:val="28"/>
          <w:szCs w:val="32"/>
        </w:rPr>
        <w:t>環境未穩而且</w:t>
      </w:r>
      <w:proofErr w:type="gramEnd"/>
      <w:r w:rsidR="00C20B49" w:rsidRPr="00C20B49">
        <w:rPr>
          <w:rFonts w:ascii="微軟正黑體" w:eastAsia="微軟正黑體" w:hAnsi="微軟正黑體" w:hint="eastAsia"/>
          <w:kern w:val="0"/>
          <w:sz w:val="28"/>
          <w:szCs w:val="32"/>
        </w:rPr>
        <w:t>相當</w:t>
      </w:r>
      <w:r w:rsidR="00C20B49">
        <w:rPr>
          <w:rFonts w:ascii="微軟正黑體" w:eastAsia="微軟正黑體" w:hAnsi="微軟正黑體" w:hint="eastAsia"/>
          <w:kern w:val="0"/>
          <w:sz w:val="28"/>
          <w:szCs w:val="32"/>
        </w:rPr>
        <w:t>脆</w:t>
      </w:r>
      <w:r w:rsidR="00C20B49" w:rsidRPr="00C20B49">
        <w:rPr>
          <w:rFonts w:ascii="微軟正黑體" w:eastAsia="微軟正黑體" w:hAnsi="微軟正黑體" w:hint="eastAsia"/>
          <w:kern w:val="0"/>
          <w:sz w:val="28"/>
          <w:szCs w:val="32"/>
        </w:rPr>
        <w:t>弱，香港的貨物出口在2015年表現仍會較為疲弱。</w:t>
      </w:r>
      <w:r w:rsidR="00C20B49">
        <w:rPr>
          <w:rFonts w:ascii="微軟正黑體" w:eastAsia="微軟正黑體" w:hAnsi="微軟正黑體" w:hint="eastAsia"/>
          <w:kern w:val="0"/>
          <w:sz w:val="28"/>
          <w:szCs w:val="32"/>
        </w:rPr>
        <w:t>此外</w:t>
      </w:r>
      <w:r w:rsidR="00C20B49" w:rsidRPr="00C20B49">
        <w:rPr>
          <w:rFonts w:ascii="微軟正黑體" w:eastAsia="微軟正黑體" w:hAnsi="微軟正黑體" w:hint="eastAsia"/>
          <w:kern w:val="0"/>
          <w:sz w:val="28"/>
          <w:szCs w:val="32"/>
        </w:rPr>
        <w:t>美元</w:t>
      </w:r>
      <w:r w:rsidR="00C20B49">
        <w:rPr>
          <w:rFonts w:ascii="微軟正黑體" w:eastAsia="微軟正黑體" w:hAnsi="微軟正黑體" w:hint="eastAsia"/>
          <w:kern w:val="0"/>
          <w:sz w:val="28"/>
          <w:szCs w:val="32"/>
        </w:rPr>
        <w:t>升值</w:t>
      </w:r>
      <w:r w:rsidR="00C20B49" w:rsidRPr="00C20B49">
        <w:rPr>
          <w:rFonts w:ascii="微軟正黑體" w:eastAsia="微軟正黑體" w:hAnsi="微軟正黑體" w:hint="eastAsia"/>
          <w:kern w:val="0"/>
          <w:sz w:val="28"/>
          <w:szCs w:val="32"/>
        </w:rPr>
        <w:t>，亦可能不利香港出口。然而，假如亞洲(特別是中國大陸)的內部需求轉強，又或者美國經濟復甦較預期快，出口表現則可望稍為轉好。香港政府預估2015年GDP成長率為1%~3%</w:t>
      </w:r>
      <w:r w:rsidRPr="00DD780A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A9317D" w:rsidRPr="008719BC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26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外貿增幅減緩</w:t>
      </w:r>
      <w:r w:rsidRPr="001F4DAB">
        <w:rPr>
          <w:rFonts w:ascii="微軟正黑體" w:eastAsia="微軟正黑體" w:hAnsi="微軟正黑體" w:hint="eastAsia"/>
          <w:b/>
          <w:kern w:val="0"/>
          <w:sz w:val="28"/>
          <w:szCs w:val="32"/>
        </w:rPr>
        <w:t>：</w:t>
      </w:r>
      <w:r w:rsidRPr="009B1505">
        <w:rPr>
          <w:rFonts w:ascii="微軟正黑體" w:eastAsia="微軟正黑體" w:hAnsi="微軟正黑體" w:hint="eastAsia"/>
          <w:kern w:val="0"/>
          <w:sz w:val="28"/>
          <w:szCs w:val="32"/>
        </w:rPr>
        <w:t>2014年香港進出口呈現成長減緩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走勢</w:t>
      </w:r>
      <w:r w:rsidRPr="009B1505">
        <w:rPr>
          <w:rFonts w:ascii="微軟正黑體" w:eastAsia="微軟正黑體" w:hAnsi="微軟正黑體" w:hint="eastAsia"/>
          <w:kern w:val="0"/>
          <w:sz w:val="28"/>
          <w:szCs w:val="32"/>
        </w:rPr>
        <w:t>。進出口總值較上年成長3.6%，其中出口成長3.2%、進口成長3.9%，增幅分別較上年減少7.5及9.3個百分點，全年貿易逆差為704.4億美元。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其中，</w:t>
      </w:r>
      <w:r w:rsidRPr="009B1505">
        <w:rPr>
          <w:rFonts w:ascii="微軟正黑體" w:eastAsia="微軟正黑體" w:hAnsi="微軟正黑體" w:hint="eastAsia"/>
          <w:kern w:val="0"/>
          <w:sz w:val="28"/>
          <w:szCs w:val="32"/>
        </w:rPr>
        <w:t>第4季出進口較上年同季成長1.2%、3.2%，增幅較</w:t>
      </w:r>
      <w:r w:rsidR="009967F8">
        <w:rPr>
          <w:rFonts w:ascii="微軟正黑體" w:eastAsia="微軟正黑體" w:hAnsi="微軟正黑體" w:hint="eastAsia"/>
          <w:kern w:val="0"/>
          <w:sz w:val="28"/>
          <w:szCs w:val="32"/>
        </w:rPr>
        <w:t>第3</w:t>
      </w:r>
      <w:r w:rsidRPr="009B1505">
        <w:rPr>
          <w:rFonts w:ascii="微軟正黑體" w:eastAsia="微軟正黑體" w:hAnsi="微軟正黑體" w:hint="eastAsia"/>
          <w:kern w:val="0"/>
          <w:sz w:val="28"/>
          <w:szCs w:val="32"/>
        </w:rPr>
        <w:t>季減少4.6及2.5個百分點。</w:t>
      </w:r>
    </w:p>
    <w:p w:rsidR="00A9317D" w:rsidRPr="009B1505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26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961E1A">
        <w:rPr>
          <w:rFonts w:ascii="微軟正黑體" w:eastAsia="微軟正黑體" w:hAnsi="微軟正黑體" w:hint="eastAsia"/>
          <w:b/>
          <w:kern w:val="0"/>
          <w:sz w:val="28"/>
          <w:szCs w:val="32"/>
        </w:rPr>
        <w:t>房價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風險走升</w:t>
      </w:r>
      <w:r w:rsidRPr="001F4DAB">
        <w:rPr>
          <w:rFonts w:ascii="微軟正黑體" w:eastAsia="微軟正黑體" w:hAnsi="微軟正黑體" w:hint="eastAsia"/>
          <w:b/>
          <w:kern w:val="0"/>
          <w:sz w:val="28"/>
          <w:szCs w:val="32"/>
        </w:rPr>
        <w:t>：</w:t>
      </w:r>
      <w:r w:rsidRPr="009B1505">
        <w:rPr>
          <w:rFonts w:ascii="微軟正黑體" w:eastAsia="微軟正黑體" w:hAnsi="微軟正黑體" w:hint="eastAsia"/>
          <w:kern w:val="0"/>
          <w:sz w:val="28"/>
          <w:szCs w:val="32"/>
        </w:rPr>
        <w:t>2014年第4季房價為每平方米13.8萬港元，較上季上漲5.0%，創下歷史新高，全年漲幅3.8%。面對房價在第4季出現大幅上漲走勢，香港金管局再次推出調控措施，緊縮企業戶購置辦公室貸款成數，以抑制商業部動產的投資需求，降低房地產市場風險。IMF在全球房市監察報告中警告，香港當前房價對經濟構成重大風險，顯示香港房市風險仍高</w:t>
      </w:r>
      <w:r w:rsidRPr="009B1505">
        <w:rPr>
          <w:rFonts w:ascii="微軟正黑體" w:eastAsia="微軟正黑體" w:hAnsi="微軟正黑體" w:hint="eastAsia"/>
          <w:b/>
          <w:kern w:val="0"/>
          <w:sz w:val="28"/>
          <w:szCs w:val="32"/>
        </w:rPr>
        <w:t>。</w:t>
      </w:r>
    </w:p>
    <w:p w:rsidR="00A9317D" w:rsidRPr="00B47E72" w:rsidRDefault="00A9317D" w:rsidP="00273851">
      <w:pPr>
        <w:pStyle w:val="af9"/>
        <w:widowControl/>
        <w:numPr>
          <w:ilvl w:val="0"/>
          <w:numId w:val="10"/>
        </w:numPr>
        <w:snapToGrid w:val="0"/>
        <w:spacing w:beforeLines="25" w:before="90" w:afterLines="23" w:after="82" w:line="460" w:lineRule="exact"/>
        <w:ind w:leftChars="0" w:left="426" w:hanging="567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kern w:val="0"/>
          <w:sz w:val="28"/>
          <w:szCs w:val="32"/>
        </w:rPr>
        <w:t>香港離岸人民幣存款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突</w:t>
      </w:r>
      <w:r w:rsidRPr="00B47E72">
        <w:rPr>
          <w:rFonts w:ascii="微軟正黑體" w:eastAsia="微軟正黑體" w:hAnsi="微軟正黑體" w:hint="eastAsia"/>
          <w:b/>
          <w:kern w:val="0"/>
          <w:sz w:val="28"/>
          <w:szCs w:val="32"/>
        </w:rPr>
        <w:t>破兆元：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2014年香港離岸人民幣存款為1兆35億元，較上年成長16.5%，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較上季成長6.3%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展望未來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，隨著國際間人民幣使用率日益頻繁，未來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香港離岸人民幣市場仍</w:t>
      </w:r>
      <w:r w:rsidRPr="00B47E72">
        <w:rPr>
          <w:rFonts w:ascii="微軟正黑體" w:eastAsia="微軟正黑體" w:hAnsi="微軟正黑體" w:hint="eastAsia"/>
          <w:kern w:val="0"/>
          <w:sz w:val="28"/>
          <w:szCs w:val="32"/>
        </w:rPr>
        <w:t>有龐大的成長空間與潛力。</w:t>
      </w:r>
    </w:p>
    <w:p w:rsidR="001F4DAB" w:rsidRDefault="001F4DAB">
      <w:pPr>
        <w:widowControl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/>
          <w:bCs/>
          <w:sz w:val="28"/>
          <w:szCs w:val="28"/>
        </w:rPr>
        <w:br w:type="page"/>
      </w:r>
    </w:p>
    <w:p w:rsidR="00A9317D" w:rsidRPr="00111C76" w:rsidRDefault="00A9317D" w:rsidP="00A9317D">
      <w:pPr>
        <w:widowControl/>
        <w:snapToGrid w:val="0"/>
        <w:spacing w:beforeLines="23" w:before="82" w:line="480" w:lineRule="exac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111C76">
        <w:rPr>
          <w:rFonts w:ascii="微軟正黑體" w:eastAsia="微軟正黑體" w:hAnsi="微軟正黑體"/>
          <w:bCs/>
          <w:sz w:val="28"/>
          <w:szCs w:val="28"/>
        </w:rPr>
        <w:lastRenderedPageBreak/>
        <w:t>中國大陸重要經濟指標</w:t>
      </w:r>
    </w:p>
    <w:p w:rsidR="00A9317D" w:rsidRPr="00161792" w:rsidRDefault="00A9317D" w:rsidP="00A9317D">
      <w:pPr>
        <w:spacing w:line="240" w:lineRule="exact"/>
        <w:ind w:rightChars="-201" w:right="-482"/>
        <w:jc w:val="right"/>
        <w:rPr>
          <w:rFonts w:ascii="微軟正黑體" w:eastAsia="微軟正黑體" w:hAnsi="微軟正黑體"/>
          <w:bCs/>
          <w:sz w:val="20"/>
          <w:szCs w:val="28"/>
        </w:rPr>
      </w:pPr>
      <w:r w:rsidRPr="00161792">
        <w:rPr>
          <w:rFonts w:ascii="微軟正黑體" w:eastAsia="微軟正黑體" w:hAnsi="微軟正黑體" w:hint="eastAsia"/>
          <w:bCs/>
          <w:sz w:val="20"/>
          <w:szCs w:val="28"/>
        </w:rPr>
        <w:t>單位：％</w:t>
      </w:r>
    </w:p>
    <w:tbl>
      <w:tblPr>
        <w:tblW w:w="5768" w:type="pct"/>
        <w:jc w:val="center"/>
        <w:tblLayout w:type="fixed"/>
        <w:tblLook w:val="01E0" w:firstRow="1" w:lastRow="1" w:firstColumn="1" w:lastColumn="1" w:noHBand="0" w:noVBand="0"/>
      </w:tblPr>
      <w:tblGrid>
        <w:gridCol w:w="3743"/>
        <w:gridCol w:w="1014"/>
        <w:gridCol w:w="1015"/>
        <w:gridCol w:w="1015"/>
        <w:gridCol w:w="1032"/>
        <w:gridCol w:w="999"/>
        <w:gridCol w:w="1013"/>
      </w:tblGrid>
      <w:tr w:rsidR="00A9317D" w:rsidRPr="00161792" w:rsidTr="00A9317D">
        <w:trPr>
          <w:cantSplit/>
          <w:trHeight w:val="149"/>
          <w:jc w:val="center"/>
        </w:trPr>
        <w:tc>
          <w:tcPr>
            <w:tcW w:w="19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61792">
              <w:rPr>
                <w:rFonts w:ascii="微軟正黑體" w:eastAsia="微軟正黑體" w:hAnsi="微軟正黑體"/>
                <w:b/>
                <w:bCs/>
              </w:rPr>
              <w:t>重要經濟指標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4</w:t>
            </w:r>
            <w:r w:rsidRPr="00161792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2013年</w:t>
            </w:r>
          </w:p>
        </w:tc>
      </w:tr>
      <w:tr w:rsidR="00A9317D" w:rsidRPr="00161792" w:rsidTr="00A9317D">
        <w:trPr>
          <w:cantSplit/>
          <w:trHeight w:hRule="exact" w:val="371"/>
          <w:jc w:val="center"/>
        </w:trPr>
        <w:tc>
          <w:tcPr>
            <w:tcW w:w="190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第1季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7D" w:rsidRDefault="00A9317D" w:rsidP="00A9317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第2季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第3季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第4季</w:t>
            </w:r>
          </w:p>
        </w:tc>
        <w:tc>
          <w:tcPr>
            <w:tcW w:w="515" w:type="pct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GDP成長率（實質）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7.4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7.4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7.5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7.3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7.3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7.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７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59548A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 </w:t>
            </w:r>
            <w:r w:rsidR="00A9317D"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消費</w:t>
            </w:r>
            <w:r w:rsidR="00A9317D" w:rsidRPr="001617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（名目）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E838AB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59548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A9317D" w:rsidRPr="00161792">
              <w:rPr>
                <w:rFonts w:ascii="微軟正黑體" w:eastAsia="微軟正黑體" w:hAnsi="微軟正黑體"/>
                <w:sz w:val="22"/>
                <w:szCs w:val="22"/>
              </w:rPr>
              <w:t>社會消費品零售總</w:t>
            </w:r>
            <w:r w:rsidR="00A9317D"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額年增率</w:t>
            </w:r>
          </w:p>
        </w:tc>
        <w:tc>
          <w:tcPr>
            <w:tcW w:w="516" w:type="pct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12.0</w:t>
            </w:r>
          </w:p>
        </w:tc>
        <w:tc>
          <w:tcPr>
            <w:tcW w:w="516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12.0</w:t>
            </w:r>
          </w:p>
        </w:tc>
        <w:tc>
          <w:tcPr>
            <w:tcW w:w="516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12.2</w:t>
            </w:r>
          </w:p>
        </w:tc>
        <w:tc>
          <w:tcPr>
            <w:tcW w:w="52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11.8</w:t>
            </w:r>
          </w:p>
        </w:tc>
        <w:tc>
          <w:tcPr>
            <w:tcW w:w="508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12.0</w:t>
            </w:r>
          </w:p>
        </w:tc>
        <w:tc>
          <w:tcPr>
            <w:tcW w:w="515" w:type="pct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3.1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59548A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 xml:space="preserve">  </w:t>
            </w:r>
            <w:r w:rsidR="00A9317D"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投資</w:t>
            </w:r>
            <w:r w:rsidR="00A9317D" w:rsidRPr="001617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（名目）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E838AB" w:rsidP="00A9317D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w w:val="90"/>
                <w:sz w:val="22"/>
                <w:szCs w:val="22"/>
              </w:rPr>
              <w:t xml:space="preserve"> </w:t>
            </w:r>
            <w:r w:rsidR="0059548A">
              <w:rPr>
                <w:rFonts w:ascii="微軟正黑體" w:eastAsia="微軟正黑體" w:hAnsi="微軟正黑體" w:hint="eastAsia"/>
                <w:bCs/>
                <w:w w:val="90"/>
                <w:sz w:val="22"/>
                <w:szCs w:val="22"/>
              </w:rPr>
              <w:t xml:space="preserve">   </w:t>
            </w:r>
            <w:r w:rsidR="00A9317D" w:rsidRPr="00161792">
              <w:rPr>
                <w:rFonts w:ascii="微軟正黑體" w:eastAsia="微軟正黑體" w:hAnsi="微軟正黑體" w:hint="eastAsia"/>
                <w:bCs/>
                <w:w w:val="90"/>
                <w:sz w:val="22"/>
                <w:szCs w:val="22"/>
              </w:rPr>
              <w:t>固定資產投資（不含農戶）成長率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15.7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17.6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17.0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13.7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14.5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19.6</w:t>
            </w:r>
          </w:p>
        </w:tc>
      </w:tr>
      <w:tr w:rsidR="00A9317D" w:rsidRPr="00BF5021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591986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91986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工業生產</w:t>
            </w:r>
            <w:r w:rsidRPr="00591986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成長率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8.3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F502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8.7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F502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8.9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F502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7.9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7.6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BF5021">
              <w:rPr>
                <w:rFonts w:ascii="微軟正黑體" w:eastAsia="微軟正黑體" w:hAnsi="微軟正黑體"/>
                <w:bCs/>
                <w:sz w:val="22"/>
                <w:szCs w:val="22"/>
              </w:rPr>
              <w:t>9.</w:t>
            </w:r>
            <w:r w:rsidRPr="00BF5021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7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物價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居民消費價格指數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上漲率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2.0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2.3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2.3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1.9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1.5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2.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外貿</w:t>
            </w:r>
            <w:r w:rsidRPr="001617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（名目）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出口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年增率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6.1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-3.4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4.8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12.9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8.5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7.9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進口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年增率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0.4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1.6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1.3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1.1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-2.0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7.3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591986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591986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外資流入（</w:t>
            </w:r>
            <w:r w:rsidRPr="00591986">
              <w:rPr>
                <w:rFonts w:ascii="微軟正黑體" w:eastAsia="微軟正黑體" w:hAnsi="微軟正黑體"/>
                <w:b/>
                <w:sz w:val="22"/>
                <w:szCs w:val="22"/>
              </w:rPr>
              <w:t>億美元</w:t>
            </w:r>
            <w:r w:rsidRPr="00591986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516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1,195.6</w:t>
            </w:r>
          </w:p>
        </w:tc>
        <w:tc>
          <w:tcPr>
            <w:tcW w:w="51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315.4</w:t>
            </w:r>
          </w:p>
        </w:tc>
        <w:tc>
          <w:tcPr>
            <w:tcW w:w="51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317.7</w:t>
            </w:r>
          </w:p>
        </w:tc>
        <w:tc>
          <w:tcPr>
            <w:tcW w:w="52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240.2</w:t>
            </w:r>
          </w:p>
        </w:tc>
        <w:tc>
          <w:tcPr>
            <w:tcW w:w="50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322.1</w:t>
            </w:r>
          </w:p>
        </w:tc>
        <w:tc>
          <w:tcPr>
            <w:tcW w:w="51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1,175.9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貨</w:t>
            </w:r>
            <w:r w:rsidRPr="008C5B80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幣市場</w:t>
            </w:r>
            <w:r w:rsidRPr="008C5B8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（期底數）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M1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增加率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3.2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5.4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8.9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4.8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3.2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9.3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M2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增加率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12.2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12.1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14.7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12.9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12.2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13.6</w:t>
            </w:r>
          </w:p>
        </w:tc>
      </w:tr>
      <w:tr w:rsidR="00A9317D" w:rsidRPr="00161792" w:rsidTr="00A9317D">
        <w:trPr>
          <w:trHeight w:val="307"/>
          <w:jc w:val="center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股</w:t>
            </w:r>
            <w:proofErr w:type="gramStart"/>
            <w:r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匯</w:t>
            </w:r>
            <w:proofErr w:type="gramEnd"/>
            <w:r w:rsidRPr="00161792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市</w:t>
            </w:r>
            <w:r w:rsidRPr="00BF5021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（期底數）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17D" w:rsidRPr="00BF5021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widowControl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  <w:t>股市-上海</w:t>
            </w:r>
            <w:r w:rsidRPr="00161792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2"/>
              </w:rPr>
              <w:t>A股指數上漲率*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EF0A63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52.9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-3.9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0.7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15.4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EF0A63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36.8</w:t>
            </w:r>
          </w:p>
        </w:tc>
        <w:tc>
          <w:tcPr>
            <w:tcW w:w="5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-6.8</w:t>
            </w:r>
          </w:p>
        </w:tc>
      </w:tr>
      <w:tr w:rsidR="00A9317D" w:rsidRPr="00161792" w:rsidTr="00A9317D">
        <w:trPr>
          <w:trHeight w:val="386"/>
          <w:jc w:val="center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161792">
              <w:rPr>
                <w:rFonts w:ascii="微軟正黑體" w:eastAsia="微軟正黑體" w:hAnsi="微軟正黑體"/>
                <w:sz w:val="22"/>
                <w:szCs w:val="22"/>
              </w:rPr>
              <w:t>人民幣</w:t>
            </w: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兌美元升（貶）幅度*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EF0A63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-0.36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-0.89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-0.01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0.00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7D" w:rsidRPr="00161792" w:rsidRDefault="00EF0A63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0.55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317D" w:rsidRPr="00161792" w:rsidRDefault="00A9317D" w:rsidP="00A9317D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61792">
              <w:rPr>
                <w:rFonts w:ascii="微軟正黑體" w:eastAsia="微軟正黑體" w:hAnsi="微軟正黑體" w:hint="eastAsia"/>
                <w:sz w:val="22"/>
                <w:szCs w:val="22"/>
              </w:rPr>
              <w:t>3.09</w:t>
            </w:r>
          </w:p>
        </w:tc>
      </w:tr>
    </w:tbl>
    <w:p w:rsidR="00A9317D" w:rsidRPr="00161792" w:rsidRDefault="00A9317D" w:rsidP="00A9317D">
      <w:pPr>
        <w:widowControl/>
        <w:spacing w:line="320" w:lineRule="exact"/>
        <w:ind w:leftChars="-150" w:left="-360"/>
        <w:rPr>
          <w:rFonts w:ascii="微軟正黑體" w:eastAsia="微軟正黑體" w:hAnsi="微軟正黑體"/>
          <w:sz w:val="20"/>
          <w:szCs w:val="20"/>
        </w:rPr>
      </w:pPr>
      <w:proofErr w:type="gramStart"/>
      <w:r w:rsidRPr="00161792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161792">
        <w:rPr>
          <w:rFonts w:ascii="微軟正黑體" w:eastAsia="微軟正黑體" w:hAnsi="微軟正黑體" w:hint="eastAsia"/>
          <w:sz w:val="20"/>
          <w:szCs w:val="20"/>
        </w:rPr>
        <w:t>：*為較上季或上期增減比率，其餘變動率為較上年或上年同期增減比率。</w:t>
      </w:r>
    </w:p>
    <w:p w:rsidR="00A9317D" w:rsidRDefault="00A9317D" w:rsidP="00A9317D">
      <w:pPr>
        <w:widowControl/>
        <w:spacing w:line="320" w:lineRule="exact"/>
        <w:ind w:leftChars="-150" w:left="-360"/>
        <w:rPr>
          <w:rFonts w:ascii="微軟正黑體" w:eastAsia="微軟正黑體" w:hAnsi="微軟正黑體"/>
          <w:sz w:val="20"/>
          <w:szCs w:val="20"/>
        </w:rPr>
      </w:pPr>
      <w:r w:rsidRPr="00161792">
        <w:rPr>
          <w:rFonts w:ascii="微軟正黑體" w:eastAsia="微軟正黑體" w:hAnsi="微軟正黑體"/>
          <w:sz w:val="20"/>
          <w:szCs w:val="20"/>
        </w:rPr>
        <w:t>資料來源</w:t>
      </w:r>
      <w:r w:rsidRPr="00161792">
        <w:rPr>
          <w:rFonts w:ascii="微軟正黑體" w:eastAsia="微軟正黑體" w:hAnsi="微軟正黑體" w:hint="eastAsia"/>
          <w:sz w:val="20"/>
          <w:szCs w:val="20"/>
        </w:rPr>
        <w:t>：CEIC資料庫</w:t>
      </w:r>
      <w:r w:rsidRPr="00161792">
        <w:rPr>
          <w:rFonts w:ascii="微軟正黑體" w:eastAsia="微軟正黑體" w:hAnsi="微軟正黑體"/>
          <w:sz w:val="20"/>
          <w:szCs w:val="20"/>
        </w:rPr>
        <w:t>。</w:t>
      </w:r>
    </w:p>
    <w:p w:rsidR="00CB59BC" w:rsidRPr="00A9317D" w:rsidRDefault="00CB59BC" w:rsidP="00CB59BC">
      <w:pPr>
        <w:widowControl/>
        <w:spacing w:afterLines="23" w:after="82" w:line="460" w:lineRule="exact"/>
        <w:rPr>
          <w:rFonts w:ascii="微軟正黑體" w:eastAsia="微軟正黑體" w:hAnsi="微軟正黑體"/>
          <w:b/>
          <w:kern w:val="0"/>
          <w:sz w:val="40"/>
          <w:szCs w:val="36"/>
        </w:rPr>
        <w:sectPr w:rsidR="00CB59BC" w:rsidRPr="00A9317D" w:rsidSect="00CB59BC">
          <w:footerReference w:type="even" r:id="rId17"/>
          <w:footerReference w:type="default" r:id="rId18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60"/>
        </w:sectPr>
      </w:pPr>
    </w:p>
    <w:p w:rsidR="00D745B1" w:rsidRPr="001F4DAB" w:rsidRDefault="001F4DAB" w:rsidP="00CB59BC">
      <w:pPr>
        <w:widowControl/>
        <w:spacing w:line="320" w:lineRule="exact"/>
        <w:ind w:leftChars="-150" w:left="-360"/>
        <w:rPr>
          <w:rFonts w:ascii="微軟正黑體" w:eastAsia="微軟正黑體" w:hAnsi="微軟正黑體"/>
          <w:b/>
          <w:kern w:val="0"/>
          <w:sz w:val="40"/>
          <w:szCs w:val="36"/>
        </w:rPr>
        <w:sectPr w:rsidR="00D745B1" w:rsidRPr="001F4DAB" w:rsidSect="00CB59BC">
          <w:footerReference w:type="even" r:id="rId19"/>
          <w:footerReference w:type="default" r:id="rId20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  <w:r w:rsidRPr="00161792">
        <w:rPr>
          <w:rFonts w:ascii="微軟正黑體" w:eastAsia="微軟正黑體" w:hAnsi="微軟正黑體"/>
          <w:b/>
          <w:bCs/>
          <w:sz w:val="20"/>
          <w:szCs w:val="20"/>
        </w:rPr>
        <w:lastRenderedPageBreak/>
        <w:br w:type="page"/>
      </w:r>
    </w:p>
    <w:p w:rsidR="006D7283" w:rsidRPr="005E0BD5" w:rsidRDefault="006D7283" w:rsidP="006D7283">
      <w:pPr>
        <w:pStyle w:val="11"/>
        <w:spacing w:before="120" w:after="0" w:line="520" w:lineRule="exact"/>
        <w:jc w:val="center"/>
        <w:rPr>
          <w:rFonts w:ascii="微軟正黑體" w:eastAsia="微軟正黑體" w:hAnsi="微軟正黑體"/>
          <w:kern w:val="0"/>
          <w:sz w:val="40"/>
          <w:szCs w:val="36"/>
        </w:rPr>
      </w:pPr>
      <w:bookmarkStart w:id="1" w:name="_Toc413072664"/>
      <w:r>
        <w:rPr>
          <w:rFonts w:ascii="微軟正黑體" w:eastAsia="微軟正黑體" w:hAnsi="微軟正黑體" w:hint="eastAsia"/>
          <w:kern w:val="0"/>
          <w:sz w:val="40"/>
          <w:szCs w:val="36"/>
        </w:rPr>
        <w:lastRenderedPageBreak/>
        <w:t>壹</w:t>
      </w:r>
      <w:r>
        <w:rPr>
          <w:rFonts w:ascii="新細明體" w:hAnsi="新細明體" w:hint="eastAsia"/>
          <w:kern w:val="0"/>
          <w:sz w:val="40"/>
          <w:szCs w:val="36"/>
        </w:rPr>
        <w:t>、</w:t>
      </w:r>
      <w:r w:rsidRPr="005E0BD5">
        <w:rPr>
          <w:rFonts w:ascii="微軟正黑體" w:eastAsia="微軟正黑體" w:hAnsi="微軟正黑體"/>
          <w:kern w:val="0"/>
          <w:sz w:val="40"/>
          <w:szCs w:val="36"/>
        </w:rPr>
        <w:t>兩岸經貿</w:t>
      </w:r>
      <w:r>
        <w:rPr>
          <w:rFonts w:ascii="微軟正黑體" w:eastAsia="微軟正黑體" w:hAnsi="微軟正黑體" w:hint="eastAsia"/>
          <w:kern w:val="0"/>
          <w:sz w:val="40"/>
          <w:szCs w:val="36"/>
        </w:rPr>
        <w:t>情勢</w:t>
      </w:r>
      <w:bookmarkEnd w:id="1"/>
    </w:p>
    <w:p w:rsidR="006D7283" w:rsidRPr="001F22C0" w:rsidRDefault="006D7283" w:rsidP="006D7283">
      <w:pPr>
        <w:pStyle w:val="20"/>
        <w:spacing w:beforeLines="50" w:before="120" w:line="480" w:lineRule="exact"/>
        <w:rPr>
          <w:rFonts w:ascii="微軟正黑體" w:eastAsia="微軟正黑體" w:hAnsi="微軟正黑體"/>
          <w:b w:val="0"/>
          <w:sz w:val="28"/>
          <w:szCs w:val="32"/>
        </w:rPr>
      </w:pPr>
      <w:bookmarkStart w:id="2" w:name="_Toc413072665"/>
      <w:r w:rsidRPr="001F22C0">
        <w:rPr>
          <w:rFonts w:ascii="微軟正黑體" w:eastAsia="微軟正黑體" w:hAnsi="微軟正黑體"/>
          <w:sz w:val="28"/>
          <w:szCs w:val="32"/>
        </w:rPr>
        <w:t>一、</w:t>
      </w:r>
      <w:r w:rsidRPr="001F22C0">
        <w:rPr>
          <w:rFonts w:ascii="微軟正黑體" w:eastAsia="微軟正黑體" w:hAnsi="微軟正黑體" w:hint="eastAsia"/>
          <w:sz w:val="28"/>
          <w:szCs w:val="32"/>
        </w:rPr>
        <w:t>雙邊</w:t>
      </w:r>
      <w:r w:rsidRPr="001F22C0">
        <w:rPr>
          <w:rFonts w:ascii="微軟正黑體" w:eastAsia="微軟正黑體" w:hAnsi="微軟正黑體"/>
          <w:sz w:val="28"/>
          <w:szCs w:val="32"/>
        </w:rPr>
        <w:t>投資</w:t>
      </w:r>
      <w:bookmarkEnd w:id="2"/>
    </w:p>
    <w:p w:rsidR="00A9317D" w:rsidRPr="00BE4DD5" w:rsidRDefault="00A9317D" w:rsidP="00273851">
      <w:pPr>
        <w:widowControl/>
        <w:numPr>
          <w:ilvl w:val="0"/>
          <w:numId w:val="5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BE4DD5">
        <w:rPr>
          <w:rFonts w:ascii="微軟正黑體" w:eastAsia="微軟正黑體" w:hAnsi="微軟正黑體" w:hint="eastAsia"/>
          <w:b/>
          <w:sz w:val="28"/>
          <w:szCs w:val="32"/>
        </w:rPr>
        <w:t>我對</w:t>
      </w:r>
      <w:r w:rsidR="00C0290F">
        <w:rPr>
          <w:rFonts w:ascii="微軟正黑體" w:eastAsia="微軟正黑體" w:hAnsi="微軟正黑體" w:hint="eastAsia"/>
          <w:b/>
          <w:sz w:val="28"/>
          <w:szCs w:val="32"/>
        </w:rPr>
        <w:t>中國</w:t>
      </w:r>
      <w:r w:rsidRPr="00BE4DD5">
        <w:rPr>
          <w:rFonts w:ascii="微軟正黑體" w:eastAsia="微軟正黑體" w:hAnsi="微軟正黑體" w:hint="eastAsia"/>
          <w:b/>
          <w:sz w:val="28"/>
          <w:szCs w:val="32"/>
        </w:rPr>
        <w:t>大陸投資</w:t>
      </w:r>
    </w:p>
    <w:p w:rsidR="00A9317D" w:rsidRDefault="007B53A4" w:rsidP="007B53A4">
      <w:pPr>
        <w:widowControl/>
        <w:autoSpaceDE w:val="0"/>
        <w:snapToGrid w:val="0"/>
        <w:spacing w:beforeLines="25" w:before="6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 w:rsidRPr="007B53A4">
        <w:rPr>
          <w:rFonts w:ascii="微軟正黑體" w:eastAsia="微軟正黑體" w:hAnsi="微軟正黑體" w:hint="eastAsia"/>
          <w:sz w:val="28"/>
          <w:szCs w:val="32"/>
        </w:rPr>
        <w:t>受到勞動市場結構轉型、人口紅利和資本累積效用遞減</w:t>
      </w:r>
      <w:r>
        <w:rPr>
          <w:rFonts w:ascii="微軟正黑體" w:eastAsia="微軟正黑體" w:hAnsi="微軟正黑體" w:hint="eastAsia"/>
          <w:sz w:val="28"/>
          <w:szCs w:val="32"/>
        </w:rPr>
        <w:t>等影響，</w:t>
      </w:r>
      <w:r w:rsidR="00A9317D">
        <w:rPr>
          <w:rFonts w:ascii="微軟正黑體" w:eastAsia="微軟正黑體" w:hAnsi="微軟正黑體" w:hint="eastAsia"/>
          <w:sz w:val="28"/>
          <w:szCs w:val="32"/>
        </w:rPr>
        <w:t>2014下半年起中國大陸開始進入經濟新常態，製造業產能調控，房地產市場降溫，官方嚴厲打擊</w:t>
      </w:r>
      <w:proofErr w:type="gramStart"/>
      <w:r w:rsidR="00A9317D">
        <w:rPr>
          <w:rFonts w:ascii="微軟正黑體" w:eastAsia="微軟正黑體" w:hAnsi="微軟正黑體" w:hint="eastAsia"/>
          <w:sz w:val="28"/>
          <w:szCs w:val="32"/>
        </w:rPr>
        <w:t>貪腐等</w:t>
      </w:r>
      <w:r w:rsidR="00A9317D" w:rsidRPr="00AA4BDD">
        <w:rPr>
          <w:rFonts w:ascii="微軟正黑體" w:eastAsia="微軟正黑體" w:hAnsi="微軟正黑體"/>
          <w:sz w:val="28"/>
          <w:szCs w:val="32"/>
        </w:rPr>
        <w:t>影響</w:t>
      </w:r>
      <w:proofErr w:type="gramEnd"/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，依據經濟部投審會統計，2014年累計核准對中國大陸投資件數為3</w:t>
      </w:r>
      <w:r w:rsidR="00A9317D">
        <w:rPr>
          <w:rFonts w:ascii="微軟正黑體" w:eastAsia="微軟正黑體" w:hAnsi="微軟正黑體" w:hint="eastAsia"/>
          <w:sz w:val="28"/>
          <w:szCs w:val="32"/>
        </w:rPr>
        <w:t>88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件，較上年減少</w:t>
      </w:r>
      <w:r w:rsidR="00A9317D">
        <w:rPr>
          <w:rFonts w:ascii="微軟正黑體" w:eastAsia="微軟正黑體" w:hAnsi="微軟正黑體" w:hint="eastAsia"/>
          <w:sz w:val="28"/>
          <w:szCs w:val="32"/>
        </w:rPr>
        <w:t>11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.</w:t>
      </w:r>
      <w:r w:rsidR="00A9317D">
        <w:rPr>
          <w:rFonts w:ascii="微軟正黑體" w:eastAsia="微軟正黑體" w:hAnsi="微軟正黑體" w:hint="eastAsia"/>
          <w:sz w:val="28"/>
          <w:szCs w:val="32"/>
        </w:rPr>
        <w:t>8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%，累計核准投（增）資金額為</w:t>
      </w:r>
      <w:r w:rsidR="00A9317D">
        <w:rPr>
          <w:rFonts w:ascii="微軟正黑體" w:eastAsia="微軟正黑體" w:hAnsi="微軟正黑體" w:hint="eastAsia"/>
          <w:sz w:val="28"/>
          <w:szCs w:val="32"/>
        </w:rPr>
        <w:t>98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.</w:t>
      </w:r>
      <w:r w:rsidR="00A9317D">
        <w:rPr>
          <w:rFonts w:ascii="微軟正黑體" w:eastAsia="微軟正黑體" w:hAnsi="微軟正黑體" w:hint="eastAsia"/>
          <w:sz w:val="28"/>
          <w:szCs w:val="32"/>
        </w:rPr>
        <w:t>3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億美元，</w:t>
      </w:r>
      <w:r w:rsidR="00046092">
        <w:rPr>
          <w:rFonts w:ascii="微軟正黑體" w:eastAsia="微軟正黑體" w:hAnsi="微軟正黑體" w:hint="eastAsia"/>
          <w:sz w:val="28"/>
          <w:szCs w:val="32"/>
        </w:rPr>
        <w:t>雖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較上年成長1</w:t>
      </w:r>
      <w:r w:rsidR="00A9317D">
        <w:rPr>
          <w:rFonts w:ascii="微軟正黑體" w:eastAsia="微軟正黑體" w:hAnsi="微軟正黑體" w:hint="eastAsia"/>
          <w:sz w:val="28"/>
          <w:szCs w:val="32"/>
        </w:rPr>
        <w:t>3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.</w:t>
      </w:r>
      <w:r w:rsidR="00A9317D">
        <w:rPr>
          <w:rFonts w:ascii="微軟正黑體" w:eastAsia="微軟正黑體" w:hAnsi="微軟正黑體" w:hint="eastAsia"/>
          <w:sz w:val="28"/>
          <w:szCs w:val="32"/>
        </w:rPr>
        <w:t>2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%</w:t>
      </w:r>
      <w:r w:rsidR="00046092">
        <w:rPr>
          <w:rFonts w:ascii="微軟正黑體" w:eastAsia="微軟正黑體" w:hAnsi="微軟正黑體" w:hint="eastAsia"/>
          <w:sz w:val="28"/>
          <w:szCs w:val="32"/>
        </w:rPr>
        <w:t>，但投資金額是近5年來次低水準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；其中，第</w:t>
      </w:r>
      <w:r w:rsidR="00A9317D">
        <w:rPr>
          <w:rFonts w:ascii="微軟正黑體" w:eastAsia="微軟正黑體" w:hAnsi="微軟正黑體" w:hint="eastAsia"/>
          <w:sz w:val="28"/>
          <w:szCs w:val="32"/>
        </w:rPr>
        <w:t>4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季對中國大陸投資金額較上年同季成長</w:t>
      </w:r>
      <w:r w:rsidR="00A9317D">
        <w:rPr>
          <w:rFonts w:ascii="微軟正黑體" w:eastAsia="微軟正黑體" w:hAnsi="微軟正黑體" w:hint="eastAsia"/>
          <w:sz w:val="28"/>
          <w:szCs w:val="32"/>
        </w:rPr>
        <w:t>4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.</w:t>
      </w:r>
      <w:r w:rsidR="00A9317D">
        <w:rPr>
          <w:rFonts w:ascii="微軟正黑體" w:eastAsia="微軟正黑體" w:hAnsi="微軟正黑體" w:hint="eastAsia"/>
          <w:sz w:val="28"/>
          <w:szCs w:val="32"/>
        </w:rPr>
        <w:t>8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%，</w:t>
      </w:r>
      <w:r w:rsidR="00A9317D" w:rsidRPr="00591599">
        <w:rPr>
          <w:rFonts w:ascii="微軟正黑體" w:eastAsia="微軟正黑體" w:hAnsi="微軟正黑體" w:hint="eastAsia"/>
          <w:sz w:val="28"/>
          <w:szCs w:val="32"/>
        </w:rPr>
        <w:t>較第3季則</w:t>
      </w:r>
      <w:r w:rsidR="00A871EC">
        <w:rPr>
          <w:rFonts w:ascii="微軟正黑體" w:eastAsia="微軟正黑體" w:hAnsi="微軟正黑體" w:hint="eastAsia"/>
          <w:sz w:val="28"/>
          <w:szCs w:val="32"/>
        </w:rPr>
        <w:t>增加</w:t>
      </w:r>
      <w:r w:rsidR="00A9317D" w:rsidRPr="00591599">
        <w:rPr>
          <w:rFonts w:ascii="微軟正黑體" w:eastAsia="微軟正黑體" w:hAnsi="微軟正黑體" w:hint="eastAsia"/>
          <w:sz w:val="28"/>
          <w:szCs w:val="32"/>
        </w:rPr>
        <w:t>15.4％。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1991年至2014年</w:t>
      </w:r>
      <w:r w:rsidR="00A9317D">
        <w:rPr>
          <w:rFonts w:ascii="微軟正黑體" w:eastAsia="微軟正黑體" w:hAnsi="微軟正黑體" w:hint="eastAsia"/>
          <w:sz w:val="28"/>
          <w:szCs w:val="32"/>
        </w:rPr>
        <w:t>12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月底止，累計核准對中國大陸投資總額為1,43</w:t>
      </w:r>
      <w:r w:rsidR="00A9317D">
        <w:rPr>
          <w:rFonts w:ascii="微軟正黑體" w:eastAsia="微軟正黑體" w:hAnsi="微軟正黑體" w:hint="eastAsia"/>
          <w:sz w:val="28"/>
          <w:szCs w:val="32"/>
        </w:rPr>
        <w:t>9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.</w:t>
      </w:r>
      <w:r w:rsidR="00A9317D">
        <w:rPr>
          <w:rFonts w:ascii="微軟正黑體" w:eastAsia="微軟正黑體" w:hAnsi="微軟正黑體" w:hint="eastAsia"/>
          <w:sz w:val="28"/>
          <w:szCs w:val="32"/>
        </w:rPr>
        <w:t>6</w:t>
      </w:r>
      <w:r w:rsidR="00A9317D" w:rsidRPr="00957CCA">
        <w:rPr>
          <w:rFonts w:ascii="微軟正黑體" w:eastAsia="微軟正黑體" w:hAnsi="微軟正黑體" w:hint="eastAsia"/>
          <w:sz w:val="28"/>
          <w:szCs w:val="32"/>
        </w:rPr>
        <w:t>億美元。</w:t>
      </w:r>
      <w:r w:rsidR="00A9317D" w:rsidRPr="00A914E0">
        <w:rPr>
          <w:rFonts w:ascii="微軟正黑體" w:eastAsia="微軟正黑體" w:hAnsi="微軟正黑體"/>
          <w:sz w:val="28"/>
          <w:szCs w:val="32"/>
        </w:rPr>
        <w:t>（表1</w:t>
      </w:r>
      <w:r w:rsidR="00A9317D" w:rsidRPr="00A914E0">
        <w:rPr>
          <w:rFonts w:ascii="微軟正黑體" w:eastAsia="微軟正黑體" w:hAnsi="微軟正黑體" w:hint="eastAsia"/>
          <w:sz w:val="28"/>
          <w:szCs w:val="32"/>
        </w:rPr>
        <w:t>-</w:t>
      </w:r>
      <w:r w:rsidR="00A9317D" w:rsidRPr="00A914E0">
        <w:rPr>
          <w:rFonts w:ascii="微軟正黑體" w:eastAsia="微軟正黑體" w:hAnsi="微軟正黑體"/>
          <w:sz w:val="28"/>
          <w:szCs w:val="32"/>
        </w:rPr>
        <w:t>1）</w:t>
      </w:r>
    </w:p>
    <w:p w:rsidR="00A9317D" w:rsidRPr="00A914E0" w:rsidRDefault="00A9317D" w:rsidP="00A9317D">
      <w:pPr>
        <w:widowControl/>
        <w:spacing w:beforeLines="50" w:before="120" w:afterLines="50" w:after="120" w:line="0" w:lineRule="atLeast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 xml:space="preserve">表1-1  </w:t>
      </w:r>
      <w:proofErr w:type="gramStart"/>
      <w:r w:rsidR="0059548A">
        <w:rPr>
          <w:rFonts w:ascii="微軟正黑體" w:eastAsia="微軟正黑體" w:hAnsi="微軟正黑體" w:hint="eastAsia"/>
          <w:b/>
          <w:kern w:val="0"/>
          <w:sz w:val="28"/>
          <w:szCs w:val="32"/>
        </w:rPr>
        <w:t>臺</w:t>
      </w:r>
      <w:proofErr w:type="gramEnd"/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>商赴中國大陸投資統計</w:t>
      </w:r>
    </w:p>
    <w:tbl>
      <w:tblPr>
        <w:tblW w:w="8787" w:type="dxa"/>
        <w:jc w:val="center"/>
        <w:tblInd w:w="-55" w:type="dxa"/>
        <w:tblLayout w:type="fixed"/>
        <w:tblLook w:val="0000" w:firstRow="0" w:lastRow="0" w:firstColumn="0" w:lastColumn="0" w:noHBand="0" w:noVBand="0"/>
      </w:tblPr>
      <w:tblGrid>
        <w:gridCol w:w="1801"/>
        <w:gridCol w:w="1417"/>
        <w:gridCol w:w="1265"/>
        <w:gridCol w:w="1440"/>
        <w:gridCol w:w="1440"/>
        <w:gridCol w:w="1424"/>
      </w:tblGrid>
      <w:tr w:rsidR="00A9317D" w:rsidRPr="00A914E0" w:rsidTr="00A9317D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期   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  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成 長 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件  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成 長 率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平均投資金額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  <w:vMerge/>
            <w:tcBorders>
              <w:bottom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（百萬美元）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（%）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（%）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17D" w:rsidRPr="00A914E0" w:rsidRDefault="00A9317D" w:rsidP="00A871EC"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（仟美元）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277A1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7A1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1991～2000年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11,839.3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58.8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6,267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46.7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1,889.1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277A1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7A1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2001~2005年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24,185.5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20.5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7,814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12.8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3,029.9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2006年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7,642.3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27.2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1,090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-16.0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7,011.3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2007年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9,970.5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30.5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996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-8.6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10,010.5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2008年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9,843.4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-1.3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482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-52.0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20,421.9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2009年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6,058.5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-38.0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249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-48.0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19,780.3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2010年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12,230.1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101.8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518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108.0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23,610.3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2011年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13,100.8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7.12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575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11.0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22,784.1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2012年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10,924</w:t>
            </w:r>
            <w:r w:rsidRPr="004B18B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-16.6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454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-21.0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4B18BF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B18B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24,062</w:t>
            </w:r>
          </w:p>
        </w:tc>
      </w:tr>
      <w:tr w:rsidR="00A9317D" w:rsidRPr="00A914E0" w:rsidTr="00A9317D">
        <w:trPr>
          <w:jc w:val="center"/>
        </w:trPr>
        <w:tc>
          <w:tcPr>
            <w:tcW w:w="1801" w:type="dxa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2013年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2014年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8,684.9</w:t>
            </w:r>
          </w:p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9,829.8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(446.8)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-20.5</w:t>
            </w:r>
          </w:p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13.2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440</w:t>
            </w:r>
          </w:p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388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(109)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-3.1</w:t>
            </w:r>
          </w:p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-11.8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19,738.4</w:t>
            </w:r>
          </w:p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25,334.5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(4,098.8)</w:t>
            </w:r>
          </w:p>
        </w:tc>
      </w:tr>
      <w:tr w:rsidR="00A9317D" w:rsidRPr="00274D95" w:rsidTr="00A9317D">
        <w:trPr>
          <w:jc w:val="center"/>
        </w:trPr>
        <w:tc>
          <w:tcPr>
            <w:tcW w:w="1801" w:type="dxa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第1季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2,822.3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29.0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-36.8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33,599.3</w:t>
            </w:r>
          </w:p>
        </w:tc>
      </w:tr>
      <w:tr w:rsidR="00A9317D" w:rsidRPr="00274D95" w:rsidTr="00A9317D">
        <w:trPr>
          <w:jc w:val="center"/>
        </w:trPr>
        <w:tc>
          <w:tcPr>
            <w:tcW w:w="1801" w:type="dxa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季</w:t>
            </w:r>
          </w:p>
          <w:p w:rsidR="00A9317D" w:rsidRPr="00A9203A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季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2,351.6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2,161.6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-7.4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35.6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119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60.8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-3.2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19,761.0</w:t>
            </w:r>
          </w:p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22,284.2</w:t>
            </w:r>
          </w:p>
        </w:tc>
      </w:tr>
      <w:tr w:rsidR="00A9317D" w:rsidRPr="00274D95" w:rsidTr="00A9317D">
        <w:trPr>
          <w:jc w:val="center"/>
        </w:trPr>
        <w:tc>
          <w:tcPr>
            <w:tcW w:w="1801" w:type="dxa"/>
          </w:tcPr>
          <w:p w:rsidR="00A9317D" w:rsidRPr="00A9203A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left="-108" w:right="-108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第4季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2,494.3</w:t>
            </w:r>
          </w:p>
        </w:tc>
        <w:tc>
          <w:tcPr>
            <w:tcW w:w="1265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4.8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-35.3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vAlign w:val="center"/>
          </w:tcPr>
          <w:p w:rsidR="00A9317D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28,344.8</w:t>
            </w:r>
          </w:p>
        </w:tc>
      </w:tr>
      <w:tr w:rsidR="00A9317D" w:rsidRPr="00274D95" w:rsidTr="00A9317D">
        <w:trPr>
          <w:jc w:val="center"/>
        </w:trPr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合    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43</w:t>
            </w:r>
            <w:r w:rsidRPr="00274D95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956</w:t>
            </w: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74D9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</w:t>
            </w:r>
            <w:r w:rsidRPr="00274D95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317D" w:rsidRPr="00274D95" w:rsidRDefault="00A9317D" w:rsidP="00A871EC">
            <w:pPr>
              <w:widowControl/>
              <w:autoSpaceDE w:val="0"/>
              <w:adjustRightInd w:val="0"/>
              <w:snapToGrid w:val="0"/>
              <w:spacing w:before="50" w:line="300" w:lineRule="exact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</w:tr>
      <w:tr w:rsidR="00A9317D" w:rsidRPr="00A914E0" w:rsidTr="00A9317D">
        <w:trPr>
          <w:jc w:val="center"/>
        </w:trPr>
        <w:tc>
          <w:tcPr>
            <w:tcW w:w="8787" w:type="dxa"/>
            <w:gridSpan w:val="6"/>
            <w:tcBorders>
              <w:top w:val="single" w:sz="4" w:space="0" w:color="auto"/>
            </w:tcBorders>
          </w:tcPr>
          <w:p w:rsidR="00A9317D" w:rsidRPr="00A914E0" w:rsidRDefault="00A9317D" w:rsidP="00A9317D">
            <w:pPr>
              <w:widowControl/>
              <w:autoSpaceDE w:val="0"/>
              <w:snapToGrid w:val="0"/>
              <w:spacing w:line="200" w:lineRule="exact"/>
              <w:ind w:left="630" w:hangingChars="350" w:hanging="630"/>
              <w:jc w:val="both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proofErr w:type="gramStart"/>
            <w:r w:rsidRPr="00A914E0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註</w:t>
            </w:r>
            <w:proofErr w:type="gramEnd"/>
            <w:r w:rsidRPr="00A914E0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：1. 括弧內為向投審會申請補辦許可案件</w:t>
            </w:r>
            <w:proofErr w:type="gramStart"/>
            <w:r w:rsidRPr="00A914E0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件</w:t>
            </w:r>
            <w:proofErr w:type="gramEnd"/>
            <w:r w:rsidRPr="00A914E0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數與金額。</w:t>
            </w:r>
          </w:p>
          <w:p w:rsidR="00A9317D" w:rsidRPr="00A914E0" w:rsidRDefault="00A9317D" w:rsidP="00A9317D">
            <w:pPr>
              <w:widowControl/>
              <w:autoSpaceDE w:val="0"/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 xml:space="preserve">　　2. 合計數字含補報金額與件數。</w:t>
            </w:r>
          </w:p>
          <w:p w:rsidR="00A9317D" w:rsidRPr="00A914E0" w:rsidRDefault="00A9317D" w:rsidP="00A9317D">
            <w:pPr>
              <w:widowControl/>
              <w:autoSpaceDE w:val="0"/>
              <w:snapToGrid w:val="0"/>
              <w:spacing w:line="200" w:lineRule="exact"/>
              <w:ind w:left="841" w:hangingChars="467" w:hanging="841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lastRenderedPageBreak/>
              <w:t>資料來源：中華民國華僑及外國人投資、對外投資、對外投術合作、對大陸間接投資、大陸產業技術引進統計速報，經濟部投資審議委員會。</w:t>
            </w:r>
          </w:p>
        </w:tc>
      </w:tr>
    </w:tbl>
    <w:p w:rsidR="00A9317D" w:rsidRPr="00C200F6" w:rsidRDefault="00A9317D" w:rsidP="00A9317D">
      <w:pPr>
        <w:widowControl/>
        <w:autoSpaceDE w:val="0"/>
        <w:snapToGrid w:val="0"/>
        <w:spacing w:beforeLines="25" w:before="6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 w:rsidRPr="00A914E0">
        <w:rPr>
          <w:rFonts w:ascii="微軟正黑體" w:eastAsia="微軟正黑體" w:hAnsi="微軟正黑體"/>
          <w:sz w:val="28"/>
          <w:szCs w:val="32"/>
        </w:rPr>
        <w:lastRenderedPageBreak/>
        <w:t>若以投資地區分，201</w:t>
      </w:r>
      <w:r>
        <w:rPr>
          <w:rFonts w:ascii="微軟正黑體" w:eastAsia="微軟正黑體" w:hAnsi="微軟正黑體" w:hint="eastAsia"/>
          <w:sz w:val="28"/>
          <w:szCs w:val="32"/>
        </w:rPr>
        <w:t>4</w:t>
      </w:r>
      <w:r w:rsidRPr="00A914E0">
        <w:rPr>
          <w:rFonts w:ascii="微軟正黑體" w:eastAsia="微軟正黑體" w:hAnsi="微軟正黑體"/>
          <w:sz w:val="28"/>
          <w:szCs w:val="32"/>
        </w:rPr>
        <w:t>年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對</w:t>
      </w:r>
      <w:r w:rsidR="00C0290F">
        <w:rPr>
          <w:rFonts w:ascii="微軟正黑體" w:eastAsia="微軟正黑體" w:hAnsi="微軟正黑體" w:hint="eastAsia"/>
          <w:sz w:val="28"/>
          <w:szCs w:val="32"/>
        </w:rPr>
        <w:t>中國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大陸投資</w:t>
      </w:r>
      <w:r w:rsidRPr="00A914E0">
        <w:rPr>
          <w:rFonts w:ascii="微軟正黑體" w:eastAsia="微軟正黑體" w:hAnsi="微軟正黑體"/>
          <w:sz w:val="28"/>
          <w:szCs w:val="32"/>
        </w:rPr>
        <w:t>主要集中於江蘇省（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2</w:t>
      </w:r>
      <w:r>
        <w:rPr>
          <w:rFonts w:ascii="微軟正黑體" w:eastAsia="微軟正黑體" w:hAnsi="微軟正黑體" w:hint="eastAsia"/>
          <w:sz w:val="28"/>
          <w:szCs w:val="32"/>
        </w:rPr>
        <w:t>3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9</w:t>
      </w:r>
      <w:r w:rsidRPr="00A914E0">
        <w:rPr>
          <w:rFonts w:ascii="微軟正黑體" w:eastAsia="微軟正黑體" w:hAnsi="微軟正黑體"/>
          <w:sz w:val="28"/>
          <w:szCs w:val="32"/>
        </w:rPr>
        <w:t>%）、</w:t>
      </w:r>
      <w:r>
        <w:rPr>
          <w:rFonts w:ascii="微軟正黑體" w:eastAsia="微軟正黑體" w:hAnsi="微軟正黑體" w:hint="eastAsia"/>
          <w:sz w:val="28"/>
          <w:szCs w:val="32"/>
        </w:rPr>
        <w:t>福建</w:t>
      </w:r>
      <w:r w:rsidRPr="00A914E0">
        <w:rPr>
          <w:rFonts w:ascii="微軟正黑體" w:eastAsia="微軟正黑體" w:hAnsi="微軟正黑體"/>
          <w:sz w:val="28"/>
          <w:szCs w:val="32"/>
        </w:rPr>
        <w:t>省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（1</w:t>
      </w:r>
      <w:r>
        <w:rPr>
          <w:rFonts w:ascii="微軟正黑體" w:eastAsia="微軟正黑體" w:hAnsi="微軟正黑體" w:hint="eastAsia"/>
          <w:sz w:val="28"/>
          <w:szCs w:val="32"/>
        </w:rPr>
        <w:t>8.4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%）、上海市</w:t>
      </w:r>
      <w:r w:rsidRPr="00A914E0">
        <w:rPr>
          <w:rFonts w:ascii="微軟正黑體" w:eastAsia="微軟正黑體" w:hAnsi="微軟正黑體"/>
          <w:sz w:val="28"/>
          <w:szCs w:val="32"/>
        </w:rPr>
        <w:t>（</w:t>
      </w:r>
      <w:r>
        <w:rPr>
          <w:rFonts w:ascii="微軟正黑體" w:eastAsia="微軟正黑體" w:hAnsi="微軟正黑體" w:hint="eastAsia"/>
          <w:sz w:val="28"/>
          <w:szCs w:val="32"/>
        </w:rPr>
        <w:t>13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2</w:t>
      </w:r>
      <w:r w:rsidRPr="00A914E0">
        <w:rPr>
          <w:rFonts w:ascii="微軟正黑體" w:eastAsia="微軟正黑體" w:hAnsi="微軟正黑體"/>
          <w:sz w:val="28"/>
          <w:szCs w:val="32"/>
        </w:rPr>
        <w:t>%</w:t>
      </w:r>
      <w:r>
        <w:rPr>
          <w:rFonts w:ascii="微軟正黑體" w:eastAsia="微軟正黑體" w:hAnsi="微軟正黑體"/>
          <w:sz w:val="28"/>
          <w:szCs w:val="32"/>
        </w:rPr>
        <w:t>）</w:t>
      </w:r>
      <w:r>
        <w:rPr>
          <w:rFonts w:ascii="微軟正黑體" w:eastAsia="微軟正黑體" w:hAnsi="微軟正黑體" w:hint="eastAsia"/>
          <w:sz w:val="28"/>
          <w:szCs w:val="32"/>
        </w:rPr>
        <w:t>、廣東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省</w:t>
      </w:r>
      <w:r w:rsidRPr="00A914E0">
        <w:rPr>
          <w:rFonts w:ascii="微軟正黑體" w:eastAsia="微軟正黑體" w:hAnsi="微軟正黑體"/>
          <w:sz w:val="28"/>
          <w:szCs w:val="32"/>
        </w:rPr>
        <w:t>（</w:t>
      </w:r>
      <w:r>
        <w:rPr>
          <w:rFonts w:ascii="微軟正黑體" w:eastAsia="微軟正黑體" w:hAnsi="微軟正黑體" w:hint="eastAsia"/>
          <w:sz w:val="28"/>
          <w:szCs w:val="32"/>
        </w:rPr>
        <w:t>11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3</w:t>
      </w:r>
      <w:r w:rsidRPr="00A914E0">
        <w:rPr>
          <w:rFonts w:ascii="微軟正黑體" w:eastAsia="微軟正黑體" w:hAnsi="微軟正黑體"/>
          <w:sz w:val="28"/>
          <w:szCs w:val="32"/>
        </w:rPr>
        <w:t>%）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及</w:t>
      </w:r>
      <w:r>
        <w:rPr>
          <w:rFonts w:ascii="微軟正黑體" w:eastAsia="微軟正黑體" w:hAnsi="微軟正黑體" w:hint="eastAsia"/>
          <w:sz w:val="28"/>
          <w:szCs w:val="32"/>
        </w:rPr>
        <w:t>四川</w:t>
      </w:r>
      <w:r w:rsidRPr="00A914E0">
        <w:rPr>
          <w:rFonts w:ascii="微軟正黑體" w:eastAsia="微軟正黑體" w:hAnsi="微軟正黑體"/>
          <w:sz w:val="28"/>
          <w:szCs w:val="32"/>
        </w:rPr>
        <w:t>省（</w:t>
      </w:r>
      <w:r>
        <w:rPr>
          <w:rFonts w:ascii="微軟正黑體" w:eastAsia="微軟正黑體" w:hAnsi="微軟正黑體" w:hint="eastAsia"/>
          <w:sz w:val="28"/>
          <w:szCs w:val="32"/>
        </w:rPr>
        <w:t>7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5</w:t>
      </w:r>
      <w:r w:rsidRPr="00A914E0">
        <w:rPr>
          <w:rFonts w:ascii="微軟正黑體" w:eastAsia="微軟正黑體" w:hAnsi="微軟正黑體"/>
          <w:sz w:val="28"/>
          <w:szCs w:val="32"/>
        </w:rPr>
        <w:t>%）等地區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，該5大地區</w:t>
      </w:r>
      <w:r w:rsidRPr="00A914E0">
        <w:rPr>
          <w:rFonts w:ascii="微軟正黑體" w:eastAsia="微軟正黑體" w:hAnsi="微軟正黑體"/>
          <w:sz w:val="28"/>
          <w:szCs w:val="32"/>
        </w:rPr>
        <w:t>合計約占核准投資總額的</w:t>
      </w:r>
      <w:r>
        <w:rPr>
          <w:rFonts w:ascii="微軟正黑體" w:eastAsia="微軟正黑體" w:hAnsi="微軟正黑體" w:hint="eastAsia"/>
          <w:sz w:val="28"/>
          <w:szCs w:val="32"/>
        </w:rPr>
        <w:t>74</w:t>
      </w:r>
      <w:r w:rsidRPr="00A914E0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3</w:t>
      </w:r>
      <w:r w:rsidRPr="00A914E0">
        <w:rPr>
          <w:rFonts w:ascii="微軟正黑體" w:eastAsia="微軟正黑體" w:hAnsi="微軟正黑體"/>
          <w:sz w:val="28"/>
          <w:szCs w:val="32"/>
        </w:rPr>
        <w:t>%</w:t>
      </w:r>
      <w:r>
        <w:rPr>
          <w:rFonts w:ascii="微軟正黑體" w:eastAsia="微軟正黑體" w:hAnsi="微軟正黑體" w:hint="eastAsia"/>
          <w:sz w:val="28"/>
          <w:szCs w:val="32"/>
        </w:rPr>
        <w:t>，其中福建省與四川省相較</w:t>
      </w:r>
      <w:r w:rsidR="005B4B7F">
        <w:rPr>
          <w:rFonts w:ascii="微軟正黑體" w:eastAsia="微軟正黑體" w:hAnsi="微軟正黑體" w:hint="eastAsia"/>
          <w:sz w:val="28"/>
          <w:szCs w:val="32"/>
        </w:rPr>
        <w:t>上</w:t>
      </w:r>
      <w:r>
        <w:rPr>
          <w:rFonts w:ascii="微軟正黑體" w:eastAsia="微軟正黑體" w:hAnsi="微軟正黑體" w:hint="eastAsia"/>
          <w:sz w:val="28"/>
          <w:szCs w:val="32"/>
        </w:rPr>
        <w:t>年有較明顯成長，與電子、石化等製造業之</w:t>
      </w:r>
      <w:proofErr w:type="gramStart"/>
      <w:r w:rsidR="0059548A">
        <w:rPr>
          <w:rFonts w:ascii="微軟正黑體" w:eastAsia="微軟正黑體" w:hAnsi="微軟正黑體" w:hint="eastAsia"/>
          <w:sz w:val="28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商前往該地投資較多有關</w:t>
      </w:r>
      <w:r w:rsidRPr="00C200F6">
        <w:rPr>
          <w:rFonts w:ascii="微軟正黑體" w:eastAsia="微軟正黑體" w:hAnsi="微軟正黑體" w:hint="eastAsia"/>
          <w:sz w:val="28"/>
          <w:szCs w:val="32"/>
        </w:rPr>
        <w:t>。</w:t>
      </w:r>
      <w:r w:rsidRPr="00C200F6">
        <w:rPr>
          <w:rFonts w:ascii="微軟正黑體" w:eastAsia="微軟正黑體" w:hAnsi="微軟正黑體"/>
          <w:sz w:val="28"/>
          <w:szCs w:val="32"/>
        </w:rPr>
        <w:t>（表1-2）</w:t>
      </w:r>
    </w:p>
    <w:p w:rsidR="00A9317D" w:rsidRPr="00A914E0" w:rsidRDefault="00A9317D" w:rsidP="00A9317D">
      <w:pPr>
        <w:widowControl/>
        <w:snapToGrid w:val="0"/>
        <w:spacing w:beforeLines="50" w:before="120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 xml:space="preserve">表1-2 </w:t>
      </w:r>
      <w:r w:rsidRPr="001C4DFB">
        <w:rPr>
          <w:rFonts w:ascii="微軟正黑體" w:eastAsia="微軟正黑體" w:hAnsi="微軟正黑體" w:hint="eastAsia"/>
          <w:b/>
          <w:kern w:val="0"/>
          <w:sz w:val="28"/>
          <w:szCs w:val="32"/>
        </w:rPr>
        <w:t xml:space="preserve"> 2014</w:t>
      </w:r>
      <w:r w:rsidRPr="001C4DFB">
        <w:rPr>
          <w:rFonts w:ascii="微軟正黑體" w:eastAsia="微軟正黑體" w:hAnsi="微軟正黑體"/>
          <w:b/>
          <w:kern w:val="0"/>
          <w:sz w:val="28"/>
          <w:szCs w:val="32"/>
        </w:rPr>
        <w:t>年對</w:t>
      </w: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>中國大陸投資前五大地區</w:t>
      </w:r>
    </w:p>
    <w:p w:rsidR="00A9317D" w:rsidRPr="00A914E0" w:rsidRDefault="00A9317D" w:rsidP="00A9317D">
      <w:pPr>
        <w:widowControl/>
        <w:spacing w:line="240" w:lineRule="exact"/>
        <w:ind w:right="480"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/>
          <w:kern w:val="0"/>
          <w:sz w:val="20"/>
          <w:szCs w:val="20"/>
        </w:rPr>
        <w:t>單位：千美元</w:t>
      </w: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；%</w:t>
      </w:r>
    </w:p>
    <w:tbl>
      <w:tblPr>
        <w:tblW w:w="8153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1440"/>
        <w:gridCol w:w="1560"/>
        <w:gridCol w:w="1368"/>
        <w:gridCol w:w="1505"/>
      </w:tblGrid>
      <w:tr w:rsidR="00A9317D" w:rsidRPr="00A914E0" w:rsidTr="002F74C8">
        <w:trPr>
          <w:cantSplit/>
          <w:jc w:val="center"/>
        </w:trPr>
        <w:tc>
          <w:tcPr>
            <w:tcW w:w="1440" w:type="dxa"/>
            <w:vMerge w:val="restart"/>
            <w:tcBorders>
              <w:left w:val="nil"/>
            </w:tcBorders>
          </w:tcPr>
          <w:p w:rsidR="00A9317D" w:rsidRPr="00A914E0" w:rsidRDefault="00A9317D" w:rsidP="00A9317D">
            <w:pPr>
              <w:widowControl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件數</w:t>
            </w:r>
          </w:p>
        </w:tc>
        <w:tc>
          <w:tcPr>
            <w:tcW w:w="1440" w:type="dxa"/>
            <w:vMerge w:val="restart"/>
            <w:vAlign w:val="center"/>
          </w:tcPr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（比重）</w:t>
            </w:r>
          </w:p>
        </w:tc>
        <w:tc>
          <w:tcPr>
            <w:tcW w:w="1560" w:type="dxa"/>
            <w:vMerge w:val="restart"/>
            <w:vAlign w:val="center"/>
          </w:tcPr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上年</w:t>
            </w:r>
          </w:p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2873" w:type="dxa"/>
            <w:gridSpan w:val="2"/>
            <w:tcBorders>
              <w:right w:val="nil"/>
            </w:tcBorders>
            <w:vAlign w:val="center"/>
          </w:tcPr>
          <w:p w:rsidR="00A9317D" w:rsidRPr="00A914E0" w:rsidRDefault="00A9317D" w:rsidP="001D5CDC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與上年比較</w:t>
            </w:r>
          </w:p>
        </w:tc>
      </w:tr>
      <w:tr w:rsidR="00A9317D" w:rsidRPr="00A914E0" w:rsidTr="002F74C8">
        <w:trPr>
          <w:cantSplit/>
          <w:jc w:val="center"/>
        </w:trPr>
        <w:tc>
          <w:tcPr>
            <w:tcW w:w="1440" w:type="dxa"/>
            <w:vMerge/>
            <w:tcBorders>
              <w:left w:val="nil"/>
            </w:tcBorders>
          </w:tcPr>
          <w:p w:rsidR="00A9317D" w:rsidRPr="00A914E0" w:rsidRDefault="00A9317D" w:rsidP="00A9317D">
            <w:pPr>
              <w:widowControl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A9317D" w:rsidRPr="00A914E0" w:rsidRDefault="00A9317D" w:rsidP="00A9317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9317D" w:rsidRPr="00A914E0" w:rsidRDefault="00A9317D" w:rsidP="00A9317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9317D" w:rsidRPr="00A914E0" w:rsidRDefault="00A9317D" w:rsidP="00A9317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1505" w:type="dxa"/>
            <w:tcBorders>
              <w:right w:val="nil"/>
            </w:tcBorders>
            <w:vAlign w:val="center"/>
          </w:tcPr>
          <w:p w:rsidR="00A9317D" w:rsidRPr="00A914E0" w:rsidRDefault="00A9317D" w:rsidP="00A9317D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年增率</w:t>
            </w:r>
          </w:p>
        </w:tc>
      </w:tr>
      <w:tr w:rsidR="00A9317D" w:rsidRPr="00A914E0" w:rsidTr="002F74C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江蘇省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2,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457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881</w:t>
            </w:r>
          </w:p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(2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3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92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2,310,932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146,949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>6.36</w:t>
            </w:r>
          </w:p>
        </w:tc>
      </w:tr>
      <w:tr w:rsidR="00A9317D" w:rsidRPr="00A914E0" w:rsidTr="002F74C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福建</w:t>
            </w:r>
            <w:r w:rsidRPr="00A914E0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4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1,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891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3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9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9</w:t>
            </w:r>
          </w:p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(1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8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40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573,631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1,317,768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>229.72</w:t>
            </w:r>
          </w:p>
        </w:tc>
      </w:tr>
      <w:tr w:rsidR="00A9317D" w:rsidRPr="00A914E0" w:rsidTr="002F74C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上海市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1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352,67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4</w:t>
            </w:r>
          </w:p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(1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3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.1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6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2,392,848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-1,040,174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>-43.47</w:t>
            </w:r>
          </w:p>
        </w:tc>
      </w:tr>
      <w:tr w:rsidR="00A9317D" w:rsidRPr="00A914E0" w:rsidTr="002F74C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廣東</w:t>
            </w:r>
            <w:r w:rsidRPr="00A914E0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1,161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,0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25</w:t>
            </w:r>
          </w:p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(11.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30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1,478,529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-317,504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>-21.47</w:t>
            </w:r>
          </w:p>
        </w:tc>
      </w:tr>
      <w:tr w:rsidR="00A9317D" w:rsidRPr="00A914E0" w:rsidTr="002F74C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四川</w:t>
            </w:r>
            <w:r w:rsidRPr="00A914E0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4F536B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769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0</w:t>
            </w:r>
            <w:r w:rsidRPr="004F536B">
              <w:rPr>
                <w:rFonts w:ascii="微軟正黑體" w:eastAsia="微軟正黑體" w:hAnsi="微軟正黑體" w:cs="Arial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4</w:t>
            </w:r>
          </w:p>
          <w:p w:rsidR="00A9317D" w:rsidRPr="008062A7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(7.48</w:t>
            </w:r>
            <w:r w:rsidRPr="004F536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256,709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512,305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17D" w:rsidRPr="001A3EE1" w:rsidRDefault="00A9317D" w:rsidP="00A9317D">
            <w:pPr>
              <w:snapToGrid w:val="0"/>
              <w:ind w:rightChars="50" w:right="120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1A3EE1">
              <w:rPr>
                <w:rFonts w:ascii="微軟正黑體" w:eastAsia="微軟正黑體" w:hAnsi="微軟正黑體" w:cs="Arial"/>
                <w:sz w:val="22"/>
                <w:szCs w:val="22"/>
              </w:rPr>
              <w:t>199.57</w:t>
            </w:r>
          </w:p>
        </w:tc>
      </w:tr>
      <w:tr w:rsidR="00A9317D" w:rsidRPr="00A914E0" w:rsidTr="002F74C8">
        <w:trPr>
          <w:cantSplit/>
          <w:jc w:val="center"/>
        </w:trPr>
        <w:tc>
          <w:tcPr>
            <w:tcW w:w="815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9317D" w:rsidRPr="00A914E0" w:rsidRDefault="00A9317D" w:rsidP="00A9317D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資料來源：經濟部投資審議委員會。</w:t>
            </w:r>
          </w:p>
        </w:tc>
      </w:tr>
    </w:tbl>
    <w:p w:rsidR="00A9317D" w:rsidRPr="00A67E09" w:rsidRDefault="00A9317D" w:rsidP="00A67E09">
      <w:pPr>
        <w:widowControl/>
        <w:autoSpaceDE w:val="0"/>
        <w:snapToGrid w:val="0"/>
        <w:spacing w:beforeLines="25" w:before="60" w:line="480" w:lineRule="exact"/>
        <w:ind w:leftChars="286" w:left="686" w:firstLineChars="150" w:firstLine="420"/>
        <w:jc w:val="both"/>
        <w:rPr>
          <w:rFonts w:ascii="微軟正黑體" w:eastAsia="微軟正黑體" w:hAnsi="微軟正黑體"/>
          <w:sz w:val="28"/>
          <w:szCs w:val="32"/>
        </w:rPr>
      </w:pPr>
      <w:r w:rsidRPr="00FA7B24">
        <w:rPr>
          <w:rFonts w:ascii="微軟正黑體" w:eastAsia="微軟正黑體" w:hAnsi="微軟正黑體"/>
          <w:sz w:val="28"/>
          <w:szCs w:val="32"/>
        </w:rPr>
        <w:t>在投資業別方面，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201</w:t>
      </w:r>
      <w:r>
        <w:rPr>
          <w:rFonts w:ascii="微軟正黑體" w:eastAsia="微軟正黑體" w:hAnsi="微軟正黑體" w:hint="eastAsia"/>
          <w:sz w:val="28"/>
          <w:szCs w:val="32"/>
        </w:rPr>
        <w:t>4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年我對</w:t>
      </w:r>
      <w:r w:rsidR="00A67E09">
        <w:rPr>
          <w:rFonts w:ascii="微軟正黑體" w:eastAsia="微軟正黑體" w:hAnsi="微軟正黑體" w:hint="eastAsia"/>
          <w:sz w:val="28"/>
          <w:szCs w:val="32"/>
        </w:rPr>
        <w:t>中國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大陸投資前五大業別中，</w:t>
      </w:r>
      <w:r w:rsidRPr="001A3921">
        <w:rPr>
          <w:rFonts w:ascii="微軟正黑體" w:eastAsia="微軟正黑體" w:hAnsi="微軟正黑體" w:hint="eastAsia"/>
          <w:sz w:val="28"/>
          <w:szCs w:val="32"/>
        </w:rPr>
        <w:t>非金屬礦物製品製造</w:t>
      </w:r>
      <w:r>
        <w:rPr>
          <w:rFonts w:ascii="微軟正黑體" w:eastAsia="微軟正黑體" w:hAnsi="微軟正黑體" w:hint="eastAsia"/>
          <w:sz w:val="28"/>
          <w:szCs w:val="32"/>
        </w:rPr>
        <w:t>業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（占比</w:t>
      </w:r>
      <w:r>
        <w:rPr>
          <w:rFonts w:ascii="微軟正黑體" w:eastAsia="微軟正黑體" w:hAnsi="微軟正黑體" w:hint="eastAsia"/>
          <w:sz w:val="28"/>
          <w:szCs w:val="32"/>
        </w:rPr>
        <w:t>6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7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%）</w:t>
      </w:r>
      <w:r>
        <w:rPr>
          <w:rFonts w:ascii="微軟正黑體" w:eastAsia="微軟正黑體" w:hAnsi="微軟正黑體" w:hint="eastAsia"/>
          <w:sz w:val="28"/>
          <w:szCs w:val="32"/>
        </w:rPr>
        <w:t>較上年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成長</w:t>
      </w:r>
      <w:r>
        <w:rPr>
          <w:rFonts w:ascii="微軟正黑體" w:eastAsia="微軟正黑體" w:hAnsi="微軟正黑體" w:hint="eastAsia"/>
          <w:sz w:val="28"/>
          <w:szCs w:val="32"/>
        </w:rPr>
        <w:t>258.9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%</w:t>
      </w:r>
      <w:r>
        <w:rPr>
          <w:rFonts w:ascii="微軟正黑體" w:eastAsia="微軟正黑體" w:hAnsi="微軟正黑體" w:hint="eastAsia"/>
          <w:sz w:val="28"/>
          <w:szCs w:val="32"/>
        </w:rPr>
        <w:t>，主因</w:t>
      </w:r>
      <w:r w:rsidR="00591599">
        <w:rPr>
          <w:rFonts w:ascii="微軟正黑體" w:eastAsia="微軟正黑體" w:hAnsi="微軟正黑體" w:hint="eastAsia"/>
          <w:sz w:val="28"/>
          <w:szCs w:val="32"/>
        </w:rPr>
        <w:t>是</w:t>
      </w:r>
      <w:r w:rsidR="0059548A">
        <w:rPr>
          <w:rFonts w:ascii="微軟正黑體" w:eastAsia="微軟正黑體" w:hAnsi="微軟正黑體" w:hint="eastAsia"/>
          <w:sz w:val="28"/>
          <w:szCs w:val="32"/>
        </w:rPr>
        <w:t>臺</w:t>
      </w:r>
      <w:r w:rsidRPr="004B1E9E">
        <w:rPr>
          <w:rFonts w:ascii="微軟正黑體" w:eastAsia="微軟正黑體" w:hAnsi="微軟正黑體" w:hint="eastAsia"/>
          <w:sz w:val="28"/>
          <w:szCs w:val="32"/>
        </w:rPr>
        <w:t>灣水泥股份有限公司</w:t>
      </w:r>
      <w:r w:rsidRPr="004B1E9E">
        <w:rPr>
          <w:rFonts w:ascii="微軟正黑體" w:eastAsia="微軟正黑體" w:hAnsi="微軟正黑體"/>
          <w:sz w:val="28"/>
          <w:szCs w:val="32"/>
        </w:rPr>
        <w:t>申請</w:t>
      </w:r>
      <w:r w:rsidRPr="00BC1DAD">
        <w:rPr>
          <w:rFonts w:ascii="微軟正黑體" w:eastAsia="微軟正黑體" w:hAnsi="微軟正黑體" w:hint="eastAsia"/>
          <w:sz w:val="28"/>
          <w:szCs w:val="32"/>
        </w:rPr>
        <w:t>以</w:t>
      </w:r>
      <w:r w:rsidRPr="004B1E9E">
        <w:rPr>
          <w:rFonts w:ascii="微軟正黑體" w:eastAsia="微軟正黑體" w:hAnsi="微軟正黑體" w:hint="eastAsia"/>
          <w:sz w:val="28"/>
          <w:szCs w:val="32"/>
        </w:rPr>
        <w:t>美金7</w:t>
      </w:r>
      <w:r>
        <w:rPr>
          <w:rFonts w:ascii="微軟正黑體" w:eastAsia="微軟正黑體" w:hAnsi="微軟正黑體" w:hint="eastAsia"/>
          <w:sz w:val="28"/>
          <w:szCs w:val="32"/>
        </w:rPr>
        <w:t>.</w:t>
      </w:r>
      <w:r w:rsidRPr="004B1E9E">
        <w:rPr>
          <w:rFonts w:ascii="微軟正黑體" w:eastAsia="微軟正黑體" w:hAnsi="微軟正黑體" w:hint="eastAsia"/>
          <w:sz w:val="28"/>
          <w:szCs w:val="32"/>
        </w:rPr>
        <w:t>21</w:t>
      </w:r>
      <w:r>
        <w:rPr>
          <w:rFonts w:ascii="微軟正黑體" w:eastAsia="微軟正黑體" w:hAnsi="微軟正黑體" w:hint="eastAsia"/>
          <w:sz w:val="28"/>
          <w:szCs w:val="32"/>
        </w:rPr>
        <w:t>億</w:t>
      </w:r>
      <w:r w:rsidRPr="004B1E9E">
        <w:rPr>
          <w:rFonts w:ascii="微軟正黑體" w:eastAsia="微軟正黑體" w:hAnsi="微軟正黑體" w:hint="eastAsia"/>
          <w:sz w:val="28"/>
          <w:szCs w:val="32"/>
        </w:rPr>
        <w:t>元，間接取得安徽朱家橋水泥有限公司等33家公司股權</w:t>
      </w:r>
      <w:r w:rsidR="005919B4" w:rsidRPr="005919B4">
        <w:rPr>
          <w:rFonts w:ascii="微軟正黑體" w:eastAsia="微軟正黑體" w:hAnsi="微軟正黑體" w:hint="eastAsia"/>
          <w:sz w:val="28"/>
          <w:szCs w:val="32"/>
        </w:rPr>
        <w:t>；臺灣聚合化學品股份有限公司等7家公司以2.64億美元投資古雷聯合石油化工有限公司</w:t>
      </w:r>
      <w:r w:rsidRPr="004B1E9E">
        <w:rPr>
          <w:rFonts w:ascii="微軟正黑體" w:eastAsia="微軟正黑體" w:hAnsi="微軟正黑體" w:hint="eastAsia"/>
          <w:sz w:val="28"/>
          <w:szCs w:val="32"/>
        </w:rPr>
        <w:t>。</w:t>
      </w:r>
      <w:r>
        <w:rPr>
          <w:rFonts w:ascii="微軟正黑體" w:eastAsia="微軟正黑體" w:hAnsi="微軟正黑體" w:hint="eastAsia"/>
          <w:sz w:val="28"/>
          <w:szCs w:val="32"/>
        </w:rPr>
        <w:t>另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電子零組件製造業（占比</w:t>
      </w:r>
      <w:r>
        <w:rPr>
          <w:rFonts w:ascii="微軟正黑體" w:eastAsia="微軟正黑體" w:hAnsi="微軟正黑體" w:hint="eastAsia"/>
          <w:sz w:val="28"/>
          <w:szCs w:val="32"/>
        </w:rPr>
        <w:t>15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7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%</w:t>
      </w:r>
      <w:r>
        <w:rPr>
          <w:rFonts w:ascii="微軟正黑體" w:eastAsia="微軟正黑體" w:hAnsi="微軟正黑體" w:hint="eastAsia"/>
          <w:sz w:val="28"/>
          <w:szCs w:val="32"/>
        </w:rPr>
        <w:t>）較上年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成長</w:t>
      </w:r>
      <w:r>
        <w:rPr>
          <w:rFonts w:ascii="微軟正黑體" w:eastAsia="微軟正黑體" w:hAnsi="微軟正黑體" w:hint="eastAsia"/>
          <w:sz w:val="28"/>
          <w:szCs w:val="32"/>
        </w:rPr>
        <w:t>57.1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%</w:t>
      </w:r>
      <w:r>
        <w:rPr>
          <w:rFonts w:ascii="微軟正黑體" w:eastAsia="微軟正黑體" w:hAnsi="微軟正黑體" w:hint="eastAsia"/>
          <w:sz w:val="28"/>
          <w:szCs w:val="32"/>
        </w:rPr>
        <w:t>，相關之</w:t>
      </w:r>
      <w:r w:rsidRPr="00FE658F">
        <w:rPr>
          <w:rFonts w:ascii="微軟正黑體" w:eastAsia="微軟正黑體" w:hAnsi="微軟正黑體"/>
          <w:sz w:val="28"/>
          <w:szCs w:val="32"/>
        </w:rPr>
        <w:t>重大投資案件包括聯華電子股份有限公司以7.11億美元</w:t>
      </w:r>
      <w:proofErr w:type="gramStart"/>
      <w:r w:rsidRPr="00FE658F">
        <w:rPr>
          <w:rFonts w:ascii="微軟正黑體" w:eastAsia="微軟正黑體" w:hAnsi="微軟正黑體"/>
          <w:sz w:val="28"/>
          <w:szCs w:val="32"/>
        </w:rPr>
        <w:t>投資聯芯集成</w:t>
      </w:r>
      <w:proofErr w:type="gramEnd"/>
      <w:r w:rsidRPr="00FE658F">
        <w:rPr>
          <w:rFonts w:ascii="微軟正黑體" w:eastAsia="微軟正黑體" w:hAnsi="微軟正黑體"/>
          <w:sz w:val="28"/>
          <w:szCs w:val="32"/>
        </w:rPr>
        <w:t>電路製造（廈門）有限公司；鴻海精密工業股份有限公司分別以3億美元增資富泰</w:t>
      </w:r>
      <w:r>
        <w:rPr>
          <w:rFonts w:ascii="微軟正黑體" w:eastAsia="微軟正黑體" w:hAnsi="微軟正黑體"/>
          <w:sz w:val="28"/>
          <w:szCs w:val="32"/>
        </w:rPr>
        <w:t>華精密電子（濟源）有限公司及鴻富錦精密電子（成都）有限公司</w:t>
      </w:r>
      <w:r>
        <w:rPr>
          <w:rFonts w:ascii="微軟正黑體" w:eastAsia="微軟正黑體" w:hAnsi="微軟正黑體" w:hint="eastAsia"/>
          <w:sz w:val="28"/>
          <w:szCs w:val="32"/>
        </w:rPr>
        <w:t>等</w:t>
      </w:r>
      <w:r w:rsidRPr="00BC1DAD">
        <w:rPr>
          <w:rFonts w:ascii="微軟正黑體" w:eastAsia="微軟正黑體" w:hAnsi="微軟正黑體"/>
          <w:sz w:val="28"/>
          <w:szCs w:val="32"/>
        </w:rPr>
        <w:t>。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此外，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投資居首位之</w:t>
      </w:r>
      <w:r w:rsidRPr="002C18EC">
        <w:rPr>
          <w:rFonts w:ascii="微軟正黑體" w:eastAsia="微軟正黑體" w:hAnsi="微軟正黑體" w:hint="eastAsia"/>
          <w:sz w:val="28"/>
          <w:szCs w:val="32"/>
        </w:rPr>
        <w:t>金融及</w:t>
      </w:r>
      <w:r w:rsidRPr="002C18EC">
        <w:rPr>
          <w:rFonts w:ascii="微軟正黑體" w:eastAsia="微軟正黑體" w:hAnsi="微軟正黑體" w:hint="eastAsia"/>
          <w:sz w:val="28"/>
          <w:szCs w:val="32"/>
        </w:rPr>
        <w:lastRenderedPageBreak/>
        <w:t>保險業（占比1</w:t>
      </w:r>
      <w:r>
        <w:rPr>
          <w:rFonts w:ascii="微軟正黑體" w:eastAsia="微軟正黑體" w:hAnsi="微軟正黑體" w:hint="eastAsia"/>
          <w:sz w:val="28"/>
          <w:szCs w:val="32"/>
        </w:rPr>
        <w:t>6</w:t>
      </w:r>
      <w:r w:rsidRPr="002C18EC">
        <w:rPr>
          <w:rFonts w:ascii="微軟正黑體" w:eastAsia="微軟正黑體" w:hAnsi="微軟正黑體" w:hint="eastAsia"/>
          <w:sz w:val="28"/>
          <w:szCs w:val="32"/>
        </w:rPr>
        <w:t>.1%）</w:t>
      </w:r>
      <w:r w:rsidR="005B4B7F">
        <w:rPr>
          <w:rFonts w:ascii="微軟正黑體" w:eastAsia="微軟正黑體" w:hAnsi="微軟正黑體" w:hint="eastAsia"/>
          <w:sz w:val="28"/>
          <w:szCs w:val="32"/>
        </w:rPr>
        <w:t>則較上年</w:t>
      </w:r>
      <w:r w:rsidRPr="002C18EC">
        <w:rPr>
          <w:rFonts w:ascii="微軟正黑體" w:eastAsia="微軟正黑體" w:hAnsi="微軟正黑體" w:hint="eastAsia"/>
          <w:sz w:val="28"/>
          <w:szCs w:val="32"/>
        </w:rPr>
        <w:t>減少1</w:t>
      </w:r>
      <w:r>
        <w:rPr>
          <w:rFonts w:ascii="微軟正黑體" w:eastAsia="微軟正黑體" w:hAnsi="微軟正黑體" w:hint="eastAsia"/>
          <w:sz w:val="28"/>
          <w:szCs w:val="32"/>
        </w:rPr>
        <w:t>2</w:t>
      </w:r>
      <w:r w:rsidRPr="002C18EC">
        <w:rPr>
          <w:rFonts w:ascii="微軟正黑體" w:eastAsia="微軟正黑體" w:hAnsi="微軟正黑體" w:hint="eastAsia"/>
          <w:sz w:val="28"/>
          <w:szCs w:val="32"/>
        </w:rPr>
        <w:t>.</w:t>
      </w:r>
      <w:r>
        <w:rPr>
          <w:rFonts w:ascii="微軟正黑體" w:eastAsia="微軟正黑體" w:hAnsi="微軟正黑體" w:hint="eastAsia"/>
          <w:sz w:val="28"/>
          <w:szCs w:val="32"/>
        </w:rPr>
        <w:t>7</w:t>
      </w:r>
      <w:r w:rsidRPr="002C18EC">
        <w:rPr>
          <w:rFonts w:ascii="微軟正黑體" w:eastAsia="微軟正黑體" w:hAnsi="微軟正黑體" w:hint="eastAsia"/>
          <w:sz w:val="28"/>
          <w:szCs w:val="32"/>
        </w:rPr>
        <w:t>％</w:t>
      </w:r>
      <w:r>
        <w:rPr>
          <w:rFonts w:ascii="微軟正黑體" w:eastAsia="微軟正黑體" w:hAnsi="微軟正黑體" w:hint="eastAsia"/>
          <w:sz w:val="28"/>
          <w:szCs w:val="32"/>
        </w:rPr>
        <w:t>，主要是受</w:t>
      </w:r>
      <w:r w:rsidR="005B4B7F">
        <w:rPr>
          <w:rFonts w:ascii="微軟正黑體" w:eastAsia="微軟正黑體" w:hAnsi="微軟正黑體" w:hint="eastAsia"/>
          <w:sz w:val="28"/>
          <w:szCs w:val="32"/>
        </w:rPr>
        <w:t>上年</w:t>
      </w:r>
      <w:r w:rsidRPr="002C18EC">
        <w:rPr>
          <w:rFonts w:ascii="微軟正黑體" w:eastAsia="微軟正黑體" w:hAnsi="微軟正黑體" w:hint="eastAsia"/>
          <w:sz w:val="28"/>
          <w:szCs w:val="32"/>
        </w:rPr>
        <w:t>富邦金融集團於上海投資銀行業之比較基期影響</w:t>
      </w:r>
      <w:r w:rsidRPr="00FA7B24">
        <w:rPr>
          <w:rFonts w:ascii="微軟正黑體" w:eastAsia="微軟正黑體" w:hAnsi="微軟正黑體" w:hint="eastAsia"/>
          <w:sz w:val="28"/>
          <w:szCs w:val="32"/>
        </w:rPr>
        <w:t>。</w:t>
      </w:r>
      <w:r w:rsidRPr="00FA7B24">
        <w:rPr>
          <w:rFonts w:ascii="微軟正黑體" w:eastAsia="微軟正黑體" w:hAnsi="微軟正黑體"/>
          <w:sz w:val="28"/>
          <w:szCs w:val="32"/>
        </w:rPr>
        <w:t>（表1-3）</w:t>
      </w:r>
    </w:p>
    <w:p w:rsidR="00A9317D" w:rsidRPr="00A914E0" w:rsidRDefault="00A9317D" w:rsidP="00A9317D">
      <w:pPr>
        <w:widowControl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 xml:space="preserve">表1-3　</w:t>
      </w:r>
      <w:r w:rsidRPr="00615D4B">
        <w:rPr>
          <w:rFonts w:ascii="微軟正黑體" w:eastAsia="微軟正黑體" w:hAnsi="微軟正黑體" w:hint="eastAsia"/>
          <w:b/>
          <w:kern w:val="0"/>
          <w:sz w:val="28"/>
          <w:szCs w:val="32"/>
        </w:rPr>
        <w:t>2014</w:t>
      </w:r>
      <w:r w:rsidRPr="00615D4B">
        <w:rPr>
          <w:rFonts w:ascii="微軟正黑體" w:eastAsia="微軟正黑體" w:hAnsi="微軟正黑體"/>
          <w:b/>
          <w:kern w:val="0"/>
          <w:sz w:val="28"/>
          <w:szCs w:val="32"/>
        </w:rPr>
        <w:t>對</w:t>
      </w: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>中國大陸投資前五大業別</w:t>
      </w:r>
    </w:p>
    <w:p w:rsidR="00A9317D" w:rsidRPr="00A914E0" w:rsidRDefault="00A9317D" w:rsidP="00A9317D">
      <w:pPr>
        <w:widowControl/>
        <w:spacing w:line="240" w:lineRule="exact"/>
        <w:ind w:firstLineChars="2800" w:firstLine="5600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     </w:t>
      </w:r>
      <w:r w:rsidRPr="00A914E0">
        <w:rPr>
          <w:rFonts w:ascii="微軟正黑體" w:eastAsia="微軟正黑體" w:hAnsi="微軟正黑體"/>
          <w:kern w:val="0"/>
          <w:sz w:val="20"/>
          <w:szCs w:val="20"/>
        </w:rPr>
        <w:t>單位：千美元；</w:t>
      </w: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%</w:t>
      </w:r>
    </w:p>
    <w:tbl>
      <w:tblPr>
        <w:tblW w:w="8056" w:type="dxa"/>
        <w:jc w:val="center"/>
        <w:tblInd w:w="4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672"/>
        <w:gridCol w:w="1440"/>
        <w:gridCol w:w="1560"/>
        <w:gridCol w:w="1248"/>
        <w:gridCol w:w="1272"/>
      </w:tblGrid>
      <w:tr w:rsidR="00A9317D" w:rsidRPr="00A914E0" w:rsidTr="00A9317D">
        <w:trPr>
          <w:cantSplit/>
          <w:jc w:val="center"/>
        </w:trPr>
        <w:tc>
          <w:tcPr>
            <w:tcW w:w="1864" w:type="dxa"/>
            <w:vMerge w:val="restart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件數</w:t>
            </w:r>
          </w:p>
        </w:tc>
        <w:tc>
          <w:tcPr>
            <w:tcW w:w="1440" w:type="dxa"/>
            <w:vMerge w:val="restart"/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（</w:t>
            </w: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比重）</w:t>
            </w:r>
          </w:p>
        </w:tc>
        <w:tc>
          <w:tcPr>
            <w:tcW w:w="1560" w:type="dxa"/>
            <w:vMerge w:val="restart"/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上年同期</w:t>
            </w:r>
          </w:p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2520" w:type="dxa"/>
            <w:gridSpan w:val="2"/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與上年同期比較</w:t>
            </w:r>
          </w:p>
        </w:tc>
      </w:tr>
      <w:tr w:rsidR="00A9317D" w:rsidRPr="00A914E0" w:rsidTr="00A9317D">
        <w:trPr>
          <w:cantSplit/>
          <w:trHeight w:val="361"/>
          <w:jc w:val="center"/>
        </w:trPr>
        <w:tc>
          <w:tcPr>
            <w:tcW w:w="1864" w:type="dxa"/>
            <w:vMerge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1272" w:type="dxa"/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年增率</w:t>
            </w:r>
          </w:p>
        </w:tc>
      </w:tr>
      <w:tr w:rsidR="00A9317D" w:rsidRPr="00A914E0" w:rsidTr="00A9317D">
        <w:trPr>
          <w:jc w:val="center"/>
        </w:trPr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284A7C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284A7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金融及保險業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1,658,954</w:t>
            </w:r>
          </w:p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6C428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16.14</w:t>
            </w:r>
            <w:r w:rsidRPr="006C428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1,900,966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-242,012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cs="Arial"/>
                <w:sz w:val="22"/>
                <w:szCs w:val="22"/>
              </w:rPr>
              <w:t>-12.73</w:t>
            </w:r>
          </w:p>
        </w:tc>
      </w:tr>
      <w:tr w:rsidR="00A9317D" w:rsidRPr="00A914E0" w:rsidTr="00A9317D">
        <w:trPr>
          <w:jc w:val="center"/>
        </w:trPr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E64287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64287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電子零組件製造業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1,613,022</w:t>
            </w:r>
          </w:p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(15.70)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1,026,728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586,294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cs="Arial"/>
                <w:sz w:val="22"/>
                <w:szCs w:val="22"/>
              </w:rPr>
              <w:t>57.10</w:t>
            </w:r>
          </w:p>
        </w:tc>
      </w:tr>
      <w:tr w:rsidR="00A9317D" w:rsidRPr="00A914E0" w:rsidTr="00A9317D">
        <w:trPr>
          <w:jc w:val="center"/>
        </w:trPr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E64287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64287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電腦、電子產品及光學製品製造業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1,330,215</w:t>
            </w:r>
          </w:p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(12.94)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1,174,675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155,540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cs="Arial"/>
                <w:sz w:val="22"/>
                <w:szCs w:val="22"/>
              </w:rPr>
              <w:t>13.24</w:t>
            </w:r>
          </w:p>
        </w:tc>
      </w:tr>
      <w:tr w:rsidR="00A9317D" w:rsidRPr="00284A7C" w:rsidTr="00A9317D">
        <w:trPr>
          <w:jc w:val="center"/>
        </w:trPr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E64287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64287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批發及零售業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1,095,575</w:t>
            </w:r>
          </w:p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(10.66)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1,035,940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59,634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cs="Arial"/>
                <w:sz w:val="22"/>
                <w:szCs w:val="22"/>
              </w:rPr>
              <w:t>5.76</w:t>
            </w:r>
          </w:p>
        </w:tc>
      </w:tr>
      <w:tr w:rsidR="00A9317D" w:rsidRPr="00A914E0" w:rsidTr="00A9317D">
        <w:trPr>
          <w:jc w:val="center"/>
        </w:trPr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E64287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非金屬礦物製品</w:t>
            </w:r>
            <w:r w:rsidRPr="00E64287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製造業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683,346</w:t>
            </w:r>
          </w:p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(6.65)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190,424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7D" w:rsidRPr="006C4281" w:rsidRDefault="000C37F2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</w:rPr>
              <w:t>492,922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17D" w:rsidRPr="006C4281" w:rsidRDefault="00A9317D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6C4281">
              <w:rPr>
                <w:rFonts w:ascii="微軟正黑體" w:eastAsia="微軟正黑體" w:hAnsi="微軟正黑體" w:cs="Arial"/>
                <w:sz w:val="22"/>
                <w:szCs w:val="22"/>
              </w:rPr>
              <w:t>258.85</w:t>
            </w:r>
          </w:p>
        </w:tc>
      </w:tr>
      <w:tr w:rsidR="00A9317D" w:rsidRPr="00A914E0" w:rsidTr="00A9317D">
        <w:trPr>
          <w:jc w:val="center"/>
        </w:trPr>
        <w:tc>
          <w:tcPr>
            <w:tcW w:w="8056" w:type="dxa"/>
            <w:gridSpan w:val="6"/>
            <w:tcBorders>
              <w:bottom w:val="nil"/>
            </w:tcBorders>
            <w:vAlign w:val="center"/>
          </w:tcPr>
          <w:p w:rsidR="00A9317D" w:rsidRPr="00A914E0" w:rsidRDefault="00A9317D" w:rsidP="00A871EC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資料來源：經濟部投資審議委員會。</w:t>
            </w:r>
          </w:p>
        </w:tc>
      </w:tr>
    </w:tbl>
    <w:p w:rsidR="00A9317D" w:rsidRPr="00EC012D" w:rsidRDefault="00A9317D" w:rsidP="00273851">
      <w:pPr>
        <w:widowControl/>
        <w:numPr>
          <w:ilvl w:val="0"/>
          <w:numId w:val="5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EC012D">
        <w:rPr>
          <w:rFonts w:ascii="微軟正黑體" w:eastAsia="微軟正黑體" w:hAnsi="微軟正黑體" w:hint="eastAsia"/>
          <w:b/>
          <w:sz w:val="28"/>
          <w:szCs w:val="32"/>
        </w:rPr>
        <w:t>陸資來</w:t>
      </w:r>
      <w:proofErr w:type="gramStart"/>
      <w:r w:rsidR="0059548A">
        <w:rPr>
          <w:rFonts w:ascii="微軟正黑體" w:eastAsia="微軟正黑體" w:hAnsi="微軟正黑體" w:hint="eastAsia"/>
          <w:b/>
          <w:sz w:val="28"/>
          <w:szCs w:val="32"/>
        </w:rPr>
        <w:t>臺</w:t>
      </w:r>
      <w:proofErr w:type="gramEnd"/>
      <w:r w:rsidRPr="00EC012D">
        <w:rPr>
          <w:rFonts w:ascii="微軟正黑體" w:eastAsia="微軟正黑體" w:hAnsi="微軟正黑體" w:hint="eastAsia"/>
          <w:b/>
          <w:sz w:val="28"/>
          <w:szCs w:val="32"/>
        </w:rPr>
        <w:t>投資</w:t>
      </w:r>
    </w:p>
    <w:p w:rsidR="00A9317D" w:rsidRPr="002D5A60" w:rsidRDefault="00A9317D" w:rsidP="00A871EC">
      <w:pPr>
        <w:widowControl/>
        <w:autoSpaceDE w:val="0"/>
        <w:snapToGrid w:val="0"/>
        <w:spacing w:beforeLines="25" w:before="60" w:line="46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E60485">
        <w:rPr>
          <w:rFonts w:ascii="微軟正黑體" w:eastAsia="微軟正黑體" w:hAnsi="微軟正黑體"/>
          <w:kern w:val="0"/>
          <w:sz w:val="28"/>
          <w:szCs w:val="32"/>
        </w:rPr>
        <w:t>根據經濟部投審會統計，201</w:t>
      </w:r>
      <w:r w:rsidRPr="00E60485"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E60485">
        <w:rPr>
          <w:rFonts w:ascii="微軟正黑體" w:eastAsia="微軟正黑體" w:hAnsi="微軟正黑體"/>
          <w:kern w:val="0"/>
          <w:sz w:val="28"/>
          <w:szCs w:val="32"/>
        </w:rPr>
        <w:t>年</w:t>
      </w:r>
      <w:r w:rsidRPr="00E60485">
        <w:rPr>
          <w:rFonts w:ascii="微軟正黑體" w:eastAsia="微軟正黑體" w:hAnsi="微軟正黑體" w:hint="eastAsia"/>
          <w:kern w:val="0"/>
          <w:sz w:val="28"/>
          <w:szCs w:val="32"/>
        </w:rPr>
        <w:t>累計</w:t>
      </w:r>
      <w:r w:rsidRPr="00E60485">
        <w:rPr>
          <w:rFonts w:ascii="微軟正黑體" w:eastAsia="微軟正黑體" w:hAnsi="微軟正黑體"/>
          <w:kern w:val="0"/>
          <w:sz w:val="28"/>
          <w:szCs w:val="32"/>
        </w:rPr>
        <w:t>核准陸資來</w:t>
      </w:r>
      <w:proofErr w:type="gramStart"/>
      <w:r w:rsidR="0059548A">
        <w:rPr>
          <w:rFonts w:ascii="微軟正黑體" w:eastAsia="微軟正黑體" w:hAnsi="微軟正黑體"/>
          <w:kern w:val="0"/>
          <w:sz w:val="28"/>
          <w:szCs w:val="32"/>
        </w:rPr>
        <w:t>臺</w:t>
      </w:r>
      <w:proofErr w:type="gramEnd"/>
      <w:r w:rsidRPr="00C46CC8">
        <w:rPr>
          <w:rFonts w:ascii="微軟正黑體" w:eastAsia="微軟正黑體" w:hAnsi="微軟正黑體"/>
          <w:kern w:val="0"/>
          <w:sz w:val="28"/>
          <w:szCs w:val="32"/>
        </w:rPr>
        <w:t>投資件數計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136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件，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金額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3.35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億美元，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分別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較上年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略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減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1.5%、4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；其中，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2"/>
        </w:rPr>
        <w:t>第4季陸資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來</w:t>
      </w:r>
      <w:proofErr w:type="gramStart"/>
      <w:r w:rsidR="0059548A">
        <w:rPr>
          <w:rFonts w:ascii="微軟正黑體" w:eastAsia="微軟正黑體" w:hAnsi="微軟正黑體" w:hint="eastAsia"/>
          <w:kern w:val="0"/>
          <w:sz w:val="28"/>
          <w:szCs w:val="32"/>
        </w:rPr>
        <w:t>臺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投資金額為0.71億美元</w:t>
      </w:r>
      <w:r w:rsidRPr="0016376A">
        <w:rPr>
          <w:rFonts w:ascii="微軟正黑體" w:eastAsia="微軟正黑體" w:hAnsi="微軟正黑體" w:hint="eastAsia"/>
          <w:kern w:val="0"/>
          <w:sz w:val="28"/>
          <w:szCs w:val="32"/>
        </w:rPr>
        <w:t>，較上年同</w:t>
      </w:r>
      <w:r w:rsidR="005B4B7F">
        <w:rPr>
          <w:rFonts w:ascii="微軟正黑體" w:eastAsia="微軟正黑體" w:hAnsi="微軟正黑體" w:hint="eastAsia"/>
          <w:kern w:val="0"/>
          <w:sz w:val="28"/>
          <w:szCs w:val="32"/>
        </w:rPr>
        <w:t>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增加139</w:t>
      </w:r>
      <w:r w:rsidRPr="0016376A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，係因比較基期所致。</w:t>
      </w:r>
      <w:r w:rsidRPr="00E60485">
        <w:rPr>
          <w:rFonts w:ascii="微軟正黑體" w:eastAsia="微軟正黑體" w:hAnsi="微軟正黑體"/>
          <w:kern w:val="0"/>
          <w:sz w:val="28"/>
          <w:szCs w:val="32"/>
        </w:rPr>
        <w:t>201</w:t>
      </w:r>
      <w:r w:rsidRPr="00E60485"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E60485">
        <w:rPr>
          <w:rFonts w:ascii="微軟正黑體" w:eastAsia="微軟正黑體" w:hAnsi="微軟正黑體"/>
          <w:kern w:val="0"/>
          <w:sz w:val="28"/>
          <w:szCs w:val="32"/>
        </w:rPr>
        <w:t>年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金額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較大的投資案為</w:t>
      </w:r>
      <w:r w:rsidRPr="008F3197">
        <w:rPr>
          <w:rFonts w:ascii="微軟正黑體" w:eastAsia="微軟正黑體" w:hAnsi="微軟正黑體" w:hint="eastAsia"/>
          <w:kern w:val="0"/>
          <w:sz w:val="28"/>
          <w:szCs w:val="32"/>
        </w:rPr>
        <w:t>長春英利汽車工業股份有限公司申請匯入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1.27億美元，</w:t>
      </w:r>
      <w:r w:rsidRPr="008F3197">
        <w:rPr>
          <w:rFonts w:ascii="微軟正黑體" w:eastAsia="微軟正黑體" w:hAnsi="微軟正黑體" w:hint="eastAsia"/>
          <w:kern w:val="0"/>
          <w:sz w:val="28"/>
          <w:szCs w:val="32"/>
        </w:rPr>
        <w:t>投資宏利汽車部件股份有限公司，從事汽車及其零件製造業等業務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</w:t>
      </w:r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英屬維京群島商北京控股集團（</w:t>
      </w:r>
      <w:r w:rsidRPr="002D5A60">
        <w:rPr>
          <w:rFonts w:ascii="微軟正黑體" w:eastAsia="微軟正黑體" w:hAnsi="微軟正黑體"/>
          <w:kern w:val="0"/>
          <w:sz w:val="28"/>
          <w:szCs w:val="32"/>
        </w:rPr>
        <w:t>BVI</w:t>
      </w:r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）有限公司申請匯入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8,300萬美</w:t>
      </w:r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元，</w:t>
      </w:r>
      <w:proofErr w:type="gramStart"/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轉投資立能率</w:t>
      </w:r>
      <w:proofErr w:type="gramEnd"/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亞洲資本股份有限公司，從事經營菸酒、飲料、</w:t>
      </w:r>
      <w:proofErr w:type="gramStart"/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食品什貨批發</w:t>
      </w:r>
      <w:proofErr w:type="gramEnd"/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及創業投資等業務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</w:t>
      </w:r>
      <w:proofErr w:type="gramStart"/>
      <w:r w:rsidRPr="00844035">
        <w:rPr>
          <w:rFonts w:ascii="微軟正黑體" w:eastAsia="微軟正黑體" w:hAnsi="微軟正黑體" w:hint="eastAsia"/>
          <w:kern w:val="0"/>
          <w:sz w:val="28"/>
          <w:szCs w:val="32"/>
        </w:rPr>
        <w:t>陸商中國銀行股份有限公司</w:t>
      </w:r>
      <w:proofErr w:type="gramEnd"/>
      <w:r w:rsidRPr="00844035">
        <w:rPr>
          <w:rFonts w:ascii="微軟正黑體" w:eastAsia="微軟正黑體" w:hAnsi="微軟正黑體" w:hint="eastAsia"/>
          <w:kern w:val="0"/>
          <w:sz w:val="28"/>
          <w:szCs w:val="32"/>
        </w:rPr>
        <w:t>申請匯入6,000萬美元，增資在</w:t>
      </w:r>
      <w:proofErr w:type="gramStart"/>
      <w:r w:rsidR="0059548A">
        <w:rPr>
          <w:rFonts w:ascii="微軟正黑體" w:eastAsia="微軟正黑體" w:hAnsi="微軟正黑體" w:hint="eastAsia"/>
          <w:kern w:val="0"/>
          <w:sz w:val="28"/>
          <w:szCs w:val="32"/>
        </w:rPr>
        <w:t>臺</w:t>
      </w:r>
      <w:proofErr w:type="gramEnd"/>
      <w:r w:rsidRPr="00844035">
        <w:rPr>
          <w:rFonts w:ascii="微軟正黑體" w:eastAsia="微軟正黑體" w:hAnsi="微軟正黑體" w:hint="eastAsia"/>
          <w:kern w:val="0"/>
          <w:sz w:val="28"/>
          <w:szCs w:val="32"/>
        </w:rPr>
        <w:t>分公司，從事經營銀行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業務</w:t>
      </w:r>
      <w:r w:rsidRPr="002D5A60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000A86" w:rsidRDefault="00A9317D" w:rsidP="00A871EC">
      <w:pPr>
        <w:widowControl/>
        <w:autoSpaceDE w:val="0"/>
        <w:snapToGrid w:val="0"/>
        <w:spacing w:beforeLines="25" w:before="60" w:line="46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C46CC8">
        <w:rPr>
          <w:rFonts w:ascii="微軟正黑體" w:eastAsia="微軟正黑體" w:hAnsi="微軟正黑體"/>
          <w:kern w:val="0"/>
          <w:sz w:val="28"/>
          <w:szCs w:val="32"/>
        </w:rPr>
        <w:t>自2009年6月30日開放陸資來</w:t>
      </w:r>
      <w:proofErr w:type="gramStart"/>
      <w:r w:rsidR="0059548A">
        <w:rPr>
          <w:rFonts w:ascii="微軟正黑體" w:eastAsia="微軟正黑體" w:hAnsi="微軟正黑體"/>
          <w:kern w:val="0"/>
          <w:sz w:val="28"/>
          <w:szCs w:val="32"/>
        </w:rPr>
        <w:t>臺</w:t>
      </w:r>
      <w:proofErr w:type="gramEnd"/>
      <w:r w:rsidRPr="00C46CC8">
        <w:rPr>
          <w:rFonts w:ascii="微軟正黑體" w:eastAsia="微軟正黑體" w:hAnsi="微軟正黑體"/>
          <w:kern w:val="0"/>
          <w:sz w:val="28"/>
          <w:szCs w:val="32"/>
        </w:rPr>
        <w:t>至201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年</w:t>
      </w:r>
      <w:r w:rsidRPr="00C46CC8">
        <w:rPr>
          <w:rFonts w:ascii="微軟正黑體" w:eastAsia="微軟正黑體" w:hAnsi="微軟正黑體" w:hint="eastAsia"/>
          <w:kern w:val="0"/>
          <w:sz w:val="28"/>
          <w:szCs w:val="32"/>
        </w:rPr>
        <w:t>底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，累計核准陸資來</w:t>
      </w:r>
      <w:proofErr w:type="gramStart"/>
      <w:r w:rsidR="0059548A">
        <w:rPr>
          <w:rFonts w:ascii="微軟正黑體" w:eastAsia="微軟正黑體" w:hAnsi="微軟正黑體"/>
          <w:kern w:val="0"/>
          <w:sz w:val="28"/>
          <w:szCs w:val="32"/>
        </w:rPr>
        <w:t>臺</w:t>
      </w:r>
      <w:proofErr w:type="gramEnd"/>
      <w:r w:rsidRPr="00C46CC8">
        <w:rPr>
          <w:rFonts w:ascii="微軟正黑體" w:eastAsia="微軟正黑體" w:hAnsi="微軟正黑體"/>
          <w:kern w:val="0"/>
          <w:sz w:val="28"/>
          <w:szCs w:val="32"/>
        </w:rPr>
        <w:t>投資件數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619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件，核准金額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11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億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9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,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915</w:t>
      </w:r>
      <w:r w:rsidRPr="00C46CC8">
        <w:rPr>
          <w:rFonts w:ascii="微軟正黑體" w:eastAsia="微軟正黑體" w:hAnsi="微軟正黑體"/>
          <w:kern w:val="0"/>
          <w:sz w:val="28"/>
          <w:szCs w:val="32"/>
        </w:rPr>
        <w:t>萬美元（表1-4）</w:t>
      </w:r>
      <w:r w:rsidRPr="008F3619">
        <w:rPr>
          <w:rFonts w:ascii="微軟正黑體" w:eastAsia="微軟正黑體" w:hAnsi="微軟正黑體"/>
          <w:kern w:val="0"/>
          <w:sz w:val="28"/>
          <w:szCs w:val="32"/>
        </w:rPr>
        <w:t>。就業別金額觀之，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前3名分別為批發及零售業（占比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24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%）、銀行業（占比1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%）及港埠業（占比1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%）；</w:t>
      </w:r>
      <w:proofErr w:type="gramStart"/>
      <w:r w:rsidRPr="008F3619">
        <w:rPr>
          <w:rFonts w:ascii="微軟正黑體" w:eastAsia="微軟正黑體" w:hAnsi="微軟正黑體"/>
          <w:kern w:val="0"/>
          <w:sz w:val="28"/>
          <w:szCs w:val="32"/>
        </w:rPr>
        <w:t>業別件數</w:t>
      </w:r>
      <w:proofErr w:type="gramEnd"/>
      <w:r w:rsidRPr="008F3619">
        <w:rPr>
          <w:rFonts w:ascii="微軟正黑體" w:eastAsia="微軟正黑體" w:hAnsi="微軟正黑體"/>
          <w:kern w:val="0"/>
          <w:sz w:val="28"/>
          <w:szCs w:val="32"/>
        </w:rPr>
        <w:t>來看，以批發及零售業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78</w:t>
      </w:r>
      <w:r w:rsidRPr="008F3619">
        <w:rPr>
          <w:rFonts w:ascii="微軟正黑體" w:eastAsia="微軟正黑體" w:hAnsi="微軟正黑體"/>
          <w:kern w:val="0"/>
          <w:sz w:val="28"/>
          <w:szCs w:val="32"/>
        </w:rPr>
        <w:t>件最高，占投資總件數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61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8F3619">
        <w:rPr>
          <w:rFonts w:ascii="微軟正黑體" w:eastAsia="微軟正黑體" w:hAnsi="微軟正黑體"/>
          <w:kern w:val="0"/>
          <w:sz w:val="28"/>
          <w:szCs w:val="32"/>
        </w:rPr>
        <w:t>%（表1-5）</w:t>
      </w:r>
      <w:r w:rsidRPr="008F3619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proofErr w:type="gramStart"/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另</w:t>
      </w:r>
      <w:proofErr w:type="gramEnd"/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，開放迄今陸資平均每件投資</w:t>
      </w:r>
      <w:r w:rsidRPr="00BC0E9B">
        <w:rPr>
          <w:rFonts w:ascii="微軟正黑體" w:eastAsia="微軟正黑體" w:hAnsi="微軟正黑體"/>
          <w:kern w:val="0"/>
          <w:sz w:val="28"/>
          <w:szCs w:val="32"/>
        </w:rPr>
        <w:t>金額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為1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93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7</w:t>
      </w:r>
      <w:r w:rsidRPr="00BC0E9B">
        <w:rPr>
          <w:rFonts w:ascii="微軟正黑體" w:eastAsia="微軟正黑體" w:hAnsi="微軟正黑體"/>
          <w:kern w:val="0"/>
          <w:sz w:val="28"/>
          <w:szCs w:val="32"/>
        </w:rPr>
        <w:t>萬美元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；2014年平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lastRenderedPageBreak/>
        <w:t>均每件投資金額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為246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萬美元，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相較上年256萬美元之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投資規模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有所減緩</w:t>
      </w:r>
      <w:r w:rsidRPr="00BC0E9B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A9317D" w:rsidRPr="00A914E0" w:rsidRDefault="00A9317D" w:rsidP="00A9317D">
      <w:pPr>
        <w:widowControl/>
        <w:jc w:val="center"/>
        <w:rPr>
          <w:rFonts w:ascii="微軟正黑體" w:eastAsia="微軟正黑體" w:hAnsi="微軟正黑體"/>
          <w:b/>
          <w:bCs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bCs/>
          <w:kern w:val="0"/>
          <w:sz w:val="28"/>
          <w:szCs w:val="32"/>
        </w:rPr>
        <w:t>表1-</w:t>
      </w:r>
      <w:r w:rsidRPr="00A914E0">
        <w:rPr>
          <w:rFonts w:ascii="微軟正黑體" w:eastAsia="微軟正黑體" w:hAnsi="微軟正黑體" w:hint="eastAsia"/>
          <w:b/>
          <w:bCs/>
          <w:kern w:val="0"/>
          <w:sz w:val="28"/>
          <w:szCs w:val="32"/>
        </w:rPr>
        <w:t xml:space="preserve">4　</w:t>
      </w:r>
      <w:r w:rsidRPr="00A914E0">
        <w:rPr>
          <w:rFonts w:ascii="微軟正黑體" w:eastAsia="微軟正黑體" w:hAnsi="微軟正黑體"/>
          <w:b/>
          <w:bCs/>
          <w:kern w:val="0"/>
          <w:sz w:val="28"/>
          <w:szCs w:val="32"/>
        </w:rPr>
        <w:t>陸資來</w:t>
      </w:r>
      <w:proofErr w:type="gramStart"/>
      <w:r w:rsidR="0059548A">
        <w:rPr>
          <w:rFonts w:ascii="微軟正黑體" w:eastAsia="微軟正黑體" w:hAnsi="微軟正黑體"/>
          <w:b/>
          <w:bCs/>
          <w:kern w:val="0"/>
          <w:sz w:val="28"/>
          <w:szCs w:val="32"/>
        </w:rPr>
        <w:t>臺</w:t>
      </w:r>
      <w:proofErr w:type="gramEnd"/>
      <w:r w:rsidRPr="00A914E0">
        <w:rPr>
          <w:rFonts w:ascii="微軟正黑體" w:eastAsia="微軟正黑體" w:hAnsi="微軟正黑體"/>
          <w:b/>
          <w:bCs/>
          <w:kern w:val="0"/>
          <w:sz w:val="28"/>
          <w:szCs w:val="32"/>
        </w:rPr>
        <w:t>投資概況</w:t>
      </w:r>
    </w:p>
    <w:p w:rsidR="00A9317D" w:rsidRPr="00A914E0" w:rsidRDefault="00A9317D" w:rsidP="00A9317D">
      <w:pPr>
        <w:widowControl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單位：千美元；%</w:t>
      </w:r>
    </w:p>
    <w:tbl>
      <w:tblPr>
        <w:tblW w:w="8556" w:type="dxa"/>
        <w:jc w:val="center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351"/>
        <w:gridCol w:w="1263"/>
        <w:gridCol w:w="1275"/>
        <w:gridCol w:w="1134"/>
        <w:gridCol w:w="1627"/>
      </w:tblGrid>
      <w:tr w:rsidR="00A9317D" w:rsidRPr="00A914E0" w:rsidTr="00A9317D">
        <w:trPr>
          <w:trHeight w:val="359"/>
          <w:jc w:val="center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91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年度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91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金額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91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年增率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91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件數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91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年增率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91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平均投資金額</w:t>
            </w:r>
          </w:p>
        </w:tc>
      </w:tr>
      <w:tr w:rsidR="00A9317D" w:rsidRPr="00A914E0" w:rsidTr="00A9317D">
        <w:trPr>
          <w:trHeight w:val="512"/>
          <w:jc w:val="center"/>
        </w:trPr>
        <w:tc>
          <w:tcPr>
            <w:tcW w:w="1906" w:type="dxa"/>
            <w:tcBorders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2009年</w:t>
            </w:r>
          </w:p>
        </w:tc>
        <w:tc>
          <w:tcPr>
            <w:tcW w:w="1351" w:type="dxa"/>
            <w:tcBorders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37,486</w:t>
            </w:r>
          </w:p>
        </w:tc>
        <w:tc>
          <w:tcPr>
            <w:tcW w:w="1263" w:type="dxa"/>
            <w:tcBorders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9317D" w:rsidRPr="00EC012D" w:rsidRDefault="00A9317D" w:rsidP="000C37F2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</w:t>
            </w: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1,629.8</w:t>
            </w:r>
          </w:p>
        </w:tc>
      </w:tr>
      <w:tr w:rsidR="00A9317D" w:rsidRPr="00A914E0" w:rsidTr="00A9317D">
        <w:trPr>
          <w:trHeight w:val="458"/>
          <w:jc w:val="center"/>
        </w:trPr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2010年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94,345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151.7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243.5</w:t>
            </w:r>
          </w:p>
        </w:tc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1,194.2</w:t>
            </w:r>
          </w:p>
        </w:tc>
      </w:tr>
      <w:tr w:rsidR="00A9317D" w:rsidRPr="00A914E0" w:rsidTr="00A9317D">
        <w:trPr>
          <w:trHeight w:val="458"/>
          <w:jc w:val="center"/>
        </w:trPr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2011年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43</w:t>
            </w: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736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53</w:t>
            </w:r>
            <w:r w:rsidRPr="00EC012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29</w:t>
            </w: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A9317D" w:rsidRPr="00EC012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</w:t>
            </w:r>
            <w:r w:rsidRPr="00EC012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.7</w:t>
            </w:r>
          </w:p>
        </w:tc>
      </w:tr>
      <w:tr w:rsidR="00A9317D" w:rsidRPr="001B240D" w:rsidTr="00A9317D">
        <w:trPr>
          <w:trHeight w:val="458"/>
          <w:jc w:val="center"/>
        </w:trPr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2012年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2013年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328,067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360,884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650.1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10.0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138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141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35.2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2.2</w:t>
            </w:r>
          </w:p>
        </w:tc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2,377.2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2,559.5</w:t>
            </w:r>
          </w:p>
        </w:tc>
      </w:tr>
      <w:tr w:rsidR="00A9317D" w:rsidRPr="001B240D" w:rsidTr="00A9317D">
        <w:trPr>
          <w:trHeight w:val="458"/>
          <w:jc w:val="center"/>
        </w:trPr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2014年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334,631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-4.25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136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-1.45</w:t>
            </w:r>
          </w:p>
        </w:tc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2,460.5</w:t>
            </w:r>
          </w:p>
        </w:tc>
      </w:tr>
      <w:tr w:rsidR="00A9317D" w:rsidRPr="001B240D" w:rsidTr="00A9317D">
        <w:trPr>
          <w:trHeight w:val="557"/>
          <w:jc w:val="center"/>
        </w:trPr>
        <w:tc>
          <w:tcPr>
            <w:tcW w:w="19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="-89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季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="-89"/>
              <w:jc w:val="right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第2季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="-89"/>
              <w:jc w:val="right"/>
              <w:rPr>
                <w:rFonts w:ascii="微軟正黑體" w:eastAsia="微軟正黑體" w:hAnsi="微軟正黑體"/>
                <w:color w:val="000000" w:themeColor="text1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季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="-89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A9203A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2"/>
                <w:szCs w:val="22"/>
              </w:rPr>
              <w:t>季</w:t>
            </w:r>
          </w:p>
        </w:tc>
        <w:tc>
          <w:tcPr>
            <w:tcW w:w="13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</w:t>
            </w:r>
            <w:r w:rsidRPr="001B240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,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57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146,168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104,965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70,741</w:t>
            </w:r>
          </w:p>
        </w:tc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-90.8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88.5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-8.5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139.0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34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32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32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38</w:t>
            </w: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B240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17.2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-23.8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627" w:type="dxa"/>
            <w:tcBorders>
              <w:top w:val="nil"/>
              <w:bottom w:val="nil"/>
            </w:tcBorders>
            <w:vAlign w:val="center"/>
          </w:tcPr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375.2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4,567.8</w:t>
            </w:r>
          </w:p>
          <w:p w:rsidR="00A9317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3,280.2</w:t>
            </w:r>
          </w:p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1,861.6</w:t>
            </w:r>
          </w:p>
        </w:tc>
      </w:tr>
      <w:tr w:rsidR="00A9317D" w:rsidRPr="001B240D" w:rsidTr="00A9317D">
        <w:trPr>
          <w:trHeight w:val="527"/>
          <w:jc w:val="center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-89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B240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合計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1,199,149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="57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9317D" w:rsidRPr="001B240D" w:rsidRDefault="00A9317D" w:rsidP="00A9317D">
            <w:pPr>
              <w:widowControl/>
              <w:autoSpaceDE w:val="0"/>
              <w:snapToGrid w:val="0"/>
              <w:ind w:rightChars="10" w:right="2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1,937.2</w:t>
            </w:r>
          </w:p>
        </w:tc>
      </w:tr>
      <w:tr w:rsidR="00A9317D" w:rsidRPr="00A914E0" w:rsidTr="00A9317D">
        <w:trPr>
          <w:trHeight w:val="527"/>
          <w:jc w:val="center"/>
        </w:trPr>
        <w:tc>
          <w:tcPr>
            <w:tcW w:w="855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9317D" w:rsidRPr="00A914E0" w:rsidRDefault="00A9317D" w:rsidP="00A9317D">
            <w:pPr>
              <w:widowControl/>
              <w:snapToGrid w:val="0"/>
              <w:spacing w:line="280" w:lineRule="exact"/>
              <w:ind w:leftChars="7" w:left="725" w:hangingChars="354" w:hanging="708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proofErr w:type="gramStart"/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註</w:t>
            </w:r>
            <w:proofErr w:type="gramEnd"/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：</w:t>
            </w: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1.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</w:t>
            </w: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2009年6月30日起開放陸資來</w:t>
            </w:r>
            <w:proofErr w:type="gramStart"/>
            <w:r w:rsidR="0059548A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臺</w:t>
            </w:r>
            <w:proofErr w:type="gramEnd"/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投資。</w:t>
            </w:r>
          </w:p>
          <w:p w:rsidR="00A9317D" w:rsidRPr="00A914E0" w:rsidRDefault="00A9317D" w:rsidP="00A9317D">
            <w:pPr>
              <w:widowControl/>
              <w:snapToGrid w:val="0"/>
              <w:spacing w:line="280" w:lineRule="exact"/>
              <w:ind w:leftChars="7" w:left="443" w:hangingChars="213" w:hanging="426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  </w:t>
            </w: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2.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</w:t>
            </w: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</w:t>
            </w:r>
            <w:proofErr w:type="gramStart"/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增率係指</w:t>
            </w:r>
            <w:proofErr w:type="gramEnd"/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較上年或上年同期增減比率。</w:t>
            </w:r>
          </w:p>
          <w:p w:rsidR="00A9317D" w:rsidRPr="00A914E0" w:rsidRDefault="00A9317D" w:rsidP="00A9317D">
            <w:pPr>
              <w:widowControl/>
              <w:snapToGrid w:val="0"/>
              <w:spacing w:line="280" w:lineRule="exact"/>
              <w:ind w:leftChars="7" w:left="443" w:hangingChars="213" w:hanging="426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資料來源：經濟部投資審議委員會。</w:t>
            </w:r>
          </w:p>
        </w:tc>
      </w:tr>
    </w:tbl>
    <w:p w:rsidR="00A871EC" w:rsidRDefault="00A871EC" w:rsidP="00A9317D">
      <w:pPr>
        <w:widowControl/>
        <w:spacing w:line="560" w:lineRule="exact"/>
        <w:ind w:left="2127" w:hanging="1985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</w:p>
    <w:p w:rsidR="00A9317D" w:rsidRPr="00A914E0" w:rsidRDefault="00A9317D" w:rsidP="00A9317D">
      <w:pPr>
        <w:widowControl/>
        <w:spacing w:line="560" w:lineRule="exact"/>
        <w:ind w:left="2127" w:hanging="1985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 w:hint="eastAsia"/>
          <w:b/>
          <w:kern w:val="0"/>
          <w:sz w:val="28"/>
          <w:szCs w:val="32"/>
        </w:rPr>
        <w:t>表1-5　陸資來</w:t>
      </w:r>
      <w:proofErr w:type="gramStart"/>
      <w:r w:rsidR="0059548A">
        <w:rPr>
          <w:rFonts w:ascii="微軟正黑體" w:eastAsia="微軟正黑體" w:hAnsi="微軟正黑體" w:hint="eastAsia"/>
          <w:b/>
          <w:kern w:val="0"/>
          <w:sz w:val="28"/>
          <w:szCs w:val="32"/>
        </w:rPr>
        <w:t>臺</w:t>
      </w:r>
      <w:proofErr w:type="gramEnd"/>
      <w:r w:rsidRPr="00A914E0">
        <w:rPr>
          <w:rFonts w:ascii="微軟正黑體" w:eastAsia="微軟正黑體" w:hAnsi="微軟正黑體" w:hint="eastAsia"/>
          <w:b/>
          <w:kern w:val="0"/>
          <w:sz w:val="28"/>
          <w:szCs w:val="32"/>
        </w:rPr>
        <w:t>投資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主要</w:t>
      </w:r>
      <w:r w:rsidRPr="00A914E0">
        <w:rPr>
          <w:rFonts w:ascii="微軟正黑體" w:eastAsia="微軟正黑體" w:hAnsi="微軟正黑體" w:hint="eastAsia"/>
          <w:b/>
          <w:kern w:val="0"/>
          <w:sz w:val="28"/>
          <w:szCs w:val="32"/>
        </w:rPr>
        <w:t>業別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（2009.</w:t>
      </w:r>
      <w:r w:rsidRPr="00487D93">
        <w:rPr>
          <w:rFonts w:ascii="微軟正黑體" w:eastAsia="微軟正黑體" w:hAnsi="微軟正黑體" w:hint="eastAsia"/>
          <w:b/>
          <w:kern w:val="0"/>
          <w:sz w:val="28"/>
          <w:szCs w:val="32"/>
        </w:rPr>
        <w:t>6.30~2014.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12</w:t>
      </w:r>
      <w:r w:rsidRPr="00487D93">
        <w:rPr>
          <w:rFonts w:ascii="微軟正黑體" w:eastAsia="微軟正黑體" w:hAnsi="微軟正黑體" w:hint="eastAsia"/>
          <w:b/>
          <w:kern w:val="0"/>
          <w:sz w:val="28"/>
          <w:szCs w:val="32"/>
        </w:rPr>
        <w:t>.3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1</w:t>
      </w:r>
      <w:r w:rsidRPr="00487D93">
        <w:rPr>
          <w:rFonts w:ascii="微軟正黑體" w:eastAsia="微軟正黑體" w:hAnsi="微軟正黑體" w:hint="eastAsia"/>
          <w:b/>
          <w:kern w:val="0"/>
          <w:sz w:val="28"/>
          <w:szCs w:val="32"/>
        </w:rPr>
        <w:t>累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>計</w:t>
      </w:r>
      <w:r>
        <w:rPr>
          <w:rFonts w:ascii="微軟正黑體" w:eastAsia="微軟正黑體" w:hAnsi="微軟正黑體"/>
          <w:b/>
          <w:kern w:val="0"/>
          <w:sz w:val="28"/>
          <w:szCs w:val="32"/>
        </w:rPr>
        <w:t>）</w:t>
      </w:r>
    </w:p>
    <w:p w:rsidR="00A9317D" w:rsidRPr="00A914E0" w:rsidRDefault="00A9317D" w:rsidP="00A9317D">
      <w:pPr>
        <w:widowControl/>
        <w:spacing w:line="0" w:lineRule="atLeast"/>
        <w:ind w:firstLineChars="1437" w:firstLine="4024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 w:hint="eastAsia"/>
          <w:kern w:val="0"/>
          <w:sz w:val="28"/>
          <w:szCs w:val="20"/>
        </w:rPr>
        <w:t xml:space="preserve">                  </w:t>
      </w: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單位：千美元；％</w:t>
      </w:r>
    </w:p>
    <w:tbl>
      <w:tblPr>
        <w:tblW w:w="7934" w:type="dxa"/>
        <w:jc w:val="center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8"/>
        <w:gridCol w:w="992"/>
        <w:gridCol w:w="1261"/>
        <w:gridCol w:w="1483"/>
      </w:tblGrid>
      <w:tr w:rsidR="00A9317D" w:rsidRPr="00A914E0" w:rsidTr="00A9317D">
        <w:trPr>
          <w:jc w:val="center"/>
        </w:trPr>
        <w:tc>
          <w:tcPr>
            <w:tcW w:w="4198" w:type="dxa"/>
            <w:tcBorders>
              <w:left w:val="nil"/>
              <w:bottom w:val="single" w:sz="4" w:space="0" w:color="000000"/>
            </w:tcBorders>
          </w:tcPr>
          <w:p w:rsidR="00A9317D" w:rsidRPr="00A914E0" w:rsidRDefault="00A9317D" w:rsidP="00A9317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業      別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317D" w:rsidRPr="00A914E0" w:rsidRDefault="00A9317D" w:rsidP="00A9317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件數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483" w:type="dxa"/>
            <w:tcBorders>
              <w:bottom w:val="single" w:sz="4" w:space="0" w:color="000000"/>
              <w:right w:val="nil"/>
            </w:tcBorders>
            <w:vAlign w:val="center"/>
          </w:tcPr>
          <w:p w:rsidR="00A9317D" w:rsidRPr="00A914E0" w:rsidRDefault="00A9317D" w:rsidP="00A9317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比重</w:t>
            </w:r>
          </w:p>
        </w:tc>
      </w:tr>
      <w:tr w:rsidR="00A9317D" w:rsidRPr="00A914E0" w:rsidTr="00A9317D">
        <w:trPr>
          <w:jc w:val="center"/>
        </w:trPr>
        <w:tc>
          <w:tcPr>
            <w:tcW w:w="4198" w:type="dxa"/>
            <w:tcBorders>
              <w:left w:val="nil"/>
              <w:bottom w:val="single" w:sz="4" w:space="0" w:color="000000"/>
            </w:tcBorders>
          </w:tcPr>
          <w:p w:rsidR="00A9317D" w:rsidRPr="00A914E0" w:rsidRDefault="00A9317D" w:rsidP="00A9317D">
            <w:pPr>
              <w:widowControl/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317D" w:rsidRPr="00A914E0" w:rsidRDefault="00A9317D" w:rsidP="00A9317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619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:rsidR="00A9317D" w:rsidRPr="00A914E0" w:rsidRDefault="00A9317D" w:rsidP="000C37F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1,199,149</w:t>
            </w:r>
          </w:p>
        </w:tc>
        <w:tc>
          <w:tcPr>
            <w:tcW w:w="1483" w:type="dxa"/>
            <w:tcBorders>
              <w:bottom w:val="single" w:sz="4" w:space="0" w:color="000000"/>
              <w:right w:val="nil"/>
            </w:tcBorders>
          </w:tcPr>
          <w:p w:rsidR="00A9317D" w:rsidRPr="00A914E0" w:rsidRDefault="00A9317D" w:rsidP="00A9317D">
            <w:pPr>
              <w:jc w:val="right"/>
              <w:rPr>
                <w:sz w:val="22"/>
                <w:szCs w:val="22"/>
              </w:rPr>
            </w:pPr>
            <w:r w:rsidRPr="00A914E0">
              <w:rPr>
                <w:sz w:val="22"/>
                <w:szCs w:val="22"/>
              </w:rPr>
              <w:t>100.0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B80FF9" w:rsidRDefault="00A9317D" w:rsidP="00A9317D">
            <w:pPr>
              <w:spacing w:before="100" w:beforeAutospacing="1" w:after="100" w:afterAutospacing="1" w:line="36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1.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批發及零售業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289,784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24.2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2.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銀行業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201,441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16.8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3.</w:t>
            </w:r>
            <w:r w:rsidRPr="00B80FF9">
              <w:rPr>
                <w:rFonts w:ascii="微軟正黑體" w:eastAsia="微軟正黑體" w:hAnsi="微軟正黑體" w:hint="eastAsia"/>
                <w:color w:val="000000"/>
                <w:sz w:val="20"/>
              </w:rPr>
              <w:t>港埠業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139,108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11.6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4.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電子零組件製造業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126,248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10.5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5.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住宿服務業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74,233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6.2</w:t>
            </w:r>
          </w:p>
        </w:tc>
      </w:tr>
      <w:tr w:rsidR="00A9317D" w:rsidRPr="00A914E0" w:rsidTr="00A9317D">
        <w:trPr>
          <w:trHeight w:val="405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6.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金屬製品製造業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73,217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6.1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7.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電腦、電子產品及光學製品製造業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57,327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4.8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8.化學製品製造業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44,361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3.7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17D" w:rsidRPr="00A914E0" w:rsidRDefault="00A9317D" w:rsidP="00A9317D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9.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資訊軟體服務業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41,550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3.5</w:t>
            </w:r>
          </w:p>
        </w:tc>
      </w:tr>
      <w:tr w:rsidR="00A9317D" w:rsidRPr="00A914E0" w:rsidTr="00A9317D">
        <w:trPr>
          <w:trHeight w:val="96"/>
          <w:jc w:val="center"/>
        </w:trPr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17D" w:rsidRPr="00E36D81" w:rsidRDefault="00A9317D" w:rsidP="00A9317D">
            <w:pPr>
              <w:snapToGrid w:val="0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10.</w:t>
            </w:r>
            <w:r w:rsidRPr="00A914E0">
              <w:rPr>
                <w:rFonts w:ascii="微軟正黑體" w:eastAsia="微軟正黑體" w:hAnsi="微軟正黑體" w:hint="eastAsia"/>
                <w:color w:val="000000"/>
                <w:sz w:val="20"/>
              </w:rPr>
              <w:t>機械設備製造業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17D" w:rsidRPr="00BE5FB3" w:rsidRDefault="00A9317D" w:rsidP="000C37F2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28,440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317D" w:rsidRPr="00BE5FB3" w:rsidRDefault="00A9317D" w:rsidP="00A9317D">
            <w:pPr>
              <w:jc w:val="right"/>
              <w:rPr>
                <w:sz w:val="22"/>
                <w:szCs w:val="22"/>
              </w:rPr>
            </w:pPr>
            <w:r w:rsidRPr="00BE5FB3">
              <w:rPr>
                <w:rFonts w:hint="eastAsia"/>
                <w:sz w:val="22"/>
                <w:szCs w:val="22"/>
              </w:rPr>
              <w:t>2.4</w:t>
            </w:r>
          </w:p>
        </w:tc>
      </w:tr>
    </w:tbl>
    <w:p w:rsidR="00A9317D" w:rsidRPr="00A914E0" w:rsidRDefault="00A9317D" w:rsidP="00A9317D">
      <w:pPr>
        <w:widowControl/>
        <w:spacing w:line="100" w:lineRule="atLeast"/>
        <w:ind w:firstLineChars="142" w:firstLine="284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資料來源：經濟部投資審議委員會。</w:t>
      </w:r>
    </w:p>
    <w:p w:rsidR="00A9317D" w:rsidRPr="00A914E0" w:rsidRDefault="00A9317D" w:rsidP="005B4B7F">
      <w:pPr>
        <w:pStyle w:val="20"/>
        <w:spacing w:beforeLines="50" w:before="120" w:line="480" w:lineRule="exact"/>
        <w:rPr>
          <w:rFonts w:ascii="微軟正黑體" w:eastAsia="微軟正黑體" w:hAnsi="微軟正黑體"/>
          <w:b w:val="0"/>
          <w:kern w:val="0"/>
          <w:sz w:val="28"/>
          <w:szCs w:val="32"/>
        </w:rPr>
      </w:pPr>
      <w:r>
        <w:rPr>
          <w:rFonts w:ascii="微軟正黑體" w:eastAsia="微軟正黑體" w:hAnsi="微軟正黑體"/>
          <w:b w:val="0"/>
          <w:kern w:val="0"/>
          <w:sz w:val="28"/>
          <w:szCs w:val="32"/>
        </w:rPr>
        <w:br w:type="page"/>
      </w:r>
      <w:bookmarkStart w:id="3" w:name="_Toc413072666"/>
      <w:r w:rsidRPr="005B4B7F">
        <w:rPr>
          <w:rFonts w:ascii="微軟正黑體" w:eastAsia="微軟正黑體" w:hAnsi="微軟正黑體"/>
          <w:sz w:val="28"/>
          <w:szCs w:val="32"/>
        </w:rPr>
        <w:lastRenderedPageBreak/>
        <w:t>二、</w:t>
      </w:r>
      <w:r w:rsidRPr="005B4B7F">
        <w:rPr>
          <w:rFonts w:ascii="微軟正黑體" w:eastAsia="微軟正黑體" w:hAnsi="微軟正黑體" w:hint="eastAsia"/>
          <w:sz w:val="28"/>
          <w:szCs w:val="32"/>
        </w:rPr>
        <w:t>雙邊貿易</w:t>
      </w:r>
      <w:bookmarkEnd w:id="3"/>
    </w:p>
    <w:p w:rsidR="00A9317D" w:rsidRDefault="00A9317D" w:rsidP="00024032">
      <w:pPr>
        <w:widowControl/>
        <w:autoSpaceDE w:val="0"/>
        <w:snapToGrid w:val="0"/>
        <w:spacing w:beforeLines="25" w:before="60" w:line="46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9D03B9">
        <w:rPr>
          <w:rFonts w:ascii="微軟正黑體" w:eastAsia="微軟正黑體" w:hAnsi="微軟正黑體"/>
          <w:kern w:val="0"/>
          <w:sz w:val="28"/>
          <w:szCs w:val="32"/>
        </w:rPr>
        <w:t>據財政部海關資料顯示，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2014年第4季我對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大陸出口金額為206.7億美元，較上年同</w:t>
      </w:r>
      <w:r w:rsidR="005B4B7F">
        <w:rPr>
          <w:rFonts w:ascii="微軟正黑體" w:eastAsia="微軟正黑體" w:hAnsi="微軟正黑體" w:hint="eastAsia"/>
          <w:kern w:val="0"/>
          <w:sz w:val="28"/>
          <w:szCs w:val="32"/>
        </w:rPr>
        <w:t>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減少2.3%，累計全年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對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大陸出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口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金額為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821</w:t>
      </w:r>
      <w:r w:rsidRPr="009D03B9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>
        <w:rPr>
          <w:rFonts w:ascii="微軟正黑體" w:eastAsia="微軟正黑體" w:hAnsi="微軟正黑體"/>
          <w:kern w:val="0"/>
          <w:sz w:val="28"/>
          <w:szCs w:val="32"/>
        </w:rPr>
        <w:t>億美元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（占我出口總額26.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>
        <w:rPr>
          <w:rFonts w:ascii="微軟正黑體" w:eastAsia="微軟正黑體" w:hAnsi="微軟正黑體"/>
          <w:kern w:val="0"/>
          <w:sz w:val="28"/>
          <w:szCs w:val="32"/>
        </w:rPr>
        <w:t>，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較上年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微增0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。另第4季對香港之出口金額為113</w:t>
      </w:r>
      <w:r w:rsidR="005B4B7F">
        <w:rPr>
          <w:rFonts w:ascii="微軟正黑體" w:eastAsia="微軟正黑體" w:hAnsi="微軟正黑體" w:hint="eastAsia"/>
          <w:kern w:val="0"/>
          <w:sz w:val="28"/>
          <w:szCs w:val="32"/>
        </w:rPr>
        <w:t>億美元，較上年同季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成長3.6%，累計全年出口金額425.4億美元，增加7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9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%。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在進口方面，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201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9D03B9">
        <w:rPr>
          <w:rFonts w:ascii="微軟正黑體" w:eastAsia="微軟正黑體" w:hAnsi="微軟正黑體"/>
          <w:kern w:val="0"/>
          <w:sz w:val="28"/>
          <w:szCs w:val="32"/>
        </w:rPr>
        <w:t>年</w:t>
      </w:r>
      <w:r w:rsidRPr="00D86E3B">
        <w:rPr>
          <w:rFonts w:ascii="微軟正黑體" w:eastAsia="微軟正黑體" w:hAnsi="微軟正黑體" w:hint="eastAsia"/>
          <w:kern w:val="0"/>
          <w:sz w:val="28"/>
          <w:szCs w:val="32"/>
        </w:rPr>
        <w:t>累計</w:t>
      </w:r>
      <w:r w:rsidRPr="00D86E3B">
        <w:rPr>
          <w:rFonts w:ascii="微軟正黑體" w:eastAsia="微軟正黑體" w:hAnsi="微軟正黑體"/>
          <w:kern w:val="0"/>
          <w:sz w:val="28"/>
          <w:szCs w:val="32"/>
        </w:rPr>
        <w:t>自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D86E3B">
        <w:rPr>
          <w:rFonts w:ascii="微軟正黑體" w:eastAsia="微軟正黑體" w:hAnsi="微軟正黑體"/>
          <w:kern w:val="0"/>
          <w:sz w:val="28"/>
          <w:szCs w:val="32"/>
        </w:rPr>
        <w:t>大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陸進口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480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億美元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（占我進口總額1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7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，較上年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增加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12.8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%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r w:rsidRPr="00FB7B3F">
        <w:rPr>
          <w:rFonts w:ascii="微軟正黑體" w:eastAsia="微軟正黑體" w:hAnsi="微軟正黑體" w:hint="eastAsia"/>
          <w:kern w:val="0"/>
          <w:sz w:val="28"/>
          <w:szCs w:val="32"/>
        </w:rPr>
        <w:t>2014年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對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大陸貿易總額為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1,301.9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億美元，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占我整體對外貿易總額之比重達2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767BF6">
        <w:rPr>
          <w:rFonts w:ascii="微軟正黑體" w:eastAsia="微軟正黑體" w:hAnsi="微軟正黑體" w:hint="eastAsia"/>
          <w:kern w:val="0"/>
          <w:sz w:val="28"/>
          <w:szCs w:val="32"/>
        </w:rPr>
        <w:t>%，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出超為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341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億美元</w:t>
      </w:r>
      <w:r w:rsidR="00024032">
        <w:rPr>
          <w:rFonts w:ascii="微軟正黑體" w:eastAsia="微軟正黑體" w:hAnsi="微軟正黑體" w:hint="eastAsia"/>
          <w:kern w:val="0"/>
          <w:sz w:val="28"/>
          <w:szCs w:val="32"/>
        </w:rPr>
        <w:t>；</w:t>
      </w:r>
      <w:r w:rsidR="00495D81">
        <w:rPr>
          <w:rFonts w:ascii="微軟正黑體" w:eastAsia="微軟正黑體" w:hAnsi="微軟正黑體" w:hint="eastAsia"/>
          <w:kern w:val="0"/>
          <w:sz w:val="28"/>
          <w:szCs w:val="32"/>
        </w:rPr>
        <w:t>另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對香港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貿易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出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超為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408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億美元（表1-6）。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展望未來，</w:t>
      </w:r>
      <w:r w:rsidR="00644F18" w:rsidRPr="00644F18">
        <w:rPr>
          <w:rFonts w:ascii="微軟正黑體" w:eastAsia="微軟正黑體" w:hAnsi="微軟正黑體" w:hint="eastAsia"/>
          <w:kern w:val="0"/>
          <w:sz w:val="28"/>
          <w:szCs w:val="32"/>
        </w:rPr>
        <w:t>歐元區和日本</w:t>
      </w:r>
      <w:r w:rsidR="00644F18">
        <w:rPr>
          <w:rFonts w:ascii="微軟正黑體" w:eastAsia="微軟正黑體" w:hAnsi="微軟正黑體" w:hint="eastAsia"/>
          <w:kern w:val="0"/>
          <w:sz w:val="28"/>
          <w:szCs w:val="32"/>
        </w:rPr>
        <w:t>成長</w:t>
      </w:r>
      <w:r w:rsidR="00644F18" w:rsidRPr="00644F18">
        <w:rPr>
          <w:rFonts w:ascii="微軟正黑體" w:eastAsia="微軟正黑體" w:hAnsi="微軟正黑體" w:hint="eastAsia"/>
          <w:kern w:val="0"/>
          <w:sz w:val="28"/>
          <w:szCs w:val="32"/>
        </w:rPr>
        <w:t>乏力，將繼續成為</w:t>
      </w:r>
      <w:r w:rsidR="00644F18">
        <w:rPr>
          <w:rFonts w:ascii="微軟正黑體" w:eastAsia="微軟正黑體" w:hAnsi="微軟正黑體" w:hint="eastAsia"/>
          <w:kern w:val="0"/>
          <w:sz w:val="28"/>
          <w:szCs w:val="32"/>
        </w:rPr>
        <w:t>全</w:t>
      </w:r>
      <w:r w:rsidR="00644F18" w:rsidRPr="00644F18">
        <w:rPr>
          <w:rFonts w:ascii="微軟正黑體" w:eastAsia="微軟正黑體" w:hAnsi="微軟正黑體" w:hint="eastAsia"/>
          <w:kern w:val="0"/>
          <w:sz w:val="28"/>
          <w:szCs w:val="32"/>
        </w:rPr>
        <w:t>球經濟擴張的主要障礙， 並拖累全球貿易</w:t>
      </w:r>
      <w:r w:rsidRPr="00AA265F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="00644F18">
        <w:rPr>
          <w:rFonts w:ascii="微軟正黑體" w:eastAsia="微軟正黑體" w:hAnsi="微軟正黑體" w:hint="eastAsia"/>
          <w:kern w:val="0"/>
          <w:sz w:val="28"/>
          <w:szCs w:val="32"/>
        </w:rPr>
        <w:t>加上</w:t>
      </w:r>
      <w:r w:rsidRPr="00AA265F">
        <w:rPr>
          <w:rFonts w:ascii="微軟正黑體" w:eastAsia="微軟正黑體" w:hAnsi="微軟正黑體" w:hint="eastAsia"/>
          <w:kern w:val="0"/>
          <w:sz w:val="28"/>
          <w:szCs w:val="32"/>
        </w:rPr>
        <w:t>中國大陸經營成本上升，</w:t>
      </w:r>
      <w:r w:rsidR="00644F18">
        <w:rPr>
          <w:rFonts w:ascii="微軟正黑體" w:eastAsia="微軟正黑體" w:hAnsi="微軟正黑體" w:hint="eastAsia"/>
          <w:kern w:val="0"/>
          <w:sz w:val="28"/>
          <w:szCs w:val="32"/>
        </w:rPr>
        <w:t>及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AA265F">
        <w:rPr>
          <w:rFonts w:ascii="微軟正黑體" w:eastAsia="微軟正黑體" w:hAnsi="微軟正黑體" w:hint="eastAsia"/>
          <w:kern w:val="0"/>
          <w:sz w:val="28"/>
          <w:szCs w:val="32"/>
        </w:rPr>
        <w:t>大陸產業供應鏈逐步建立，進口替代能力提高等因素之下，臺灣對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AA265F">
        <w:rPr>
          <w:rFonts w:ascii="微軟正黑體" w:eastAsia="微軟正黑體" w:hAnsi="微軟正黑體" w:hint="eastAsia"/>
          <w:kern w:val="0"/>
          <w:sz w:val="28"/>
          <w:szCs w:val="32"/>
        </w:rPr>
        <w:t>大陸出口仍面臨相當挑戰。</w:t>
      </w:r>
    </w:p>
    <w:p w:rsidR="00A9317D" w:rsidRPr="00A914E0" w:rsidRDefault="00A9317D" w:rsidP="00A9317D">
      <w:pPr>
        <w:widowControl/>
        <w:autoSpaceDE w:val="0"/>
        <w:snapToGrid w:val="0"/>
        <w:spacing w:beforeLines="25" w:before="60" w:line="480" w:lineRule="exact"/>
        <w:ind w:leftChars="236" w:left="566" w:firstLineChars="200" w:firstLine="560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>表1-</w:t>
      </w:r>
      <w:r w:rsidRPr="00A914E0">
        <w:rPr>
          <w:rFonts w:ascii="微軟正黑體" w:eastAsia="微軟正黑體" w:hAnsi="微軟正黑體" w:hint="eastAsia"/>
          <w:b/>
          <w:kern w:val="0"/>
          <w:sz w:val="28"/>
          <w:szCs w:val="32"/>
        </w:rPr>
        <w:t>6</w:t>
      </w: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 xml:space="preserve"> 我國對中國大陸及香港貿易統計</w:t>
      </w:r>
    </w:p>
    <w:p w:rsidR="00A9317D" w:rsidRPr="00A914E0" w:rsidRDefault="00A9317D" w:rsidP="00A9317D">
      <w:pPr>
        <w:widowControl/>
        <w:snapToGrid w:val="0"/>
        <w:ind w:right="-890"/>
        <w:jc w:val="right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/>
          <w:kern w:val="0"/>
          <w:sz w:val="20"/>
          <w:szCs w:val="20"/>
        </w:rPr>
        <w:t>單位：百萬美元；%</w:t>
      </w:r>
    </w:p>
    <w:tbl>
      <w:tblPr>
        <w:tblW w:w="9725" w:type="dxa"/>
        <w:jc w:val="center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20"/>
        <w:gridCol w:w="739"/>
        <w:gridCol w:w="869"/>
        <w:gridCol w:w="679"/>
        <w:gridCol w:w="850"/>
        <w:gridCol w:w="904"/>
        <w:gridCol w:w="730"/>
        <w:gridCol w:w="851"/>
        <w:gridCol w:w="853"/>
        <w:gridCol w:w="770"/>
      </w:tblGrid>
      <w:tr w:rsidR="00A9317D" w:rsidRPr="00A914E0" w:rsidTr="00A9317D">
        <w:trPr>
          <w:trHeight w:val="33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季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中國大陸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香港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出口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進口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出（入）超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出口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進口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出（入）超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年增率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年增率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54,249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-18.9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24,423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-22.2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29,825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29,445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1,123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-24.8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28,323 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76,935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41.8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35,946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40,989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37,807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1,628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45.0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36,179 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83,965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43,607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40,358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40,088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1,676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3.0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38,413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80,729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-3.8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40,910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39,819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37,937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2,659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58.7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35,278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42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39,198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39,436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37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7,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777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第1季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19,681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10,183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9,498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8,831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8,335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第2季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20,764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2.5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10,539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10,224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9,799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-29.0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9,391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第3季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20,189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-2.2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10,719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9,469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9,904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-51.3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9,562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第4季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21,160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11,116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10,044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10,905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-52.8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10,468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642D8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82,146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0.4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48,043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34,102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42,542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1,685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40,857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642D81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第1季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19,006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-3.4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10,547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8,459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9,675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-26.9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9,313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642D81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21,302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12,498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8,804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10,762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10,331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21,175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12,720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8,456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10,810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17.5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10,408</w:t>
            </w:r>
          </w:p>
        </w:tc>
      </w:tr>
      <w:tr w:rsidR="00A9317D" w:rsidTr="00A9317D">
        <w:trPr>
          <w:trHeight w:val="33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20,667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-2.3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12,280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8,387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11,302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10,812</w:t>
            </w:r>
          </w:p>
        </w:tc>
      </w:tr>
    </w:tbl>
    <w:p w:rsidR="00A9317D" w:rsidRPr="00A914E0" w:rsidRDefault="00A9317D" w:rsidP="00A9317D">
      <w:pPr>
        <w:widowControl/>
        <w:spacing w:line="320" w:lineRule="exact"/>
        <w:ind w:leftChars="-236" w:left="-566"/>
        <w:rPr>
          <w:rFonts w:ascii="微軟正黑體" w:eastAsia="微軟正黑體" w:hAnsi="微軟正黑體"/>
          <w:kern w:val="0"/>
          <w:sz w:val="20"/>
          <w:szCs w:val="20"/>
        </w:rPr>
      </w:pPr>
      <w:proofErr w:type="gramStart"/>
      <w:r w:rsidRPr="00A914E0">
        <w:rPr>
          <w:rFonts w:ascii="微軟正黑體" w:eastAsia="微軟正黑體" w:hAnsi="微軟正黑體"/>
          <w:kern w:val="0"/>
          <w:sz w:val="20"/>
          <w:szCs w:val="20"/>
        </w:rPr>
        <w:t>註</w:t>
      </w:r>
      <w:proofErr w:type="gramEnd"/>
      <w:r w:rsidRPr="00A914E0">
        <w:rPr>
          <w:rFonts w:ascii="微軟正黑體" w:eastAsia="微軟正黑體" w:hAnsi="微軟正黑體"/>
          <w:kern w:val="0"/>
          <w:sz w:val="20"/>
          <w:szCs w:val="20"/>
        </w:rPr>
        <w:t>：年</w:t>
      </w:r>
      <w:proofErr w:type="gramStart"/>
      <w:r w:rsidRPr="00A914E0">
        <w:rPr>
          <w:rFonts w:ascii="微軟正黑體" w:eastAsia="微軟正黑體" w:hAnsi="微軟正黑體"/>
          <w:kern w:val="0"/>
          <w:sz w:val="20"/>
          <w:szCs w:val="20"/>
        </w:rPr>
        <w:t>增率係指</w:t>
      </w:r>
      <w:proofErr w:type="gramEnd"/>
      <w:r w:rsidRPr="00A914E0">
        <w:rPr>
          <w:rFonts w:ascii="微軟正黑體" w:eastAsia="微軟正黑體" w:hAnsi="微軟正黑體"/>
          <w:kern w:val="0"/>
          <w:sz w:val="20"/>
          <w:szCs w:val="20"/>
        </w:rPr>
        <w:t>較上年或上年同期增減比率。</w:t>
      </w:r>
    </w:p>
    <w:p w:rsidR="00A9317D" w:rsidRDefault="00A9317D" w:rsidP="00A9317D">
      <w:pPr>
        <w:widowControl/>
        <w:spacing w:line="320" w:lineRule="exact"/>
        <w:ind w:leftChars="-236" w:left="-140" w:hangingChars="213" w:hanging="426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/>
          <w:kern w:val="0"/>
          <w:sz w:val="20"/>
          <w:szCs w:val="20"/>
        </w:rPr>
        <w:t>資料來源</w:t>
      </w: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：</w:t>
      </w:r>
      <w:r w:rsidRPr="00A914E0">
        <w:rPr>
          <w:rFonts w:ascii="微軟正黑體" w:eastAsia="微軟正黑體" w:hAnsi="微軟正黑體"/>
          <w:kern w:val="0"/>
          <w:sz w:val="20"/>
          <w:szCs w:val="20"/>
        </w:rPr>
        <w:t>財政部海關。</w:t>
      </w:r>
    </w:p>
    <w:p w:rsidR="00A9317D" w:rsidRPr="00A914E0" w:rsidRDefault="00A9317D" w:rsidP="00273851">
      <w:pPr>
        <w:widowControl/>
        <w:numPr>
          <w:ilvl w:val="0"/>
          <w:numId w:val="6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A914E0">
        <w:rPr>
          <w:rFonts w:ascii="微軟正黑體" w:eastAsia="微軟正黑體" w:hAnsi="微軟正黑體" w:hint="eastAsia"/>
          <w:b/>
          <w:sz w:val="28"/>
          <w:szCs w:val="32"/>
        </w:rPr>
        <w:lastRenderedPageBreak/>
        <w:t>主要</w:t>
      </w:r>
      <w:r w:rsidRPr="00A914E0">
        <w:rPr>
          <w:rFonts w:ascii="微軟正黑體" w:eastAsia="微軟正黑體" w:hAnsi="微軟正黑體"/>
          <w:b/>
          <w:sz w:val="28"/>
          <w:szCs w:val="32"/>
        </w:rPr>
        <w:t>出口</w:t>
      </w:r>
      <w:r w:rsidRPr="00A914E0">
        <w:rPr>
          <w:rFonts w:ascii="微軟正黑體" w:eastAsia="微軟正黑體" w:hAnsi="微軟正黑體" w:hint="eastAsia"/>
          <w:b/>
          <w:sz w:val="28"/>
          <w:szCs w:val="32"/>
        </w:rPr>
        <w:t>產品</w:t>
      </w:r>
    </w:p>
    <w:p w:rsidR="00A9317D" w:rsidRPr="00A871EC" w:rsidRDefault="00A9317D" w:rsidP="00A871EC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851" w:hanging="284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F93DF5">
        <w:rPr>
          <w:rFonts w:ascii="微軟正黑體" w:eastAsia="微軟正黑體" w:hAnsi="微軟正黑體"/>
          <w:b/>
          <w:kern w:val="0"/>
          <w:sz w:val="28"/>
          <w:szCs w:val="32"/>
        </w:rPr>
        <w:t>201</w:t>
      </w: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4年</w:t>
      </w:r>
      <w:r w:rsidR="00680A3A"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第4季主</w:t>
      </w: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要出口</w:t>
      </w:r>
      <w:r w:rsidR="00680A3A"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產品</w:t>
      </w: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觀察：</w:t>
      </w:r>
      <w:r w:rsidRPr="00680A3A">
        <w:rPr>
          <w:rFonts w:ascii="微軟正黑體" w:eastAsia="微軟正黑體" w:hAnsi="微軟正黑體" w:hint="eastAsia"/>
          <w:kern w:val="0"/>
          <w:sz w:val="28"/>
          <w:szCs w:val="32"/>
        </w:rPr>
        <w:t>第3季</w:t>
      </w:r>
      <w:r w:rsidR="00BC1DAD" w:rsidRPr="00680A3A">
        <w:rPr>
          <w:rFonts w:ascii="微軟正黑體" w:eastAsia="微軟正黑體" w:hAnsi="微軟正黑體" w:hint="eastAsia"/>
          <w:kern w:val="0"/>
          <w:sz w:val="28"/>
          <w:szCs w:val="32"/>
        </w:rPr>
        <w:t>出現</w:t>
      </w:r>
      <w:r w:rsidRPr="00680A3A">
        <w:rPr>
          <w:rFonts w:ascii="微軟正黑體" w:eastAsia="微軟正黑體" w:hAnsi="微軟正黑體" w:hint="eastAsia"/>
          <w:kern w:val="0"/>
          <w:sz w:val="28"/>
          <w:szCs w:val="32"/>
        </w:rPr>
        <w:t>負成長之後，第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4季進一步擴大衰退有：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運輸設備、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化學品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塑橡膠製品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、電機產品、紡織品及光學器材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，分別負成長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38.7％、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19.5%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17.6%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、16.7％、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10.0</w:t>
      </w:r>
      <w:r w:rsidR="00A871EC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％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及2.5％；</w:t>
      </w:r>
      <w:proofErr w:type="gramStart"/>
      <w:r w:rsidR="00680A3A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此外，</w:t>
      </w:r>
      <w:proofErr w:type="gramEnd"/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礦產品、</w:t>
      </w:r>
      <w:r w:rsidR="00C87F81">
        <w:rPr>
          <w:rFonts w:ascii="微軟正黑體" w:eastAsia="微軟正黑體" w:hAnsi="微軟正黑體" w:hint="eastAsia"/>
          <w:kern w:val="0"/>
          <w:sz w:val="28"/>
          <w:szCs w:val="32"/>
        </w:rPr>
        <w:t>資通產品、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石料水泥</w:t>
      </w:r>
      <w:r w:rsidR="00680A3A"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則出現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成長幅度明顯減緩，分別由</w:t>
      </w:r>
      <w:r w:rsidR="00495D81">
        <w:rPr>
          <w:rFonts w:ascii="微軟正黑體" w:eastAsia="微軟正黑體" w:hAnsi="微軟正黑體" w:hint="eastAsia"/>
          <w:kern w:val="0"/>
          <w:sz w:val="28"/>
          <w:szCs w:val="32"/>
        </w:rPr>
        <w:t>第3季的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63.8%、</w:t>
      </w:r>
      <w:r w:rsidR="00C87F81">
        <w:rPr>
          <w:rFonts w:ascii="微軟正黑體" w:eastAsia="微軟正黑體" w:hAnsi="微軟正黑體" w:hint="eastAsia"/>
          <w:kern w:val="0"/>
          <w:sz w:val="28"/>
          <w:szCs w:val="32"/>
        </w:rPr>
        <w:t>37.4%、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24.0%減緩至26.6%、</w:t>
      </w:r>
      <w:r w:rsidR="00C87F81">
        <w:rPr>
          <w:rFonts w:ascii="微軟正黑體" w:eastAsia="微軟正黑體" w:hAnsi="微軟正黑體" w:hint="eastAsia"/>
          <w:kern w:val="0"/>
          <w:sz w:val="28"/>
          <w:szCs w:val="32"/>
        </w:rPr>
        <w:t>8.7%、</w:t>
      </w:r>
      <w:r w:rsidRPr="00A871EC">
        <w:rPr>
          <w:rFonts w:ascii="微軟正黑體" w:eastAsia="微軟正黑體" w:hAnsi="微軟正黑體" w:hint="eastAsia"/>
          <w:kern w:val="0"/>
          <w:sz w:val="28"/>
          <w:szCs w:val="32"/>
        </w:rPr>
        <w:t>0.8%。</w:t>
      </w:r>
      <w:r w:rsidRPr="00A871EC">
        <w:rPr>
          <w:rFonts w:ascii="微軟正黑體" w:eastAsia="微軟正黑體" w:hAnsi="微軟正黑體"/>
          <w:kern w:val="0"/>
          <w:sz w:val="28"/>
          <w:szCs w:val="32"/>
        </w:rPr>
        <w:t>（表1-7）</w:t>
      </w:r>
    </w:p>
    <w:p w:rsidR="00A9317D" w:rsidRPr="00A914E0" w:rsidRDefault="00A9317D" w:rsidP="00A871EC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851" w:hanging="284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F93DF5">
        <w:rPr>
          <w:rFonts w:ascii="微軟正黑體" w:eastAsia="微軟正黑體" w:hAnsi="微軟正黑體"/>
          <w:b/>
          <w:kern w:val="0"/>
          <w:sz w:val="28"/>
          <w:szCs w:val="32"/>
        </w:rPr>
        <w:t>201</w:t>
      </w: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4年主要出口產品來看</w:t>
      </w:r>
      <w:r w:rsidRPr="00F93DF5">
        <w:rPr>
          <w:rFonts w:ascii="微軟正黑體" w:eastAsia="微軟正黑體" w:hAnsi="微軟正黑體"/>
          <w:b/>
          <w:kern w:val="0"/>
          <w:sz w:val="28"/>
          <w:szCs w:val="32"/>
        </w:rPr>
        <w:t>：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在消費性電子產品需求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持續</w:t>
      </w:r>
      <w:proofErr w:type="gramStart"/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增溫下</w:t>
      </w:r>
      <w:proofErr w:type="gramEnd"/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帶動積體電路為主的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電子產品（占比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29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%）出口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金額為238.7億美元，居各出口產品之冠，較上年增加15.3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%；資通產品（占比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0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）在中國大陸紅色供應鏈的進口替代政策影響下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僅較上年成長5.0%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；光學器材（占比1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6.1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%）出口則因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大陸面板下游產能提升，轉為進口未裝配光學元件，</w:t>
      </w:r>
      <w:proofErr w:type="gramStart"/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致負成長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11.6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；電機產品亦負成長15.9％；</w:t>
      </w:r>
      <w:r w:rsidRPr="00AE479E">
        <w:rPr>
          <w:rFonts w:ascii="微軟正黑體" w:eastAsia="微軟正黑體" w:hAnsi="微軟正黑體" w:hint="eastAsia"/>
          <w:kern w:val="0"/>
          <w:sz w:val="28"/>
          <w:szCs w:val="32"/>
        </w:rPr>
        <w:t>另</w:t>
      </w:r>
      <w:r w:rsidR="00AE479E" w:rsidRPr="00AE479E">
        <w:rPr>
          <w:rFonts w:ascii="微軟正黑體" w:eastAsia="微軟正黑體" w:hAnsi="微軟正黑體" w:hint="eastAsia"/>
          <w:kern w:val="0"/>
          <w:sz w:val="28"/>
          <w:szCs w:val="32"/>
        </w:rPr>
        <w:t>受</w:t>
      </w:r>
      <w:r w:rsidRPr="00AE479E">
        <w:rPr>
          <w:rFonts w:ascii="微軟正黑體" w:eastAsia="微軟正黑體" w:hAnsi="微軟正黑體" w:hint="eastAsia"/>
          <w:kern w:val="0"/>
          <w:sz w:val="28"/>
          <w:szCs w:val="32"/>
        </w:rPr>
        <w:t>全球經濟復甦不明顯，影響廠商投資意願下，機械產品（占比7.0%）對</w:t>
      </w:r>
      <w:r w:rsidR="00A67E09" w:rsidRPr="00AE479E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AE479E">
        <w:rPr>
          <w:rFonts w:ascii="微軟正黑體" w:eastAsia="微軟正黑體" w:hAnsi="微軟正黑體" w:hint="eastAsia"/>
          <w:kern w:val="0"/>
          <w:sz w:val="28"/>
          <w:szCs w:val="32"/>
        </w:rPr>
        <w:t>大陸出口僅微幅成長1.2%。</w:t>
      </w:r>
      <w:r w:rsidRPr="000E3897">
        <w:rPr>
          <w:rFonts w:ascii="微軟正黑體" w:eastAsia="微軟正黑體" w:hAnsi="微軟正黑體"/>
          <w:kern w:val="0"/>
          <w:sz w:val="28"/>
          <w:szCs w:val="32"/>
        </w:rPr>
        <w:t>（表1-7）</w:t>
      </w:r>
    </w:p>
    <w:p w:rsidR="00A9317D" w:rsidRPr="00265B44" w:rsidRDefault="00A9317D" w:rsidP="00273851">
      <w:pPr>
        <w:widowControl/>
        <w:numPr>
          <w:ilvl w:val="0"/>
          <w:numId w:val="6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A914E0">
        <w:rPr>
          <w:rFonts w:ascii="微軟正黑體" w:eastAsia="微軟正黑體" w:hAnsi="微軟正黑體" w:hint="eastAsia"/>
          <w:b/>
          <w:sz w:val="28"/>
          <w:szCs w:val="32"/>
        </w:rPr>
        <w:t>主要</w:t>
      </w:r>
      <w:r w:rsidRPr="00A914E0">
        <w:rPr>
          <w:rFonts w:ascii="微軟正黑體" w:eastAsia="微軟正黑體" w:hAnsi="微軟正黑體"/>
          <w:b/>
          <w:sz w:val="28"/>
          <w:szCs w:val="32"/>
        </w:rPr>
        <w:t>進口</w:t>
      </w:r>
      <w:r w:rsidRPr="00A914E0">
        <w:rPr>
          <w:rFonts w:ascii="微軟正黑體" w:eastAsia="微軟正黑體" w:hAnsi="微軟正黑體" w:hint="eastAsia"/>
          <w:b/>
          <w:sz w:val="28"/>
          <w:szCs w:val="32"/>
        </w:rPr>
        <w:t>產品</w:t>
      </w:r>
    </w:p>
    <w:p w:rsidR="00A9317D" w:rsidRPr="00F93DF5" w:rsidRDefault="00A9317D" w:rsidP="00F93DF5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851" w:hanging="284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2014年</w:t>
      </w:r>
      <w:r w:rsidR="00AE479E"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第4季</w:t>
      </w: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主要進口產品觀察：</w:t>
      </w:r>
      <w:r w:rsidR="009F570B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資通產品（占比14.9%）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成長幅度最大，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較上年</w:t>
      </w:r>
      <w:r w:rsidR="009F570B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同期成長21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 w:rsidR="009F570B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7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％；基本金屬（占比11.</w:t>
      </w:r>
      <w:r w:rsidR="009F570B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 w:rsidR="009F570B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成長19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 w:rsidR="009F570B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％；電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子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產品（占比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22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較上年同期成長7.8％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，惟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較第3季減少7.7%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；光學器材（占比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2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7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%）衰退幅度減緩</w:t>
      </w:r>
      <w:r w:rsidR="00FF1BD3"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至負2.1%</w:t>
      </w:r>
      <w:r w:rsidRPr="00F93DF5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r w:rsidRPr="00F93DF5">
        <w:rPr>
          <w:rFonts w:ascii="微軟正黑體" w:eastAsia="微軟正黑體" w:hAnsi="微軟正黑體"/>
          <w:kern w:val="0"/>
          <w:sz w:val="28"/>
          <w:szCs w:val="32"/>
        </w:rPr>
        <w:t>（表1-8）</w:t>
      </w:r>
    </w:p>
    <w:p w:rsidR="00A9317D" w:rsidRPr="00BE73A2" w:rsidRDefault="00A9317D" w:rsidP="00A871EC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851" w:hanging="284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 w:rsidRPr="00F93DF5">
        <w:rPr>
          <w:rFonts w:ascii="微軟正黑體" w:eastAsia="微軟正黑體" w:hAnsi="微軟正黑體"/>
          <w:b/>
          <w:kern w:val="0"/>
          <w:sz w:val="28"/>
          <w:szCs w:val="32"/>
        </w:rPr>
        <w:t>201</w:t>
      </w:r>
      <w:r w:rsidRPr="00F93DF5">
        <w:rPr>
          <w:rFonts w:ascii="微軟正黑體" w:eastAsia="微軟正黑體" w:hAnsi="微軟正黑體" w:hint="eastAsia"/>
          <w:b/>
          <w:kern w:val="0"/>
          <w:sz w:val="28"/>
          <w:szCs w:val="32"/>
        </w:rPr>
        <w:t>4年主要進口產品來看：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成長幅度較大為基本金屬(占比11.8%)、電子產品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23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、塑膠製品(占比2.5%)、化學品(占比10.3%)，分別較上年成長28.6%、14.4%、14.4%、12.4%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僅部分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產品進口成長減緩，</w:t>
      </w:r>
      <w:proofErr w:type="gramStart"/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其中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礦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32"/>
        </w:rPr>
        <w:t>產品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較</w:t>
      </w:r>
      <w:r w:rsidR="005B4B7F">
        <w:rPr>
          <w:rFonts w:ascii="微軟正黑體" w:eastAsia="微軟正黑體" w:hAnsi="微軟正黑體" w:hint="eastAsia"/>
          <w:kern w:val="0"/>
          <w:sz w:val="28"/>
          <w:szCs w:val="32"/>
        </w:rPr>
        <w:t>上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年為負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成長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12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％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；光學器材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0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為負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成長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9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9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％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；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電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機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產品（占比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5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7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%）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為負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成長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8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3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％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等，顯示自</w:t>
      </w:r>
      <w:r w:rsidR="00A67E09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 w:rsidRPr="00A914E0">
        <w:rPr>
          <w:rFonts w:ascii="微軟正黑體" w:eastAsia="微軟正黑體" w:hAnsi="微軟正黑體" w:hint="eastAsia"/>
          <w:kern w:val="0"/>
          <w:sz w:val="28"/>
          <w:szCs w:val="32"/>
        </w:rPr>
        <w:t>大陸整體進口已漸改善。</w:t>
      </w:r>
      <w:r w:rsidRPr="00A914E0">
        <w:rPr>
          <w:rFonts w:ascii="微軟正黑體" w:eastAsia="微軟正黑體" w:hAnsi="微軟正黑體"/>
          <w:kern w:val="0"/>
          <w:sz w:val="28"/>
          <w:szCs w:val="32"/>
        </w:rPr>
        <w:t>（表1-8）</w:t>
      </w:r>
    </w:p>
    <w:p w:rsidR="00A9317D" w:rsidRPr="00A914E0" w:rsidRDefault="00A9317D" w:rsidP="00A9317D">
      <w:pPr>
        <w:pageBreakBefore/>
        <w:widowControl/>
        <w:spacing w:after="48" w:line="360" w:lineRule="exact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lastRenderedPageBreak/>
        <w:t>表1-</w:t>
      </w:r>
      <w:r w:rsidRPr="00A914E0">
        <w:rPr>
          <w:rFonts w:ascii="微軟正黑體" w:eastAsia="微軟正黑體" w:hAnsi="微軟正黑體" w:hint="eastAsia"/>
          <w:b/>
          <w:kern w:val="0"/>
          <w:sz w:val="28"/>
          <w:szCs w:val="32"/>
        </w:rPr>
        <w:t xml:space="preserve">7　</w:t>
      </w:r>
      <w:r w:rsidR="0059548A">
        <w:rPr>
          <w:rFonts w:ascii="微軟正黑體" w:eastAsia="微軟正黑體" w:hAnsi="微軟正黑體"/>
          <w:b/>
          <w:kern w:val="0"/>
          <w:sz w:val="28"/>
          <w:szCs w:val="32"/>
        </w:rPr>
        <w:t>臺</w:t>
      </w: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>灣對中國大陸主要出口貨品</w:t>
      </w:r>
    </w:p>
    <w:p w:rsidR="00A9317D" w:rsidRPr="00A914E0" w:rsidRDefault="00A9317D" w:rsidP="00A9317D">
      <w:pPr>
        <w:widowControl/>
        <w:spacing w:line="260" w:lineRule="exact"/>
        <w:ind w:rightChars="-142" w:right="-341"/>
        <w:jc w:val="right"/>
        <w:rPr>
          <w:rFonts w:ascii="微軟正黑體" w:eastAsia="微軟正黑體" w:hAnsi="微軟正黑體"/>
          <w:kern w:val="0"/>
          <w:sz w:val="20"/>
          <w:szCs w:val="22"/>
        </w:rPr>
      </w:pPr>
      <w:r w:rsidRPr="00A914E0">
        <w:rPr>
          <w:rFonts w:ascii="微軟正黑體" w:eastAsia="微軟正黑體" w:hAnsi="微軟正黑體"/>
          <w:kern w:val="0"/>
          <w:sz w:val="20"/>
          <w:szCs w:val="22"/>
        </w:rPr>
        <w:t>單位：百萬美元</w:t>
      </w:r>
      <w:r w:rsidRPr="00A914E0">
        <w:rPr>
          <w:rFonts w:ascii="微軟正黑體" w:eastAsia="微軟正黑體" w:hAnsi="微軟正黑體" w:hint="eastAsia"/>
          <w:kern w:val="0"/>
          <w:sz w:val="20"/>
          <w:szCs w:val="22"/>
        </w:rPr>
        <w:t>；</w:t>
      </w:r>
      <w:r w:rsidRPr="00A914E0">
        <w:rPr>
          <w:rFonts w:ascii="微軟正黑體" w:eastAsia="微軟正黑體" w:hAnsi="微軟正黑體"/>
          <w:kern w:val="0"/>
          <w:sz w:val="20"/>
          <w:szCs w:val="22"/>
        </w:rPr>
        <w:t>％</w:t>
      </w:r>
    </w:p>
    <w:tbl>
      <w:tblPr>
        <w:tblW w:w="9355" w:type="dxa"/>
        <w:jc w:val="center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2"/>
        <w:gridCol w:w="992"/>
        <w:gridCol w:w="993"/>
        <w:gridCol w:w="991"/>
        <w:gridCol w:w="992"/>
        <w:gridCol w:w="993"/>
      </w:tblGrid>
      <w:tr w:rsidR="00A9317D" w:rsidRPr="00A914E0" w:rsidTr="00A9317D">
        <w:trPr>
          <w:trHeight w:val="481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2"/>
              </w:rPr>
              <w:t>年  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總計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動物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植物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調製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食品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礦產品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化學品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proofErr w:type="gramStart"/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塑</w:t>
            </w:r>
            <w:proofErr w:type="gramEnd"/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橡膠製品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vanish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紡織品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9355" w:type="dxa"/>
            <w:gridSpan w:val="9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2"/>
              </w:rPr>
              <w:t>金額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80,729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1,000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10,743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8,541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2,530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277A1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81,790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firstLineChars="50" w:firstLine="110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firstLineChars="50" w:firstLine="110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firstLineChars="50" w:firstLine="110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firstLineChars="50" w:firstLine="110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925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10,990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firstLineChars="50" w:firstLine="110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9,008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2,52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</w:t>
            </w:r>
          </w:p>
        </w:tc>
      </w:tr>
      <w:tr w:rsidR="00A9317D" w:rsidRPr="00CC2E22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82</w:t>
            </w:r>
            <w:r w:rsidRPr="00CC2E2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1,204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</w:t>
            </w:r>
            <w:r w:rsidRPr="00CC2E2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</w:t>
            </w:r>
            <w:r w:rsidRPr="00CC2E2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CC2E22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CC2E22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359</w:t>
            </w:r>
          </w:p>
        </w:tc>
      </w:tr>
      <w:tr w:rsidR="00A9317D" w:rsidRPr="00477515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ind w:leftChars="-103" w:left="26" w:hangingChars="124" w:hanging="273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19,006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331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2,88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1,993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77515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552</w:t>
            </w:r>
          </w:p>
        </w:tc>
      </w:tr>
      <w:tr w:rsidR="00A9317D" w:rsidRPr="00477515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ind w:leftChars="-103" w:left="26" w:hangingChars="124" w:hanging="273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第2季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21,302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305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2,640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2,266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477515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639</w:t>
            </w:r>
          </w:p>
        </w:tc>
      </w:tr>
      <w:tr w:rsidR="00A9317D" w:rsidRPr="00477515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103" w:left="26" w:hangingChars="124" w:hanging="273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21,175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299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2,602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2,058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556</w:t>
            </w:r>
          </w:p>
        </w:tc>
      </w:tr>
      <w:tr w:rsidR="00A9317D" w:rsidRPr="00477515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103" w:left="26" w:hangingChars="124" w:hanging="273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20,667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2,242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2,053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612</w:t>
            </w:r>
          </w:p>
        </w:tc>
      </w:tr>
      <w:tr w:rsidR="00A9317D" w:rsidRPr="00A914E0" w:rsidTr="00A9317D">
        <w:trPr>
          <w:trHeight w:val="335"/>
          <w:jc w:val="center"/>
        </w:trPr>
        <w:tc>
          <w:tcPr>
            <w:tcW w:w="9355" w:type="dxa"/>
            <w:gridSpan w:val="9"/>
            <w:shd w:val="clear" w:color="auto" w:fill="auto"/>
            <w:noWrap/>
            <w:vAlign w:val="center"/>
          </w:tcPr>
          <w:p w:rsidR="00A9317D" w:rsidRP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317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年增率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-3.8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26.2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9.7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-10.7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-9.5</w:t>
            </w:r>
          </w:p>
        </w:tc>
      </w:tr>
      <w:tr w:rsidR="00A9317D" w:rsidRPr="00A914E0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277A1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1.3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19.4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54.8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-7.4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-0.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</w:t>
            </w:r>
          </w:p>
        </w:tc>
      </w:tr>
      <w:tr w:rsidR="00A9317D" w:rsidRPr="00803297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  <w:r w:rsidRPr="00C16D13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11.6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30</w:t>
            </w:r>
            <w:r w:rsidRPr="00C16D13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-5</w:t>
            </w:r>
            <w:r w:rsidRPr="00C16D13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16D13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</w:t>
            </w:r>
            <w:r w:rsidRPr="00C16D13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C16D13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-6</w:t>
            </w:r>
            <w:r w:rsidRPr="00C16D13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</w:t>
            </w:r>
          </w:p>
        </w:tc>
      </w:tr>
      <w:tr w:rsidR="00A9317D" w:rsidRPr="00803297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-3.4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15.4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03297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-5.6</w:t>
            </w:r>
          </w:p>
        </w:tc>
      </w:tr>
      <w:tr w:rsidR="00A9317D" w:rsidRPr="00803297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40.5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23.5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25.8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03297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-5.2</w:t>
            </w:r>
          </w:p>
        </w:tc>
      </w:tr>
      <w:tr w:rsidR="00A9317D" w:rsidRPr="00803297" w:rsidTr="00A9317D">
        <w:trPr>
          <w:trHeight w:val="33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17.5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23.8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11.6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63.8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-3.9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-8.7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-5.7</w:t>
            </w:r>
          </w:p>
        </w:tc>
      </w:tr>
      <w:tr w:rsidR="00A9317D" w:rsidRPr="00803297" w:rsidTr="002F74C8">
        <w:trPr>
          <w:trHeight w:val="58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-14.5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-5.0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26.6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-19.5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-17.6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-10.0</w:t>
            </w:r>
          </w:p>
        </w:tc>
      </w:tr>
    </w:tbl>
    <w:p w:rsidR="00A9317D" w:rsidRPr="00A914E0" w:rsidRDefault="00A9317D" w:rsidP="00A9317D">
      <w:pPr>
        <w:widowControl/>
        <w:snapToGrid w:val="0"/>
        <w:spacing w:line="160" w:lineRule="exact"/>
        <w:ind w:rightChars="14" w:right="34"/>
        <w:jc w:val="right"/>
        <w:rPr>
          <w:rFonts w:ascii="微軟正黑體" w:eastAsia="微軟正黑體" w:hAnsi="微軟正黑體"/>
          <w:kern w:val="0"/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992"/>
        <w:gridCol w:w="993"/>
        <w:gridCol w:w="993"/>
        <w:gridCol w:w="993"/>
        <w:gridCol w:w="992"/>
        <w:gridCol w:w="993"/>
        <w:gridCol w:w="993"/>
        <w:gridCol w:w="993"/>
      </w:tblGrid>
      <w:tr w:rsidR="00A9317D" w:rsidRPr="00A914E0" w:rsidTr="002F74C8">
        <w:trPr>
          <w:trHeight w:val="514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2"/>
              </w:rPr>
              <w:t>年  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石料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水泥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基本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金屬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電子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機械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電機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資通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運輸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設備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光學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器材</w:t>
            </w:r>
          </w:p>
        </w:tc>
      </w:tr>
      <w:tr w:rsidR="00A9317D" w:rsidRPr="00A914E0" w:rsidTr="00A9317D">
        <w:trPr>
          <w:trHeight w:val="330"/>
        </w:trPr>
        <w:tc>
          <w:tcPr>
            <w:tcW w:w="9357" w:type="dxa"/>
            <w:gridSpan w:val="9"/>
            <w:tcBorders>
              <w:left w:val="nil"/>
            </w:tcBorders>
            <w:shd w:val="clear" w:color="auto" w:fill="auto"/>
            <w:noWrap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金額</w:t>
            </w:r>
          </w:p>
        </w:tc>
      </w:tr>
      <w:tr w:rsidR="00A9317D" w:rsidRPr="00A914E0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1,137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5,156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19,668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5,822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3,447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2,042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16,045</w:t>
            </w:r>
          </w:p>
        </w:tc>
      </w:tr>
      <w:tr w:rsidR="00A9317D" w:rsidRPr="00A914E0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4,986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20,702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5,723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4,114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2,345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1,022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5666B6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666B6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14,846</w:t>
            </w:r>
          </w:p>
        </w:tc>
      </w:tr>
      <w:tr w:rsidR="00A9317D" w:rsidRPr="0081254E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1254E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1,012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5,017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23,874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5,791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3,461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2,463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13,118</w:t>
            </w:r>
          </w:p>
        </w:tc>
      </w:tr>
      <w:tr w:rsidR="00A9317D" w:rsidRPr="0081254E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</w:t>
            </w: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,2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788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06</w:t>
            </w:r>
            <w:r w:rsidRPr="0081254E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</w:t>
            </w:r>
          </w:p>
        </w:tc>
      </w:tr>
      <w:tr w:rsidR="00A9317D" w:rsidRPr="0081254E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6,160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1,552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81254E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3,309</w:t>
            </w:r>
          </w:p>
        </w:tc>
      </w:tr>
      <w:tr w:rsidR="00A9317D" w:rsidRPr="0081254E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1,299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6,208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1,462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3,541</w:t>
            </w:r>
          </w:p>
        </w:tc>
      </w:tr>
      <w:tr w:rsidR="00A9317D" w:rsidRPr="0081254E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1,318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6,212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1,598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3,198</w:t>
            </w:r>
          </w:p>
        </w:tc>
      </w:tr>
      <w:tr w:rsidR="00A9317D" w:rsidRPr="00A914E0" w:rsidTr="00A9317D">
        <w:trPr>
          <w:trHeight w:val="330"/>
        </w:trPr>
        <w:tc>
          <w:tcPr>
            <w:tcW w:w="9357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年增率</w:t>
            </w:r>
          </w:p>
        </w:tc>
      </w:tr>
      <w:tr w:rsidR="00A9317D" w:rsidRPr="00A914E0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18.8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-11.4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-5.2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-8.1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16.3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40.8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11.5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-2.7 </w:t>
            </w:r>
          </w:p>
        </w:tc>
      </w:tr>
      <w:tr w:rsidR="00A9317D" w:rsidRPr="00A914E0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-15.3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-1.7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B64AE8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64AE8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40.1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277A1D" w:rsidRDefault="00A9317D" w:rsidP="002F74C8">
            <w:pPr>
              <w:widowControl/>
              <w:adjustRightInd w:val="0"/>
              <w:snapToGrid w:val="0"/>
              <w:spacing w:line="320" w:lineRule="exact"/>
              <w:ind w:rightChars="14" w:right="34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-7.4</w:t>
            </w:r>
          </w:p>
        </w:tc>
      </w:tr>
      <w:tr w:rsidR="00A9317D" w:rsidRPr="00DB48FF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-15.9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-9.8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-11.6</w:t>
            </w:r>
          </w:p>
        </w:tc>
      </w:tr>
      <w:tr w:rsidR="00A9317D" w:rsidRPr="00DB48FF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-13</w:t>
            </w: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</w:t>
            </w: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16.0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-19.4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</w:t>
            </w: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</w:t>
            </w:r>
            <w:r w:rsidRPr="00DB48FF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.0</w:t>
            </w:r>
          </w:p>
        </w:tc>
      </w:tr>
      <w:tr w:rsidR="00A9317D" w:rsidRPr="00DB48FF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17.8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-18.6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-12.0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Pr="00DB48FF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-15.0</w:t>
            </w:r>
          </w:p>
        </w:tc>
      </w:tr>
      <w:tr w:rsidR="00A9317D" w:rsidRPr="00DB48FF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16.1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-8.7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37.4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-1.1</w:t>
            </w:r>
          </w:p>
        </w:tc>
      </w:tr>
      <w:tr w:rsidR="00A9317D" w:rsidRPr="00DB48FF" w:rsidTr="002F74C8">
        <w:trPr>
          <w:trHeight w:val="330"/>
        </w:trPr>
        <w:tc>
          <w:tcPr>
            <w:tcW w:w="141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2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11.7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-16.7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-38.7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-2.5</w:t>
            </w:r>
          </w:p>
        </w:tc>
      </w:tr>
    </w:tbl>
    <w:p w:rsidR="00A9317D" w:rsidRPr="00A914E0" w:rsidRDefault="00A9317D" w:rsidP="00A9317D">
      <w:pPr>
        <w:widowControl/>
        <w:spacing w:line="320" w:lineRule="exact"/>
        <w:ind w:leftChars="-177" w:left="1" w:hangingChars="213" w:hanging="426"/>
        <w:rPr>
          <w:rFonts w:ascii="微軟正黑體" w:eastAsia="微軟正黑體" w:hAnsi="微軟正黑體"/>
          <w:kern w:val="0"/>
          <w:sz w:val="20"/>
          <w:szCs w:val="20"/>
        </w:rPr>
      </w:pPr>
      <w:proofErr w:type="gramStart"/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註</w:t>
      </w:r>
      <w:proofErr w:type="gramEnd"/>
      <w:r w:rsidRPr="00A914E0">
        <w:rPr>
          <w:rFonts w:ascii="微軟正黑體" w:eastAsia="微軟正黑體" w:hAnsi="微軟正黑體"/>
          <w:kern w:val="0"/>
          <w:sz w:val="20"/>
          <w:szCs w:val="20"/>
        </w:rPr>
        <w:t>：年</w:t>
      </w:r>
      <w:proofErr w:type="gramStart"/>
      <w:r w:rsidRPr="00A914E0">
        <w:rPr>
          <w:rFonts w:ascii="微軟正黑體" w:eastAsia="微軟正黑體" w:hAnsi="微軟正黑體"/>
          <w:kern w:val="0"/>
          <w:sz w:val="20"/>
          <w:szCs w:val="20"/>
        </w:rPr>
        <w:t>增率係指</w:t>
      </w:r>
      <w:proofErr w:type="gramEnd"/>
      <w:r w:rsidRPr="00A914E0">
        <w:rPr>
          <w:rFonts w:ascii="微軟正黑體" w:eastAsia="微軟正黑體" w:hAnsi="微軟正黑體"/>
          <w:kern w:val="0"/>
          <w:sz w:val="20"/>
          <w:szCs w:val="20"/>
        </w:rPr>
        <w:t>較上年或上年同期增減比率。</w:t>
      </w:r>
    </w:p>
    <w:p w:rsidR="00A9317D" w:rsidRPr="00A914E0" w:rsidRDefault="00A9317D" w:rsidP="00A9317D">
      <w:pPr>
        <w:widowControl/>
        <w:spacing w:line="320" w:lineRule="exact"/>
        <w:ind w:leftChars="-177" w:left="1" w:hangingChars="213" w:hanging="426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A914E0">
        <w:rPr>
          <w:rFonts w:ascii="微軟正黑體" w:eastAsia="微軟正黑體" w:hAnsi="微軟正黑體"/>
          <w:kern w:val="0"/>
          <w:sz w:val="20"/>
          <w:szCs w:val="20"/>
        </w:rPr>
        <w:t>資料來源</w:t>
      </w: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：</w:t>
      </w:r>
      <w:r w:rsidRPr="00A914E0">
        <w:rPr>
          <w:rFonts w:ascii="微軟正黑體" w:eastAsia="微軟正黑體" w:hAnsi="微軟正黑體"/>
          <w:kern w:val="0"/>
          <w:sz w:val="20"/>
          <w:szCs w:val="20"/>
        </w:rPr>
        <w:t>財政部海關。</w:t>
      </w:r>
    </w:p>
    <w:p w:rsidR="00A9317D" w:rsidRPr="00A914E0" w:rsidRDefault="00A9317D" w:rsidP="00A9317D">
      <w:pPr>
        <w:pageBreakBefore/>
        <w:widowControl/>
        <w:spacing w:line="440" w:lineRule="exact"/>
        <w:ind w:left="-540" w:firstLine="538"/>
        <w:jc w:val="center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lastRenderedPageBreak/>
        <w:t>表1-</w:t>
      </w:r>
      <w:r w:rsidRPr="00A914E0">
        <w:rPr>
          <w:rFonts w:ascii="微軟正黑體" w:eastAsia="微軟正黑體" w:hAnsi="微軟正黑體" w:hint="eastAsia"/>
          <w:b/>
          <w:kern w:val="0"/>
          <w:sz w:val="28"/>
          <w:szCs w:val="32"/>
        </w:rPr>
        <w:t xml:space="preserve">8　</w:t>
      </w:r>
      <w:r w:rsidR="0059548A">
        <w:rPr>
          <w:rFonts w:ascii="微軟正黑體" w:eastAsia="微軟正黑體" w:hAnsi="微軟正黑體"/>
          <w:b/>
          <w:kern w:val="0"/>
          <w:sz w:val="28"/>
          <w:szCs w:val="32"/>
        </w:rPr>
        <w:t>臺</w:t>
      </w:r>
      <w:r w:rsidRPr="00A914E0">
        <w:rPr>
          <w:rFonts w:ascii="微軟正黑體" w:eastAsia="微軟正黑體" w:hAnsi="微軟正黑體"/>
          <w:b/>
          <w:kern w:val="0"/>
          <w:sz w:val="28"/>
          <w:szCs w:val="32"/>
        </w:rPr>
        <w:t>灣自中國大陸主要進口貨品</w:t>
      </w:r>
    </w:p>
    <w:p w:rsidR="00A9317D" w:rsidRPr="00A914E0" w:rsidRDefault="00A9317D" w:rsidP="00A9317D">
      <w:pPr>
        <w:widowControl/>
        <w:wordWrap w:val="0"/>
        <w:spacing w:line="240" w:lineRule="exact"/>
        <w:ind w:rightChars="-82" w:right="-197"/>
        <w:jc w:val="right"/>
        <w:rPr>
          <w:rFonts w:ascii="微軟正黑體" w:eastAsia="微軟正黑體" w:hAnsi="微軟正黑體"/>
          <w:kern w:val="0"/>
          <w:sz w:val="20"/>
          <w:szCs w:val="22"/>
        </w:rPr>
      </w:pPr>
      <w:r w:rsidRPr="00A914E0">
        <w:rPr>
          <w:rFonts w:ascii="微軟正黑體" w:eastAsia="微軟正黑體" w:hAnsi="微軟正黑體" w:hint="eastAsia"/>
          <w:kern w:val="0"/>
          <w:sz w:val="20"/>
          <w:szCs w:val="22"/>
        </w:rPr>
        <w:t xml:space="preserve">    </w:t>
      </w:r>
      <w:r w:rsidRPr="00A914E0">
        <w:rPr>
          <w:rFonts w:ascii="微軟正黑體" w:eastAsia="微軟正黑體" w:hAnsi="微軟正黑體"/>
          <w:kern w:val="0"/>
          <w:sz w:val="20"/>
          <w:szCs w:val="22"/>
        </w:rPr>
        <w:t>單位：百萬美元</w:t>
      </w:r>
      <w:r w:rsidRPr="00A914E0">
        <w:rPr>
          <w:rFonts w:ascii="微軟正黑體" w:eastAsia="微軟正黑體" w:hAnsi="微軟正黑體" w:hint="eastAsia"/>
          <w:kern w:val="0"/>
          <w:sz w:val="20"/>
          <w:szCs w:val="22"/>
        </w:rPr>
        <w:t>；</w:t>
      </w:r>
      <w:r w:rsidRPr="00A914E0">
        <w:rPr>
          <w:rFonts w:ascii="微軟正黑體" w:eastAsia="微軟正黑體" w:hAnsi="微軟正黑體"/>
          <w:kern w:val="0"/>
          <w:sz w:val="20"/>
          <w:szCs w:val="22"/>
        </w:rPr>
        <w:t>％</w:t>
      </w:r>
    </w:p>
    <w:tbl>
      <w:tblPr>
        <w:tblW w:w="9291" w:type="dxa"/>
        <w:jc w:val="center"/>
        <w:tblInd w:w="-5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988"/>
        <w:gridCol w:w="988"/>
        <w:gridCol w:w="988"/>
        <w:gridCol w:w="987"/>
        <w:gridCol w:w="987"/>
        <w:gridCol w:w="987"/>
        <w:gridCol w:w="987"/>
        <w:gridCol w:w="987"/>
        <w:gridCol w:w="6"/>
      </w:tblGrid>
      <w:tr w:rsidR="00A9317D" w:rsidRPr="00A914E0" w:rsidTr="002F74C8">
        <w:trPr>
          <w:trHeight w:val="581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2"/>
              </w:rPr>
              <w:t>年  季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總計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植物產品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調製食品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礦產品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化學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塑膠製品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木材製品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紡織品</w:t>
            </w:r>
          </w:p>
        </w:tc>
      </w:tr>
      <w:tr w:rsidR="00A9317D" w:rsidRPr="00A914E0" w:rsidTr="002F74C8">
        <w:trPr>
          <w:gridAfter w:val="1"/>
          <w:wAfter w:w="6" w:type="dxa"/>
          <w:trHeight w:val="330"/>
          <w:jc w:val="center"/>
        </w:trPr>
        <w:tc>
          <w:tcPr>
            <w:tcW w:w="9285" w:type="dxa"/>
            <w:gridSpan w:val="9"/>
            <w:shd w:val="clear" w:color="auto" w:fill="auto"/>
            <w:noWrap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2"/>
              </w:rPr>
              <w:t>金額</w:t>
            </w:r>
          </w:p>
        </w:tc>
      </w:tr>
      <w:tr w:rsidR="00A9317D" w:rsidRPr="00A914E0" w:rsidTr="002F74C8">
        <w:trPr>
          <w:gridAfter w:val="1"/>
          <w:wAfter w:w="6" w:type="dxa"/>
          <w:trHeight w:val="309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40,910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243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168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808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4,164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1,027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181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1,194</w:t>
            </w:r>
          </w:p>
        </w:tc>
      </w:tr>
      <w:tr w:rsidR="00A9317D" w:rsidRPr="00A914E0" w:rsidTr="002F74C8">
        <w:trPr>
          <w:gridAfter w:val="1"/>
          <w:wAfter w:w="6" w:type="dxa"/>
          <w:trHeight w:val="309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277A1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42,591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825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4,437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1,054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E63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E63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1,332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48,043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715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4,968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1,186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1,469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10,547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1,251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309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12,498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1,325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308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313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12,720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1,225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322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415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12,280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1,167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297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432</w:t>
            </w:r>
          </w:p>
        </w:tc>
      </w:tr>
      <w:tr w:rsidR="00A9317D" w:rsidRPr="00A914E0" w:rsidTr="002F74C8">
        <w:trPr>
          <w:gridAfter w:val="1"/>
          <w:wAfter w:w="6" w:type="dxa"/>
          <w:trHeight w:val="265"/>
          <w:jc w:val="center"/>
        </w:trPr>
        <w:tc>
          <w:tcPr>
            <w:tcW w:w="9285" w:type="dxa"/>
            <w:gridSpan w:val="9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2"/>
              </w:rPr>
              <w:t>年增率</w:t>
            </w:r>
          </w:p>
        </w:tc>
      </w:tr>
      <w:tr w:rsidR="00A9317D" w:rsidRPr="00A914E0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-6.2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-3.5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-3.2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-29.5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-14.4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7.9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-4.3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3.9 </w:t>
            </w:r>
          </w:p>
        </w:tc>
      </w:tr>
      <w:tr w:rsidR="00A9317D" w:rsidRPr="00A914E0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277A1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-2.5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1.6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-3.5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6.0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2.0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14.6 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6.4 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-12.8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14.4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12.3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3.6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3.4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19.6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7.6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19.3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4D08E9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12.5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18.2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1.4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0.3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-32.8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15.3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18.3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18.9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Pr="004D08E9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14.8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18.7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6.7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16.2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9.9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15.0</w:t>
            </w:r>
          </w:p>
        </w:tc>
      </w:tr>
      <w:tr w:rsidR="00A9317D" w:rsidRPr="004D08E9" w:rsidTr="002F74C8">
        <w:trPr>
          <w:gridAfter w:val="1"/>
          <w:wAfter w:w="6" w:type="dxa"/>
          <w:trHeight w:val="330"/>
          <w:jc w:val="center"/>
        </w:trPr>
        <w:tc>
          <w:tcPr>
            <w:tcW w:w="1386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10.5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20.6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-42.6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-16.9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7.9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14.2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6.9</w:t>
            </w:r>
          </w:p>
        </w:tc>
      </w:tr>
    </w:tbl>
    <w:p w:rsidR="00A9317D" w:rsidRPr="002F74C8" w:rsidRDefault="00A9317D" w:rsidP="002F74C8">
      <w:pPr>
        <w:widowControl/>
        <w:snapToGrid w:val="0"/>
        <w:spacing w:line="160" w:lineRule="exact"/>
        <w:ind w:rightChars="14" w:right="34"/>
        <w:jc w:val="right"/>
        <w:rPr>
          <w:rFonts w:ascii="微軟正黑體" w:eastAsia="微軟正黑體" w:hAnsi="微軟正黑體"/>
          <w:kern w:val="0"/>
          <w:sz w:val="22"/>
          <w:szCs w:val="22"/>
        </w:rPr>
      </w:pPr>
    </w:p>
    <w:tbl>
      <w:tblPr>
        <w:tblW w:w="9227" w:type="dxa"/>
        <w:jc w:val="center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A9317D" w:rsidRPr="00A914E0" w:rsidTr="002F74C8">
        <w:trPr>
          <w:trHeight w:val="675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0"/>
                <w:szCs w:val="22"/>
              </w:rPr>
              <w:t>年  季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珍珠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寶石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基本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金屬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電子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機械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電機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資通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產品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運輸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設備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光學</w:t>
            </w:r>
          </w:p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器材</w:t>
            </w:r>
          </w:p>
        </w:tc>
      </w:tr>
      <w:tr w:rsidR="00A9317D" w:rsidRPr="00A914E0" w:rsidTr="002F74C8">
        <w:trPr>
          <w:trHeight w:val="213"/>
          <w:jc w:val="center"/>
        </w:trPr>
        <w:tc>
          <w:tcPr>
            <w:tcW w:w="9227" w:type="dxa"/>
            <w:gridSpan w:val="9"/>
            <w:shd w:val="clear" w:color="auto" w:fill="auto"/>
            <w:noWrap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2"/>
              </w:rPr>
              <w:t>金額</w:t>
            </w:r>
          </w:p>
        </w:tc>
      </w:tr>
      <w:tr w:rsidR="00A9317D" w:rsidRPr="00A914E0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1,420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3,624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9,403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2,271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3,360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4,919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914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1,541</w:t>
            </w:r>
          </w:p>
        </w:tc>
      </w:tr>
      <w:tr w:rsidR="00A9317D" w:rsidRPr="00A914E0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1,704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4,528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9,872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2,578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3,002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5,259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990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1,632</w:t>
            </w:r>
          </w:p>
        </w:tc>
      </w:tr>
      <w:tr w:rsidR="00A9317D" w:rsidRPr="00062BBC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882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5,680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3B3BAB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3B3BAB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11,090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2,830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2,740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5,602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1,067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1,451</w:t>
            </w:r>
          </w:p>
        </w:tc>
      </w:tr>
      <w:tr w:rsidR="00A9317D" w:rsidRPr="00062BBC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1,232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2,394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637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610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1,169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062BB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307</w:t>
            </w:r>
          </w:p>
        </w:tc>
      </w:tr>
      <w:tr w:rsidR="00A9317D" w:rsidRPr="00062BBC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1,563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2,943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709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728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1,238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267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062BB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454</w:t>
            </w:r>
          </w:p>
        </w:tc>
      </w:tr>
      <w:tr w:rsidR="00A9317D" w:rsidRPr="00062BBC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1,509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2,991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744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705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1,363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283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358</w:t>
            </w:r>
          </w:p>
        </w:tc>
      </w:tr>
      <w:tr w:rsidR="00A9317D" w:rsidRPr="00062BBC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1,376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2,762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740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697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1,832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332</w:t>
            </w:r>
          </w:p>
        </w:tc>
      </w:tr>
      <w:tr w:rsidR="00A9317D" w:rsidRPr="00A914E0" w:rsidTr="002F74C8">
        <w:trPr>
          <w:trHeight w:val="330"/>
          <w:jc w:val="center"/>
        </w:trPr>
        <w:tc>
          <w:tcPr>
            <w:tcW w:w="9227" w:type="dxa"/>
            <w:gridSpan w:val="9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0"/>
                <w:szCs w:val="22"/>
              </w:rPr>
              <w:t>年增率</w:t>
            </w:r>
          </w:p>
        </w:tc>
      </w:tr>
      <w:tr w:rsidR="00A9317D" w:rsidRPr="00A914E0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A914E0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-22.5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-18.3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-0.4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-5.0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-5.7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 0.1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13.2 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914E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-25.7 </w:t>
            </w:r>
          </w:p>
        </w:tc>
      </w:tr>
      <w:tr w:rsidR="00A9317D" w:rsidRPr="00A914E0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A914E0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-43.6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18.6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2.9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11.4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-11.3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6.6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8.1 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956C3C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956C3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4.7 </w:t>
            </w:r>
          </w:p>
        </w:tc>
      </w:tr>
      <w:tr w:rsidR="00A9317D" w:rsidRPr="006D5DAD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201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28.6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14.4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11.9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-8.3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6.7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8.2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-9.9</w:t>
            </w:r>
          </w:p>
        </w:tc>
      </w:tr>
      <w:tr w:rsidR="00A9317D" w:rsidRPr="006D5DAD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第1季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-24.6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13.5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3.2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22.1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-27.7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-11.4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17.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6D5DA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-21.3</w:t>
            </w:r>
          </w:p>
        </w:tc>
      </w:tr>
      <w:tr w:rsidR="00A9317D" w:rsidRPr="006D5DAD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59.6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36.2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20.7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8.7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-7.9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16.4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Pr="006D5DA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-2.9</w:t>
            </w:r>
          </w:p>
        </w:tc>
      </w:tr>
      <w:tr w:rsidR="00A9317D" w:rsidRPr="006D5DAD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85.2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43.3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23.2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14.1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2.7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4.9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7.4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-13.7</w:t>
            </w:r>
          </w:p>
        </w:tc>
      </w:tr>
      <w:tr w:rsidR="00A9317D" w:rsidRPr="006D5DAD" w:rsidTr="002F74C8">
        <w:trPr>
          <w:trHeight w:val="330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A9317D" w:rsidRPr="00B02DFC" w:rsidRDefault="00A9317D" w:rsidP="002F74C8">
            <w:pPr>
              <w:widowControl/>
              <w:adjustRightInd w:val="0"/>
              <w:snapToGrid w:val="0"/>
              <w:spacing w:line="300" w:lineRule="exact"/>
              <w:ind w:leftChars="-45" w:left="-108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</w:t>
            </w:r>
            <w:r w:rsidRPr="00B02DFC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季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-67.5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19.5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7.8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3.6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4.2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21.7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-4.5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A9317D" w:rsidRDefault="00A9317D" w:rsidP="002F74C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-2.1</w:t>
            </w:r>
          </w:p>
        </w:tc>
      </w:tr>
    </w:tbl>
    <w:p w:rsidR="00A9317D" w:rsidRPr="00A914E0" w:rsidRDefault="00A9317D" w:rsidP="00A9317D">
      <w:pPr>
        <w:widowControl/>
        <w:spacing w:line="360" w:lineRule="exact"/>
        <w:ind w:leftChars="-177" w:left="1" w:hangingChars="213" w:hanging="426"/>
        <w:rPr>
          <w:rFonts w:ascii="微軟正黑體" w:eastAsia="微軟正黑體" w:hAnsi="微軟正黑體"/>
          <w:kern w:val="0"/>
          <w:sz w:val="20"/>
          <w:szCs w:val="20"/>
        </w:rPr>
      </w:pPr>
      <w:proofErr w:type="gramStart"/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註</w:t>
      </w:r>
      <w:proofErr w:type="gramEnd"/>
      <w:r w:rsidRPr="00A914E0">
        <w:rPr>
          <w:rFonts w:ascii="微軟正黑體" w:eastAsia="微軟正黑體" w:hAnsi="微軟正黑體"/>
          <w:kern w:val="0"/>
          <w:sz w:val="20"/>
          <w:szCs w:val="20"/>
        </w:rPr>
        <w:t>：年</w:t>
      </w:r>
      <w:proofErr w:type="gramStart"/>
      <w:r w:rsidRPr="00A914E0">
        <w:rPr>
          <w:rFonts w:ascii="微軟正黑體" w:eastAsia="微軟正黑體" w:hAnsi="微軟正黑體"/>
          <w:kern w:val="0"/>
          <w:sz w:val="20"/>
          <w:szCs w:val="20"/>
        </w:rPr>
        <w:t>增率係指</w:t>
      </w:r>
      <w:proofErr w:type="gramEnd"/>
      <w:r w:rsidRPr="00A914E0">
        <w:rPr>
          <w:rFonts w:ascii="微軟正黑體" w:eastAsia="微軟正黑體" w:hAnsi="微軟正黑體"/>
          <w:kern w:val="0"/>
          <w:sz w:val="20"/>
          <w:szCs w:val="20"/>
        </w:rPr>
        <w:t>較上年或上年同期增減比率。</w:t>
      </w:r>
    </w:p>
    <w:p w:rsidR="00A9317D" w:rsidRPr="00A469AA" w:rsidRDefault="00A9317D" w:rsidP="00A9317D">
      <w:pPr>
        <w:widowControl/>
        <w:spacing w:line="360" w:lineRule="exact"/>
        <w:ind w:leftChars="-177" w:left="1" w:hangingChars="213" w:hanging="426"/>
        <w:rPr>
          <w:rFonts w:ascii="微軟正黑體" w:eastAsia="微軟正黑體" w:hAnsi="微軟正黑體"/>
          <w:kern w:val="0"/>
          <w:sz w:val="20"/>
          <w:szCs w:val="20"/>
        </w:rPr>
      </w:pPr>
      <w:r w:rsidRPr="00A914E0">
        <w:rPr>
          <w:rFonts w:ascii="微軟正黑體" w:eastAsia="微軟正黑體" w:hAnsi="微軟正黑體"/>
          <w:kern w:val="0"/>
          <w:sz w:val="20"/>
          <w:szCs w:val="20"/>
        </w:rPr>
        <w:t>資料來源</w:t>
      </w:r>
      <w:r w:rsidRPr="00A914E0">
        <w:rPr>
          <w:rFonts w:ascii="微軟正黑體" w:eastAsia="微軟正黑體" w:hAnsi="微軟正黑體" w:hint="eastAsia"/>
          <w:kern w:val="0"/>
          <w:sz w:val="20"/>
          <w:szCs w:val="20"/>
        </w:rPr>
        <w:t>：</w:t>
      </w:r>
      <w:r w:rsidRPr="00A914E0">
        <w:rPr>
          <w:rFonts w:ascii="微軟正黑體" w:eastAsia="微軟正黑體" w:hAnsi="微軟正黑體"/>
          <w:kern w:val="0"/>
          <w:sz w:val="20"/>
          <w:szCs w:val="20"/>
        </w:rPr>
        <w:t>財政部海關。</w:t>
      </w:r>
    </w:p>
    <w:p w:rsidR="00D745B1" w:rsidRPr="00161792" w:rsidRDefault="006D7283" w:rsidP="00552C93">
      <w:pPr>
        <w:pStyle w:val="11"/>
        <w:spacing w:before="120" w:after="0" w:line="520" w:lineRule="exact"/>
        <w:jc w:val="center"/>
        <w:rPr>
          <w:rFonts w:ascii="微軟正黑體" w:eastAsia="微軟正黑體" w:hAnsi="微軟正黑體"/>
          <w:sz w:val="40"/>
          <w:szCs w:val="40"/>
        </w:rPr>
      </w:pPr>
      <w:bookmarkStart w:id="4" w:name="_Toc413072667"/>
      <w:r w:rsidRPr="00161792">
        <w:rPr>
          <w:rFonts w:ascii="微軟正黑體" w:eastAsia="微軟正黑體" w:hAnsi="微軟正黑體" w:hint="eastAsia"/>
          <w:kern w:val="0"/>
          <w:sz w:val="40"/>
          <w:szCs w:val="36"/>
        </w:rPr>
        <w:lastRenderedPageBreak/>
        <w:t>貳、</w:t>
      </w:r>
      <w:r w:rsidR="00BE6134">
        <w:rPr>
          <w:rFonts w:ascii="微軟正黑體" w:eastAsia="微軟正黑體" w:hAnsi="微軟正黑體" w:hint="eastAsia"/>
          <w:kern w:val="0"/>
          <w:sz w:val="40"/>
          <w:szCs w:val="36"/>
        </w:rPr>
        <w:t>中國</w:t>
      </w:r>
      <w:r w:rsidRPr="00161792">
        <w:rPr>
          <w:rFonts w:ascii="微軟正黑體" w:eastAsia="微軟正黑體" w:hAnsi="微軟正黑體" w:hint="eastAsia"/>
          <w:kern w:val="0"/>
          <w:sz w:val="40"/>
          <w:szCs w:val="36"/>
        </w:rPr>
        <w:t>大陸經濟情勢</w:t>
      </w:r>
      <w:bookmarkEnd w:id="4"/>
    </w:p>
    <w:p w:rsidR="002F74C8" w:rsidRPr="009713E8" w:rsidRDefault="002F74C8" w:rsidP="002F74C8">
      <w:pPr>
        <w:widowControl/>
        <w:snapToGrid w:val="0"/>
        <w:spacing w:beforeLines="50" w:before="120" w:line="480" w:lineRule="exact"/>
        <w:ind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bookmarkStart w:id="5" w:name="_Toc393355119"/>
      <w:r>
        <w:rPr>
          <w:rFonts w:ascii="微軟正黑體" w:eastAsia="微軟正黑體" w:hAnsi="微軟正黑體" w:hint="eastAsia"/>
          <w:kern w:val="0"/>
          <w:sz w:val="28"/>
          <w:szCs w:val="32"/>
        </w:rPr>
        <w:t>2014年中國大陸經濟成長率為7.4%，較2013年的7.7%下降0.3個百分點，是1990年以來最低的一年，雖然中國大陸政府</w:t>
      </w:r>
      <w:r w:rsidRPr="007664B6">
        <w:rPr>
          <w:rFonts w:ascii="微軟正黑體" w:eastAsia="微軟正黑體" w:hAnsi="微軟正黑體" w:hint="eastAsia"/>
          <w:kern w:val="0"/>
          <w:sz w:val="28"/>
          <w:szCs w:val="32"/>
        </w:rPr>
        <w:t>陸續推出一系列微刺激措施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，並調降存、貸款基準利率以刺激景氣，但從2014年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投資、消費、出口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等三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大需求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成長力道，以及各季經濟成長率看來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，顯示中國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大陸</w:t>
      </w:r>
      <w:proofErr w:type="gramStart"/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內需</w:t>
      </w:r>
      <w:r w:rsidR="00495D81">
        <w:rPr>
          <w:rFonts w:ascii="微軟正黑體" w:eastAsia="微軟正黑體" w:hAnsi="微軟正黑體" w:hint="eastAsia"/>
          <w:kern w:val="0"/>
          <w:sz w:val="28"/>
          <w:szCs w:val="32"/>
        </w:rPr>
        <w:t>仍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乏力</w:t>
      </w:r>
      <w:proofErr w:type="gramEnd"/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，產能過剩並未根本緩解，通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貨緊縮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陰影揮之不去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，房地產疲弱影響仍大，致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經濟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走緩明顯</w:t>
      </w:r>
      <w:r w:rsidRPr="009713E8"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</w:p>
    <w:p w:rsidR="002F74C8" w:rsidRDefault="002F74C8" w:rsidP="002F74C8">
      <w:pPr>
        <w:widowControl/>
        <w:snapToGrid w:val="0"/>
        <w:spacing w:beforeLines="50" w:before="120" w:line="480" w:lineRule="exact"/>
        <w:ind w:firstLineChars="200" w:firstLine="560"/>
        <w:jc w:val="both"/>
        <w:rPr>
          <w:rFonts w:ascii="微軟正黑體" w:eastAsia="微軟正黑體" w:hAnsi="微軟正黑體"/>
          <w:kern w:val="0"/>
          <w:sz w:val="28"/>
          <w:szCs w:val="32"/>
        </w:rPr>
      </w:pPr>
      <w:r>
        <w:rPr>
          <w:rFonts w:ascii="微軟正黑體" w:eastAsia="微軟正黑體" w:hAnsi="微軟正黑體" w:hint="eastAsia"/>
          <w:kern w:val="0"/>
          <w:sz w:val="28"/>
          <w:szCs w:val="32"/>
        </w:rPr>
        <w:t>中國大陸宣稱，2014年是深化改革第一年，是經濟「新常態」成為共識的一年，因此，未來經濟</w:t>
      </w:r>
      <w:r w:rsidRPr="00654F0C">
        <w:rPr>
          <w:rFonts w:ascii="微軟正黑體" w:eastAsia="微軟正黑體" w:hAnsi="微軟正黑體" w:hint="eastAsia"/>
          <w:kern w:val="0"/>
          <w:sz w:val="28"/>
          <w:szCs w:val="32"/>
        </w:rPr>
        <w:t>成長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將由以往高速成長轉為中高速成長，惟隨著經濟成長下滑，地方政府債務還本壓力增大，金融市場風險恐隨之上升。對此，</w:t>
      </w:r>
      <w:r w:rsidRPr="006B44AF">
        <w:rPr>
          <w:rFonts w:ascii="微軟正黑體" w:eastAsia="微軟正黑體" w:hAnsi="微軟正黑體" w:hint="eastAsia"/>
          <w:kern w:val="0"/>
          <w:sz w:val="28"/>
          <w:szCs w:val="32"/>
        </w:rPr>
        <w:t>國際貨幣基金組織（IMF）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及世界銀行近來分別下調中國大陸2015年經濟成長率至</w:t>
      </w:r>
      <w:r w:rsidRPr="00FF1BD3">
        <w:rPr>
          <w:rFonts w:ascii="微軟正黑體" w:eastAsia="微軟正黑體" w:hAnsi="微軟正黑體" w:hint="eastAsia"/>
          <w:kern w:val="0"/>
          <w:sz w:val="28"/>
          <w:szCs w:val="32"/>
        </w:rPr>
        <w:t>6.8%及7</w:t>
      </w:r>
      <w:r w:rsidR="00A67403" w:rsidRPr="00FF1BD3">
        <w:rPr>
          <w:rFonts w:ascii="微軟正黑體" w:eastAsia="微軟正黑體" w:hAnsi="微軟正黑體" w:hint="eastAsia"/>
          <w:kern w:val="0"/>
          <w:sz w:val="28"/>
          <w:szCs w:val="32"/>
        </w:rPr>
        <w:t>.1</w:t>
      </w:r>
      <w:r w:rsidRPr="00FF1BD3">
        <w:rPr>
          <w:rFonts w:ascii="微軟正黑體" w:eastAsia="微軟正黑體" w:hAnsi="微軟正黑體" w:hint="eastAsia"/>
          <w:kern w:val="0"/>
          <w:sz w:val="28"/>
          <w:szCs w:val="32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，</w:t>
      </w:r>
      <w:r w:rsidRPr="006B44AF">
        <w:rPr>
          <w:rFonts w:ascii="微軟正黑體" w:eastAsia="微軟正黑體" w:hAnsi="微軟正黑體" w:hint="eastAsia"/>
          <w:kern w:val="0"/>
          <w:sz w:val="28"/>
          <w:szCs w:val="32"/>
        </w:rPr>
        <w:t>中國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大陸</w:t>
      </w:r>
      <w:r w:rsidRPr="006B44AF">
        <w:rPr>
          <w:rFonts w:ascii="微軟正黑體" w:eastAsia="微軟正黑體" w:hAnsi="微軟正黑體" w:hint="eastAsia"/>
          <w:kern w:val="0"/>
          <w:sz w:val="28"/>
          <w:szCs w:val="32"/>
        </w:rPr>
        <w:t>經濟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成長趨緩</w:t>
      </w:r>
      <w:r w:rsidRPr="006B44AF">
        <w:rPr>
          <w:rFonts w:ascii="微軟正黑體" w:eastAsia="微軟正黑體" w:hAnsi="微軟正黑體" w:hint="eastAsia"/>
          <w:kern w:val="0"/>
          <w:sz w:val="28"/>
          <w:szCs w:val="32"/>
        </w:rPr>
        <w:t>已經是不爭的事實</w:t>
      </w:r>
      <w:r>
        <w:rPr>
          <w:rFonts w:ascii="微軟正黑體" w:eastAsia="微軟正黑體" w:hAnsi="微軟正黑體" w:hint="eastAsia"/>
          <w:kern w:val="0"/>
          <w:sz w:val="28"/>
          <w:szCs w:val="32"/>
        </w:rPr>
        <w:t>。</w:t>
      </w:r>
      <w:r w:rsidRPr="0031374D">
        <w:rPr>
          <w:rFonts w:ascii="微軟正黑體" w:eastAsia="微軟正黑體" w:hAnsi="微軟正黑體" w:hint="eastAsia"/>
          <w:kern w:val="0"/>
          <w:sz w:val="28"/>
          <w:szCs w:val="32"/>
        </w:rPr>
        <w:t>重要經濟指標變動趨勢如下：</w:t>
      </w:r>
    </w:p>
    <w:p w:rsidR="002F74C8" w:rsidRPr="00161792" w:rsidRDefault="002F74C8" w:rsidP="002F74C8">
      <w:pPr>
        <w:pStyle w:val="20"/>
        <w:spacing w:beforeLines="50" w:before="120" w:line="480" w:lineRule="exact"/>
        <w:rPr>
          <w:rFonts w:ascii="微軟正黑體" w:eastAsia="微軟正黑體" w:hAnsi="微軟正黑體"/>
          <w:sz w:val="28"/>
          <w:szCs w:val="32"/>
        </w:rPr>
      </w:pPr>
      <w:bookmarkStart w:id="6" w:name="_Toc413072668"/>
      <w:r w:rsidRPr="00161792">
        <w:rPr>
          <w:rFonts w:ascii="微軟正黑體" w:eastAsia="微軟正黑體" w:hAnsi="微軟正黑體" w:hint="eastAsia"/>
          <w:sz w:val="28"/>
          <w:szCs w:val="32"/>
        </w:rPr>
        <w:t>一、經濟發展現況</w:t>
      </w:r>
      <w:bookmarkEnd w:id="6"/>
    </w:p>
    <w:p w:rsidR="002F74C8" w:rsidRPr="00161792" w:rsidRDefault="002F74C8" w:rsidP="00273851">
      <w:pPr>
        <w:widowControl/>
        <w:numPr>
          <w:ilvl w:val="0"/>
          <w:numId w:val="7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161792">
        <w:rPr>
          <w:rFonts w:ascii="微軟正黑體" w:eastAsia="微軟正黑體" w:hAnsi="微軟正黑體" w:hint="eastAsia"/>
          <w:b/>
          <w:sz w:val="28"/>
          <w:szCs w:val="32"/>
        </w:rPr>
        <w:t>經濟成長持續走緩</w:t>
      </w:r>
    </w:p>
    <w:p w:rsidR="002F74C8" w:rsidRPr="00161792" w:rsidRDefault="002F74C8" w:rsidP="003B6150">
      <w:pPr>
        <w:widowControl/>
        <w:autoSpaceDE w:val="0"/>
        <w:snapToGrid w:val="0"/>
        <w:spacing w:beforeLines="25" w:before="60" w:line="46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sz w:val="28"/>
          <w:szCs w:val="32"/>
        </w:rPr>
        <w:t>中國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大陸2014年</w:t>
      </w:r>
      <w:r>
        <w:rPr>
          <w:rFonts w:ascii="微軟正黑體" w:eastAsia="微軟正黑體" w:hAnsi="微軟正黑體" w:hint="eastAsia"/>
          <w:sz w:val="28"/>
          <w:szCs w:val="32"/>
        </w:rPr>
        <w:t>全年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國內生產毛額（GDP）</w:t>
      </w:r>
      <w:r>
        <w:rPr>
          <w:rFonts w:ascii="微軟正黑體" w:eastAsia="微軟正黑體" w:hAnsi="微軟正黑體" w:hint="eastAsia"/>
          <w:sz w:val="28"/>
          <w:szCs w:val="32"/>
        </w:rPr>
        <w:t>63.6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兆元（人民幣，下同）</w:t>
      </w:r>
      <w:r>
        <w:rPr>
          <w:rFonts w:ascii="微軟正黑體" w:eastAsia="微軟正黑體" w:hAnsi="微軟正黑體" w:hint="eastAsia"/>
          <w:sz w:val="28"/>
          <w:szCs w:val="32"/>
        </w:rPr>
        <w:t>，經濟成長率為7.4%，較2013年全年的7.7%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明顯趨緩。分析如下：</w:t>
      </w:r>
    </w:p>
    <w:p w:rsidR="002F74C8" w:rsidRPr="00161792" w:rsidRDefault="002F74C8" w:rsidP="003B6150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993" w:hanging="426"/>
        <w:jc w:val="both"/>
        <w:rPr>
          <w:rFonts w:ascii="微軟正黑體" w:eastAsia="微軟正黑體" w:hAnsi="微軟正黑體"/>
          <w:sz w:val="28"/>
          <w:szCs w:val="32"/>
        </w:rPr>
      </w:pPr>
      <w:r w:rsidRPr="00161792">
        <w:rPr>
          <w:rFonts w:ascii="微軟正黑體" w:eastAsia="微軟正黑體" w:hAnsi="微軟正黑體" w:cs="MS Gothic" w:hint="eastAsia"/>
          <w:b/>
          <w:sz w:val="28"/>
          <w:szCs w:val="32"/>
        </w:rPr>
        <w:t>消費成長</w:t>
      </w:r>
      <w:r>
        <w:rPr>
          <w:rFonts w:ascii="微軟正黑體" w:eastAsia="微軟正黑體" w:hAnsi="微軟正黑體" w:cs="MS Gothic" w:hint="eastAsia"/>
          <w:b/>
          <w:sz w:val="28"/>
          <w:szCs w:val="32"/>
        </w:rPr>
        <w:t>力道不足</w:t>
      </w:r>
      <w:r w:rsidRPr="00161792">
        <w:rPr>
          <w:rFonts w:ascii="微軟正黑體" w:eastAsia="微軟正黑體" w:hAnsi="微軟正黑體" w:cs="MS Gothic" w:hint="eastAsia"/>
          <w:b/>
          <w:sz w:val="28"/>
          <w:szCs w:val="32"/>
        </w:rPr>
        <w:t>：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2014年</w:t>
      </w:r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社會消費品零售總額</w:t>
      </w:r>
      <w:r>
        <w:rPr>
          <w:rFonts w:ascii="微軟正黑體" w:eastAsia="微軟正黑體" w:hAnsi="微軟正黑體" w:hint="eastAsia"/>
          <w:sz w:val="28"/>
          <w:szCs w:val="32"/>
        </w:rPr>
        <w:t>26.2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兆元，較上年成長12.</w:t>
      </w:r>
      <w:r>
        <w:rPr>
          <w:rFonts w:ascii="微軟正黑體" w:eastAsia="微軟正黑體" w:hAnsi="微軟正黑體" w:hint="eastAsia"/>
          <w:sz w:val="28"/>
          <w:szCs w:val="32"/>
        </w:rPr>
        <w:t>0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%</w:t>
      </w:r>
      <w:r w:rsidR="00495D81">
        <w:rPr>
          <w:rFonts w:ascii="微軟正黑體" w:eastAsia="微軟正黑體" w:hAnsi="微軟正黑體" w:hint="eastAsia"/>
          <w:sz w:val="28"/>
          <w:szCs w:val="32"/>
        </w:rPr>
        <w:t>，</w:t>
      </w:r>
      <w:r w:rsidR="00D171BC">
        <w:rPr>
          <w:rFonts w:ascii="微軟正黑體" w:eastAsia="微軟正黑體" w:hAnsi="微軟正黑體" w:hint="eastAsia"/>
          <w:kern w:val="0"/>
          <w:sz w:val="28"/>
          <w:szCs w:val="30"/>
        </w:rPr>
        <w:t>1至4</w:t>
      </w:r>
      <w:r>
        <w:rPr>
          <w:rFonts w:ascii="微軟正黑體" w:eastAsia="微軟正黑體" w:hAnsi="微軟正黑體" w:hint="eastAsia"/>
          <w:sz w:val="28"/>
          <w:szCs w:val="32"/>
        </w:rPr>
        <w:t>季分別為12.0%、12.2%、11.8%及12.0%，消費成長力道</w:t>
      </w:r>
      <w:r w:rsidR="00495D81">
        <w:rPr>
          <w:rFonts w:ascii="微軟正黑體" w:eastAsia="微軟正黑體" w:hAnsi="微軟正黑體" w:hint="eastAsia"/>
          <w:sz w:val="28"/>
          <w:szCs w:val="32"/>
        </w:rPr>
        <w:t>不及2013年的13.1%</w:t>
      </w:r>
      <w:r>
        <w:rPr>
          <w:rFonts w:ascii="微軟正黑體" w:eastAsia="微軟正黑體" w:hAnsi="微軟正黑體" w:hint="eastAsia"/>
          <w:sz w:val="28"/>
          <w:szCs w:val="32"/>
        </w:rPr>
        <w:t>，主要受到房地產市場價格調整，影響消費信心所致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。</w:t>
      </w:r>
      <w:r w:rsidR="00C87F81">
        <w:rPr>
          <w:rFonts w:ascii="微軟正黑體" w:eastAsia="微軟正黑體" w:hAnsi="微軟正黑體" w:hint="eastAsia"/>
          <w:sz w:val="28"/>
          <w:szCs w:val="32"/>
        </w:rPr>
        <w:t>雖然</w:t>
      </w:r>
      <w:r>
        <w:rPr>
          <w:rFonts w:ascii="微軟正黑體" w:eastAsia="微軟正黑體" w:hAnsi="微軟正黑體" w:hint="eastAsia"/>
          <w:sz w:val="28"/>
          <w:szCs w:val="32"/>
        </w:rPr>
        <w:t>2014年</w:t>
      </w:r>
      <w:r w:rsidRPr="008C384C">
        <w:rPr>
          <w:rFonts w:ascii="微軟正黑體" w:eastAsia="微軟正黑體" w:hAnsi="微軟正黑體"/>
          <w:sz w:val="28"/>
          <w:szCs w:val="32"/>
        </w:rPr>
        <w:t>網上零售額</w:t>
      </w:r>
      <w:r>
        <w:rPr>
          <w:rFonts w:ascii="微軟正黑體" w:eastAsia="微軟正黑體" w:hAnsi="微軟正黑體" w:hint="eastAsia"/>
          <w:sz w:val="28"/>
          <w:szCs w:val="32"/>
        </w:rPr>
        <w:t>較上年成長</w:t>
      </w:r>
      <w:r w:rsidRPr="008C384C">
        <w:rPr>
          <w:rFonts w:ascii="微軟正黑體" w:eastAsia="微軟正黑體" w:hAnsi="微軟正黑體"/>
          <w:sz w:val="28"/>
          <w:szCs w:val="32"/>
        </w:rPr>
        <w:t>49.</w:t>
      </w:r>
      <w:r>
        <w:rPr>
          <w:rFonts w:ascii="微軟正黑體" w:eastAsia="微軟正黑體" w:hAnsi="微軟正黑體" w:hint="eastAsia"/>
          <w:sz w:val="28"/>
          <w:szCs w:val="32"/>
        </w:rPr>
        <w:t>7</w:t>
      </w:r>
      <w:r w:rsidRPr="008C384C">
        <w:rPr>
          <w:rFonts w:ascii="微軟正黑體" w:eastAsia="微軟正黑體" w:hAnsi="微軟正黑體"/>
          <w:sz w:val="28"/>
          <w:szCs w:val="32"/>
        </w:rPr>
        <w:t>%</w:t>
      </w:r>
      <w:r>
        <w:rPr>
          <w:rFonts w:ascii="微軟正黑體" w:eastAsia="微軟正黑體" w:hAnsi="微軟正黑體" w:hint="eastAsia"/>
          <w:sz w:val="28"/>
          <w:szCs w:val="32"/>
        </w:rPr>
        <w:t>，</w:t>
      </w:r>
      <w:r w:rsidRPr="007C10CA">
        <w:rPr>
          <w:rFonts w:ascii="微軟正黑體" w:eastAsia="微軟正黑體" w:hAnsi="微軟正黑體" w:hint="eastAsia"/>
          <w:sz w:val="28"/>
          <w:szCs w:val="32"/>
        </w:rPr>
        <w:t>快遞業務量</w:t>
      </w:r>
      <w:r>
        <w:rPr>
          <w:rFonts w:ascii="微軟正黑體" w:eastAsia="微軟正黑體" w:hAnsi="微軟正黑體" w:hint="eastAsia"/>
          <w:sz w:val="28"/>
          <w:szCs w:val="32"/>
        </w:rPr>
        <w:t>成</w:t>
      </w:r>
      <w:r w:rsidRPr="007C10CA">
        <w:rPr>
          <w:rFonts w:ascii="微軟正黑體" w:eastAsia="微軟正黑體" w:hAnsi="微軟正黑體" w:hint="eastAsia"/>
          <w:sz w:val="28"/>
          <w:szCs w:val="32"/>
        </w:rPr>
        <w:t>長</w:t>
      </w:r>
      <w:r w:rsidRPr="007C10CA">
        <w:rPr>
          <w:rFonts w:ascii="微軟正黑體" w:eastAsia="微軟正黑體" w:hAnsi="微軟正黑體"/>
          <w:sz w:val="28"/>
          <w:szCs w:val="32"/>
        </w:rPr>
        <w:t>51.9%</w:t>
      </w:r>
      <w:r>
        <w:rPr>
          <w:rFonts w:ascii="微軟正黑體" w:eastAsia="微軟正黑體" w:hAnsi="微軟正黑體" w:hint="eastAsia"/>
          <w:sz w:val="28"/>
          <w:szCs w:val="32"/>
        </w:rPr>
        <w:t>，顯示</w:t>
      </w:r>
      <w:r w:rsidR="00C87F81">
        <w:rPr>
          <w:rFonts w:ascii="微軟正黑體" w:eastAsia="微軟正黑體" w:hAnsi="微軟正黑體" w:hint="eastAsia"/>
          <w:sz w:val="28"/>
          <w:szCs w:val="32"/>
        </w:rPr>
        <w:t>中國大陸新型態網路消費正</w:t>
      </w:r>
      <w:r w:rsidR="00C87F81" w:rsidRPr="007C10CA">
        <w:rPr>
          <w:rFonts w:ascii="微軟正黑體" w:eastAsia="微軟正黑體" w:hAnsi="微軟正黑體" w:hint="eastAsia"/>
          <w:sz w:val="28"/>
          <w:szCs w:val="32"/>
        </w:rPr>
        <w:t>快速發展</w:t>
      </w:r>
      <w:r w:rsidR="00C87F81">
        <w:rPr>
          <w:rFonts w:ascii="微軟正黑體" w:eastAsia="微軟正黑體" w:hAnsi="微軟正黑體" w:hint="eastAsia"/>
          <w:sz w:val="28"/>
          <w:szCs w:val="32"/>
        </w:rPr>
        <w:t>，惟整體消費力道仍顯不足</w:t>
      </w:r>
      <w:r w:rsidRPr="008C384C">
        <w:rPr>
          <w:rFonts w:ascii="微軟正黑體" w:eastAsia="微軟正黑體" w:hAnsi="微軟正黑體"/>
          <w:sz w:val="28"/>
          <w:szCs w:val="32"/>
        </w:rPr>
        <w:t>。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據</w:t>
      </w:r>
      <w:r>
        <w:rPr>
          <w:rFonts w:ascii="微軟正黑體" w:eastAsia="微軟正黑體" w:hAnsi="微軟正黑體" w:hint="eastAsia"/>
          <w:sz w:val="28"/>
          <w:szCs w:val="32"/>
        </w:rPr>
        <w:t>中國科學院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發布的「</w:t>
      </w:r>
      <w:r w:rsidRPr="00113F01">
        <w:rPr>
          <w:rFonts w:ascii="微軟正黑體" w:eastAsia="微軟正黑體" w:hAnsi="微軟正黑體"/>
          <w:sz w:val="28"/>
          <w:szCs w:val="32"/>
        </w:rPr>
        <w:t>2015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中國經濟預測與展望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」指出，</w:t>
      </w:r>
      <w:r w:rsidRPr="00113F01">
        <w:rPr>
          <w:rFonts w:ascii="微軟正黑體" w:eastAsia="微軟正黑體" w:hAnsi="微軟正黑體"/>
          <w:sz w:val="28"/>
          <w:szCs w:val="32"/>
        </w:rPr>
        <w:t>2015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年中國</w:t>
      </w:r>
      <w:r>
        <w:rPr>
          <w:rFonts w:ascii="微軟正黑體" w:eastAsia="微軟正黑體" w:hAnsi="微軟正黑體" w:hint="eastAsia"/>
          <w:sz w:val="28"/>
          <w:szCs w:val="32"/>
        </w:rPr>
        <w:t>大陸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經濟</w:t>
      </w:r>
      <w:r>
        <w:rPr>
          <w:rFonts w:ascii="微軟正黑體" w:eastAsia="微軟正黑體" w:hAnsi="微軟正黑體" w:hint="eastAsia"/>
          <w:sz w:val="28"/>
          <w:szCs w:val="32"/>
        </w:rPr>
        <w:t>成長速度將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會進一步</w:t>
      </w:r>
      <w:r>
        <w:rPr>
          <w:rFonts w:ascii="微軟正黑體" w:eastAsia="微軟正黑體" w:hAnsi="微軟正黑體" w:hint="eastAsia"/>
          <w:sz w:val="28"/>
          <w:szCs w:val="32"/>
        </w:rPr>
        <w:t>減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緩，國內總需求</w:t>
      </w:r>
      <w:r w:rsidR="00495D81">
        <w:rPr>
          <w:rFonts w:ascii="微軟正黑體" w:eastAsia="微軟正黑體" w:hAnsi="微軟正黑體" w:hint="eastAsia"/>
          <w:sz w:val="28"/>
          <w:szCs w:val="32"/>
        </w:rPr>
        <w:t>增加力道</w:t>
      </w:r>
      <w:r>
        <w:rPr>
          <w:rFonts w:ascii="微軟正黑體" w:eastAsia="微軟正黑體" w:hAnsi="微軟正黑體" w:hint="eastAsia"/>
          <w:sz w:val="28"/>
          <w:szCs w:val="32"/>
        </w:rPr>
        <w:t>持續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降低</w:t>
      </w:r>
      <w:r w:rsidRPr="00161792">
        <w:rPr>
          <w:rFonts w:ascii="微軟正黑體" w:eastAsia="微軟正黑體" w:hAnsi="微軟正黑體" w:hint="eastAsia"/>
          <w:sz w:val="28"/>
          <w:szCs w:val="32"/>
        </w:rPr>
        <w:t>，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預</w:t>
      </w:r>
      <w:r>
        <w:rPr>
          <w:rFonts w:ascii="微軟正黑體" w:eastAsia="微軟正黑體" w:hAnsi="微軟正黑體" w:hint="eastAsia"/>
          <w:sz w:val="28"/>
          <w:szCs w:val="32"/>
        </w:rPr>
        <w:t>估</w:t>
      </w:r>
      <w:r w:rsidRPr="00113F01">
        <w:rPr>
          <w:rFonts w:ascii="微軟正黑體" w:eastAsia="微軟正黑體" w:hAnsi="微軟正黑體"/>
          <w:sz w:val="28"/>
          <w:szCs w:val="32"/>
        </w:rPr>
        <w:t>2015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年社會消費品零售總額</w:t>
      </w:r>
      <w:r>
        <w:rPr>
          <w:rFonts w:ascii="微軟正黑體" w:eastAsia="微軟正黑體" w:hAnsi="微軟正黑體" w:hint="eastAsia"/>
          <w:sz w:val="28"/>
          <w:szCs w:val="32"/>
        </w:rPr>
        <w:t>成長率為</w:t>
      </w:r>
      <w:r w:rsidRPr="00113F01">
        <w:rPr>
          <w:rFonts w:ascii="微軟正黑體" w:eastAsia="微軟正黑體" w:hAnsi="微軟正黑體"/>
          <w:sz w:val="28"/>
          <w:szCs w:val="32"/>
        </w:rPr>
        <w:t>11%</w:t>
      </w:r>
      <w:r w:rsidRPr="00113F01">
        <w:rPr>
          <w:rFonts w:ascii="微軟正黑體" w:eastAsia="微軟正黑體" w:hAnsi="微軟正黑體" w:hint="eastAsia"/>
          <w:sz w:val="28"/>
          <w:szCs w:val="32"/>
        </w:rPr>
        <w:t>左右。</w:t>
      </w:r>
    </w:p>
    <w:p w:rsidR="002F74C8" w:rsidRDefault="002F74C8" w:rsidP="00273851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907" w:hanging="340"/>
        <w:jc w:val="both"/>
        <w:rPr>
          <w:rFonts w:ascii="微軟正黑體" w:eastAsia="微軟正黑體" w:hAnsi="微軟正黑體"/>
          <w:sz w:val="28"/>
          <w:szCs w:val="32"/>
        </w:rPr>
      </w:pPr>
      <w:r w:rsidRPr="008622AE">
        <w:rPr>
          <w:rFonts w:ascii="微軟正黑體" w:eastAsia="微軟正黑體" w:hAnsi="微軟正黑體" w:cs="MS Gothic" w:hint="eastAsia"/>
          <w:b/>
          <w:sz w:val="28"/>
          <w:szCs w:val="32"/>
        </w:rPr>
        <w:lastRenderedPageBreak/>
        <w:t>固定資產投資成長趨緩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：隨著房地產市場</w:t>
      </w:r>
      <w:r>
        <w:rPr>
          <w:rFonts w:ascii="微軟正黑體" w:eastAsia="微軟正黑體" w:hAnsi="微軟正黑體" w:hint="eastAsia"/>
          <w:sz w:val="28"/>
          <w:szCs w:val="32"/>
        </w:rPr>
        <w:t>疲弱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，以及製造業領域產能的相對過剩，2014年中國大陸固定資產投資僅成長</w:t>
      </w:r>
      <w:r w:rsidRPr="008622AE">
        <w:rPr>
          <w:rFonts w:ascii="微軟正黑體" w:eastAsia="微軟正黑體" w:hAnsi="微軟正黑體"/>
          <w:sz w:val="28"/>
          <w:szCs w:val="32"/>
        </w:rPr>
        <w:t>15.7%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，較2013年的19.6%大幅下跌近4個百分點，</w:t>
      </w:r>
      <w:proofErr w:type="gramStart"/>
      <w:r w:rsidRPr="008622AE">
        <w:rPr>
          <w:rFonts w:ascii="微軟正黑體" w:eastAsia="微軟正黑體" w:hAnsi="微軟正黑體" w:hint="eastAsia"/>
          <w:sz w:val="28"/>
          <w:szCs w:val="32"/>
        </w:rPr>
        <w:t>就季資料</w:t>
      </w:r>
      <w:proofErr w:type="gramEnd"/>
      <w:r w:rsidRPr="008622AE">
        <w:rPr>
          <w:rFonts w:ascii="微軟正黑體" w:eastAsia="微軟正黑體" w:hAnsi="微軟正黑體" w:hint="eastAsia"/>
          <w:sz w:val="28"/>
          <w:szCs w:val="32"/>
        </w:rPr>
        <w:t>來看，固定資產投資</w:t>
      </w:r>
      <w:r w:rsidR="00D171BC">
        <w:rPr>
          <w:rFonts w:ascii="微軟正黑體" w:eastAsia="微軟正黑體" w:hAnsi="微軟正黑體" w:hint="eastAsia"/>
          <w:kern w:val="0"/>
          <w:sz w:val="28"/>
          <w:szCs w:val="30"/>
        </w:rPr>
        <w:t>1至4</w:t>
      </w:r>
      <w:r w:rsidRPr="008622AE">
        <w:rPr>
          <w:rFonts w:ascii="微軟正黑體" w:eastAsia="微軟正黑體" w:hAnsi="微軟正黑體" w:hint="eastAsia"/>
          <w:sz w:val="28"/>
          <w:szCs w:val="32"/>
        </w:rPr>
        <w:t>季分別成長17.6%、17.0%、13.7%及14.5%，增速明顯下滑。華爾街日報指出，在經濟新常態下，中國大陸難以再推大規模刺激計畫，固定資產投資成長</w:t>
      </w:r>
      <w:proofErr w:type="gramStart"/>
      <w:r w:rsidRPr="008622AE">
        <w:rPr>
          <w:rFonts w:ascii="微軟正黑體" w:eastAsia="微軟正黑體" w:hAnsi="微軟正黑體" w:hint="eastAsia"/>
          <w:sz w:val="28"/>
          <w:szCs w:val="32"/>
        </w:rPr>
        <w:t>恐</w:t>
      </w:r>
      <w:proofErr w:type="gramEnd"/>
      <w:r w:rsidRPr="008622AE">
        <w:rPr>
          <w:rFonts w:ascii="微軟正黑體" w:eastAsia="微軟正黑體" w:hAnsi="微軟正黑體" w:hint="eastAsia"/>
          <w:sz w:val="28"/>
          <w:szCs w:val="32"/>
        </w:rPr>
        <w:t>持續下滑。</w:t>
      </w:r>
      <w:r>
        <w:rPr>
          <w:rFonts w:ascii="微軟正黑體" w:eastAsia="微軟正黑體" w:hAnsi="微軟正黑體" w:hint="eastAsia"/>
          <w:sz w:val="28"/>
          <w:szCs w:val="32"/>
        </w:rPr>
        <w:t>中國科學</w:t>
      </w:r>
      <w:r w:rsidRPr="008622AE">
        <w:rPr>
          <w:rFonts w:ascii="微軟正黑體" w:eastAsia="微軟正黑體" w:hAnsi="微軟正黑體"/>
          <w:sz w:val="28"/>
          <w:szCs w:val="32"/>
        </w:rPr>
        <w:t>院預測，2015年</w:t>
      </w:r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8622AE">
        <w:rPr>
          <w:rFonts w:ascii="微軟正黑體" w:eastAsia="微軟正黑體" w:hAnsi="微軟正黑體"/>
          <w:sz w:val="28"/>
          <w:szCs w:val="32"/>
        </w:rPr>
        <w:t>全年固定</w:t>
      </w:r>
      <w:r>
        <w:rPr>
          <w:rFonts w:ascii="微軟正黑體" w:eastAsia="微軟正黑體" w:hAnsi="微軟正黑體" w:hint="eastAsia"/>
          <w:sz w:val="28"/>
          <w:szCs w:val="32"/>
        </w:rPr>
        <w:t>資產</w:t>
      </w:r>
      <w:r w:rsidRPr="008622AE">
        <w:rPr>
          <w:rFonts w:ascii="微軟正黑體" w:eastAsia="微軟正黑體" w:hAnsi="微軟正黑體"/>
          <w:sz w:val="28"/>
          <w:szCs w:val="32"/>
        </w:rPr>
        <w:t>投資成長</w:t>
      </w:r>
      <w:r w:rsidR="00495D81">
        <w:rPr>
          <w:rFonts w:ascii="微軟正黑體" w:eastAsia="微軟正黑體" w:hAnsi="微軟正黑體" w:hint="eastAsia"/>
          <w:sz w:val="28"/>
          <w:szCs w:val="32"/>
        </w:rPr>
        <w:t>率</w:t>
      </w:r>
      <w:r w:rsidRPr="008622AE">
        <w:rPr>
          <w:rFonts w:ascii="微軟正黑體" w:eastAsia="微軟正黑體" w:hAnsi="微軟正黑體"/>
          <w:sz w:val="28"/>
          <w:szCs w:val="32"/>
        </w:rPr>
        <w:t>約為14.9%，</w:t>
      </w:r>
      <w:r>
        <w:rPr>
          <w:rFonts w:ascii="微軟正黑體" w:eastAsia="微軟正黑體" w:hAnsi="微軟正黑體" w:hint="eastAsia"/>
          <w:sz w:val="28"/>
          <w:szCs w:val="32"/>
        </w:rPr>
        <w:t>較2014年持續下滑</w:t>
      </w:r>
      <w:r w:rsidRPr="008622AE">
        <w:rPr>
          <w:rFonts w:ascii="微軟正黑體" w:eastAsia="微軟正黑體" w:hAnsi="微軟正黑體"/>
          <w:sz w:val="28"/>
          <w:szCs w:val="32"/>
        </w:rPr>
        <w:t>。</w:t>
      </w:r>
    </w:p>
    <w:p w:rsidR="00270AF4" w:rsidRPr="00F93DF5" w:rsidRDefault="00270AF4" w:rsidP="00F93DF5">
      <w:pPr>
        <w:widowControl/>
        <w:numPr>
          <w:ilvl w:val="2"/>
          <w:numId w:val="4"/>
        </w:numPr>
        <w:autoSpaceDE w:val="0"/>
        <w:snapToGrid w:val="0"/>
        <w:spacing w:beforeLines="25" w:before="60" w:line="460" w:lineRule="exact"/>
        <w:ind w:left="907" w:hanging="340"/>
        <w:jc w:val="both"/>
        <w:rPr>
          <w:rFonts w:ascii="微軟正黑體" w:eastAsia="微軟正黑體" w:hAnsi="微軟正黑體" w:cs="MS Gothic"/>
          <w:sz w:val="28"/>
          <w:szCs w:val="32"/>
        </w:rPr>
      </w:pPr>
      <w:r w:rsidRPr="00F93DF5">
        <w:rPr>
          <w:rFonts w:ascii="微軟正黑體" w:eastAsia="微軟正黑體" w:hAnsi="微軟正黑體" w:cs="MS Gothic" w:hint="eastAsia"/>
          <w:b/>
          <w:sz w:val="28"/>
          <w:szCs w:val="32"/>
        </w:rPr>
        <w:t>工業生產持續疲軟</w:t>
      </w:r>
      <w:r w:rsidR="00F93DF5" w:rsidRPr="00F93DF5">
        <w:rPr>
          <w:rFonts w:ascii="微軟正黑體" w:eastAsia="微軟正黑體" w:hAnsi="微軟正黑體" w:cs="MS Gothic" w:hint="eastAsia"/>
          <w:b/>
          <w:sz w:val="28"/>
          <w:szCs w:val="32"/>
        </w:rPr>
        <w:t>：</w:t>
      </w:r>
      <w:r w:rsidRPr="00F93DF5">
        <w:rPr>
          <w:rFonts w:ascii="微軟正黑體" w:eastAsia="微軟正黑體" w:hAnsi="微軟正黑體" w:cs="MS Gothic" w:hint="eastAsia"/>
          <w:sz w:val="28"/>
          <w:szCs w:val="32"/>
        </w:rPr>
        <w:t>受經濟結構調整以及去化產能過剩等因素影響，中國大陸工業生產活動持續疲軟，2014年全國規模以</w:t>
      </w:r>
      <w:proofErr w:type="gramStart"/>
      <w:r w:rsidRPr="00F93DF5">
        <w:rPr>
          <w:rFonts w:ascii="微軟正黑體" w:eastAsia="微軟正黑體" w:hAnsi="微軟正黑體" w:cs="MS Gothic" w:hint="eastAsia"/>
          <w:sz w:val="28"/>
          <w:szCs w:val="32"/>
        </w:rPr>
        <w:t>上</w:t>
      </w:r>
      <w:proofErr w:type="gramEnd"/>
      <w:r w:rsidRPr="00890653">
        <w:rPr>
          <w:rStyle w:val="a8"/>
          <w:rFonts w:ascii="微軟正黑體" w:eastAsia="微軟正黑體" w:hAnsi="微軟正黑體"/>
          <w:sz w:val="28"/>
          <w:szCs w:val="32"/>
        </w:rPr>
        <w:footnoteReference w:id="4"/>
      </w:r>
      <w:r w:rsidRPr="00F93DF5">
        <w:rPr>
          <w:rFonts w:ascii="微軟正黑體" w:eastAsia="微軟正黑體" w:hAnsi="微軟正黑體" w:cs="MS Gothic" w:hint="eastAsia"/>
          <w:sz w:val="28"/>
          <w:szCs w:val="32"/>
        </w:rPr>
        <w:t>工業增加值年增率為8.3%，較上年下滑1.4個百分點，就1至4季資料來看，分別為8.7%、8.9%、8.0%及7.6%，成長動能持續減緩。另，中國大陸官方與匯豐分別編制的製造業PMI均自8月起逐步下滑，12月份製造業PMI分別為50.1及49.6，</w:t>
      </w:r>
      <w:r w:rsidRPr="00F93DF5">
        <w:rPr>
          <w:rFonts w:ascii="微軟正黑體" w:eastAsia="微軟正黑體" w:hAnsi="微軟正黑體" w:cs="MS Gothic"/>
          <w:sz w:val="28"/>
          <w:szCs w:val="32"/>
        </w:rPr>
        <w:t>反映</w:t>
      </w:r>
      <w:r w:rsidRPr="00F93DF5">
        <w:rPr>
          <w:rFonts w:ascii="微軟正黑體" w:eastAsia="微軟正黑體" w:hAnsi="微軟正黑體" w:cs="MS Gothic" w:hint="eastAsia"/>
          <w:sz w:val="28"/>
          <w:szCs w:val="32"/>
        </w:rPr>
        <w:t>中國大陸</w:t>
      </w:r>
      <w:bookmarkStart w:id="7" w:name="_GoBack"/>
      <w:bookmarkEnd w:id="7"/>
      <w:r w:rsidRPr="00F93DF5">
        <w:rPr>
          <w:rFonts w:ascii="微軟正黑體" w:eastAsia="微軟正黑體" w:hAnsi="微軟正黑體" w:cs="MS Gothic"/>
          <w:sz w:val="28"/>
          <w:szCs w:val="32"/>
        </w:rPr>
        <w:t>企業信心偏低，經濟</w:t>
      </w:r>
      <w:r w:rsidRPr="00F93DF5">
        <w:rPr>
          <w:rFonts w:ascii="微軟正黑體" w:eastAsia="微軟正黑體" w:hAnsi="微軟正黑體" w:cs="MS Gothic" w:hint="eastAsia"/>
          <w:sz w:val="28"/>
          <w:szCs w:val="32"/>
        </w:rPr>
        <w:t>成</w:t>
      </w:r>
      <w:r w:rsidRPr="00F93DF5">
        <w:rPr>
          <w:rFonts w:ascii="微軟正黑體" w:eastAsia="微軟正黑體" w:hAnsi="微軟正黑體" w:cs="MS Gothic"/>
          <w:sz w:val="28"/>
          <w:szCs w:val="32"/>
        </w:rPr>
        <w:t>長</w:t>
      </w:r>
      <w:r w:rsidRPr="00F93DF5">
        <w:rPr>
          <w:rFonts w:ascii="微軟正黑體" w:eastAsia="微軟正黑體" w:hAnsi="微軟正黑體" w:cs="MS Gothic" w:hint="eastAsia"/>
          <w:sz w:val="28"/>
          <w:szCs w:val="32"/>
        </w:rPr>
        <w:t>潛</w:t>
      </w:r>
      <w:r w:rsidRPr="00F93DF5">
        <w:rPr>
          <w:rFonts w:ascii="微軟正黑體" w:eastAsia="微軟正黑體" w:hAnsi="微軟正黑體" w:cs="MS Gothic"/>
          <w:sz w:val="28"/>
          <w:szCs w:val="32"/>
        </w:rPr>
        <w:t>存下行壓力</w:t>
      </w:r>
      <w:r w:rsidRPr="00F93DF5">
        <w:rPr>
          <w:rFonts w:ascii="微軟正黑體" w:eastAsia="微軟正黑體" w:hAnsi="微軟正黑體" w:cs="MS Gothic" w:hint="eastAsia"/>
          <w:sz w:val="28"/>
          <w:szCs w:val="32"/>
        </w:rPr>
        <w:t>（圖2-1）。</w:t>
      </w:r>
    </w:p>
    <w:p w:rsidR="00270AF4" w:rsidRPr="00161792" w:rsidRDefault="00270AF4" w:rsidP="00270AF4">
      <w:pPr>
        <w:widowControl/>
        <w:autoSpaceDE w:val="0"/>
        <w:snapToGrid w:val="0"/>
        <w:spacing w:beforeLines="25" w:before="60" w:line="480" w:lineRule="exact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64C7CB28" wp14:editId="5FC99A4A">
            <wp:simplePos x="0" y="0"/>
            <wp:positionH relativeFrom="column">
              <wp:posOffset>228600</wp:posOffset>
            </wp:positionH>
            <wp:positionV relativeFrom="paragraph">
              <wp:posOffset>12700</wp:posOffset>
            </wp:positionV>
            <wp:extent cx="5295900" cy="2560320"/>
            <wp:effectExtent l="0" t="0" r="0" b="0"/>
            <wp:wrapTight wrapText="bothSides">
              <wp:wrapPolygon edited="0">
                <wp:start x="9479" y="643"/>
                <wp:lineTo x="2486" y="2571"/>
                <wp:lineTo x="155" y="3375"/>
                <wp:lineTo x="155" y="5786"/>
                <wp:lineTo x="622" y="6589"/>
                <wp:lineTo x="155" y="6750"/>
                <wp:lineTo x="78" y="10768"/>
                <wp:lineTo x="699" y="11571"/>
                <wp:lineTo x="78" y="11732"/>
                <wp:lineTo x="78" y="15750"/>
                <wp:lineTo x="2486" y="16393"/>
                <wp:lineTo x="155" y="16714"/>
                <wp:lineTo x="155" y="18804"/>
                <wp:lineTo x="10800" y="18964"/>
                <wp:lineTo x="6216" y="19607"/>
                <wp:lineTo x="5594" y="19929"/>
                <wp:lineTo x="5594" y="20893"/>
                <wp:lineTo x="16705" y="20893"/>
                <wp:lineTo x="16860" y="19929"/>
                <wp:lineTo x="15617" y="19607"/>
                <wp:lineTo x="10800" y="18964"/>
                <wp:lineTo x="20901" y="18804"/>
                <wp:lineTo x="20901" y="17839"/>
                <wp:lineTo x="10722" y="16393"/>
                <wp:lineTo x="855" y="13821"/>
                <wp:lineTo x="10800" y="11250"/>
                <wp:lineTo x="21445" y="10768"/>
                <wp:lineTo x="20823" y="8679"/>
                <wp:lineTo x="21445" y="7393"/>
                <wp:lineTo x="21056" y="7071"/>
                <wp:lineTo x="16938" y="5625"/>
                <wp:lineTo x="14296" y="5143"/>
                <wp:lineTo x="855" y="3536"/>
                <wp:lineTo x="5283" y="3536"/>
                <wp:lineTo x="13442" y="1929"/>
                <wp:lineTo x="13364" y="643"/>
                <wp:lineTo x="9479" y="643"/>
              </wp:wrapPolygon>
            </wp:wrapTight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161792">
        <w:rPr>
          <w:rFonts w:ascii="微軟正黑體" w:eastAsia="微軟正黑體" w:hAnsi="微軟正黑體" w:hint="eastAsia"/>
          <w:sz w:val="20"/>
          <w:szCs w:val="20"/>
        </w:rPr>
        <w:t xml:space="preserve">　</w:t>
      </w: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300F0C" w:rsidRDefault="00300F0C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300F0C" w:rsidRDefault="00300F0C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3B6150" w:rsidRDefault="003B6150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270AF4" w:rsidRDefault="00270AF4" w:rsidP="00270AF4">
      <w:pPr>
        <w:widowControl/>
        <w:autoSpaceDE w:val="0"/>
        <w:snapToGrid w:val="0"/>
        <w:spacing w:line="24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161792">
        <w:rPr>
          <w:rFonts w:ascii="微軟正黑體" w:eastAsia="微軟正黑體" w:hAnsi="微軟正黑體" w:hint="eastAsia"/>
          <w:sz w:val="20"/>
          <w:szCs w:val="20"/>
        </w:rPr>
        <w:t>資料來源：</w:t>
      </w:r>
      <w:r>
        <w:rPr>
          <w:rFonts w:ascii="微軟正黑體" w:eastAsia="微軟正黑體" w:hAnsi="微軟正黑體" w:hint="eastAsia"/>
          <w:sz w:val="20"/>
          <w:szCs w:val="20"/>
        </w:rPr>
        <w:t>中國</w:t>
      </w:r>
      <w:r w:rsidRPr="00161792">
        <w:rPr>
          <w:rFonts w:ascii="微軟正黑體" w:eastAsia="微軟正黑體" w:hAnsi="微軟正黑體" w:hint="eastAsia"/>
          <w:sz w:val="20"/>
          <w:szCs w:val="20"/>
        </w:rPr>
        <w:t>大陸國家統計局、HSBC。</w:t>
      </w:r>
    </w:p>
    <w:p w:rsidR="00270AF4" w:rsidRDefault="00270AF4" w:rsidP="00270AF4">
      <w:pPr>
        <w:widowControl/>
        <w:autoSpaceDE w:val="0"/>
        <w:snapToGrid w:val="0"/>
        <w:spacing w:beforeLines="100" w:before="240" w:line="340" w:lineRule="exact"/>
        <w:jc w:val="center"/>
        <w:rPr>
          <w:rFonts w:ascii="微軟正黑體" w:eastAsia="微軟正黑體" w:hAnsi="微軟正黑體"/>
          <w:sz w:val="28"/>
          <w:szCs w:val="32"/>
        </w:rPr>
      </w:pPr>
      <w:r w:rsidRPr="00111C76">
        <w:rPr>
          <w:rFonts w:ascii="微軟正黑體" w:eastAsia="微軟正黑體" w:hAnsi="微軟正黑體" w:hint="eastAsia"/>
          <w:sz w:val="28"/>
          <w:szCs w:val="32"/>
        </w:rPr>
        <w:t>圖2-1　中國大陸製造業PMI</w:t>
      </w:r>
    </w:p>
    <w:p w:rsidR="00252EE1" w:rsidRPr="00300F0C" w:rsidRDefault="002F74C8" w:rsidP="00300F0C">
      <w:pPr>
        <w:widowControl/>
        <w:numPr>
          <w:ilvl w:val="0"/>
          <w:numId w:val="7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300F0C">
        <w:rPr>
          <w:rFonts w:ascii="微軟正黑體" w:eastAsia="微軟正黑體" w:hAnsi="微軟正黑體" w:hint="eastAsia"/>
          <w:b/>
          <w:sz w:val="28"/>
          <w:szCs w:val="32"/>
        </w:rPr>
        <w:lastRenderedPageBreak/>
        <w:t>外貿動能仍顯疲弱</w:t>
      </w:r>
    </w:p>
    <w:p w:rsidR="00252EE1" w:rsidRPr="00252EE1" w:rsidRDefault="002F74C8" w:rsidP="00300F0C">
      <w:pPr>
        <w:pStyle w:val="af9"/>
        <w:widowControl/>
        <w:autoSpaceDE w:val="0"/>
        <w:snapToGrid w:val="0"/>
        <w:spacing w:beforeLines="25" w:before="60" w:line="440" w:lineRule="exact"/>
        <w:ind w:leftChars="0" w:left="362" w:firstLineChars="225" w:firstLine="630"/>
        <w:jc w:val="both"/>
        <w:rPr>
          <w:rFonts w:ascii="微軟正黑體" w:eastAsia="微軟正黑體" w:hAnsi="微軟正黑體" w:cs="MS Gothic"/>
          <w:sz w:val="28"/>
          <w:szCs w:val="32"/>
        </w:rPr>
      </w:pPr>
      <w:r w:rsidRPr="00252EE1">
        <w:rPr>
          <w:rFonts w:ascii="微軟正黑體" w:eastAsia="微軟正黑體" w:hAnsi="微軟正黑體" w:cs="MS Gothic" w:hint="eastAsia"/>
          <w:sz w:val="28"/>
          <w:szCs w:val="32"/>
        </w:rPr>
        <w:t>由於2014年全球經濟復甦的步伐緩慢，國際市場需求不振，加以目前中國大陸正值調整結構、轉變成長模式階段，致生產成本提高</w:t>
      </w:r>
      <w:r w:rsidR="00B71EE5" w:rsidRPr="00252EE1">
        <w:rPr>
          <w:rFonts w:ascii="微軟正黑體" w:eastAsia="微軟正黑體" w:hAnsi="微軟正黑體" w:cs="MS Gothic" w:hint="eastAsia"/>
          <w:sz w:val="28"/>
          <w:szCs w:val="32"/>
        </w:rPr>
        <w:t>，</w:t>
      </w:r>
      <w:r w:rsidRPr="00252EE1">
        <w:rPr>
          <w:rFonts w:ascii="微軟正黑體" w:eastAsia="微軟正黑體" w:hAnsi="微軟正黑體" w:cs="MS Gothic" w:hint="eastAsia"/>
          <w:sz w:val="28"/>
          <w:szCs w:val="32"/>
        </w:rPr>
        <w:t>傳統競爭優勢逐步弱化，削弱中國大陸外貿成長動能，2014年中國大陸貿易總值4</w:t>
      </w:r>
      <w:r w:rsidR="00B70105" w:rsidRPr="00252EE1">
        <w:rPr>
          <w:rFonts w:ascii="微軟正黑體" w:eastAsia="微軟正黑體" w:hAnsi="微軟正黑體" w:cs="MS Gothic" w:hint="eastAsia"/>
          <w:sz w:val="28"/>
          <w:szCs w:val="32"/>
        </w:rPr>
        <w:t>.3兆</w:t>
      </w:r>
      <w:r w:rsidRPr="00252EE1">
        <w:rPr>
          <w:rFonts w:ascii="微軟正黑體" w:eastAsia="微軟正黑體" w:hAnsi="微軟正黑體" w:cs="MS Gothic" w:hint="eastAsia"/>
          <w:sz w:val="28"/>
          <w:szCs w:val="32"/>
        </w:rPr>
        <w:t>美元，較上年成長3.4%，</w:t>
      </w:r>
      <w:r w:rsidR="00495D81" w:rsidRPr="00252EE1">
        <w:rPr>
          <w:rFonts w:ascii="微軟正黑體" w:eastAsia="微軟正黑體" w:hAnsi="微軟正黑體" w:cs="MS Gothic" w:hint="eastAsia"/>
          <w:sz w:val="28"/>
          <w:szCs w:val="32"/>
        </w:rPr>
        <w:t>已連續3年未達官方預定成長目標，且低於</w:t>
      </w:r>
      <w:r w:rsidRPr="00252EE1">
        <w:rPr>
          <w:rFonts w:ascii="微軟正黑體" w:eastAsia="微軟正黑體" w:hAnsi="微軟正黑體" w:cs="MS Gothic" w:hint="eastAsia"/>
          <w:sz w:val="28"/>
          <w:szCs w:val="32"/>
        </w:rPr>
        <w:t>2013年的7.6%，外貿動能仍顯疲弱。其中，出口成長6.1%，較上年減少1.8個百分點；進口成長0.4%，較上年大幅減少6.9個百分點，致貿易順差達3,824億美元，創歷史新高。據中國大陸商務部對外貿易形勢秋季報告指出，</w:t>
      </w:r>
      <w:r w:rsidRPr="00252EE1">
        <w:rPr>
          <w:rFonts w:ascii="微軟正黑體" w:eastAsia="微軟正黑體" w:hAnsi="微軟正黑體" w:cs="MS Gothic"/>
          <w:sz w:val="28"/>
          <w:szCs w:val="32"/>
        </w:rPr>
        <w:t>2015</w:t>
      </w:r>
      <w:r w:rsidRPr="00252EE1">
        <w:rPr>
          <w:rFonts w:ascii="微軟正黑體" w:eastAsia="微軟正黑體" w:hAnsi="微軟正黑體" w:cs="MS Gothic" w:hint="eastAsia"/>
          <w:sz w:val="28"/>
          <w:szCs w:val="32"/>
        </w:rPr>
        <w:t>年中國大陸外貿發展面臨的國際環境可能略有改善，但回升幅度仍有限。</w:t>
      </w:r>
    </w:p>
    <w:p w:rsidR="002F74C8" w:rsidRPr="00F93DF5" w:rsidRDefault="002F74C8" w:rsidP="00300F0C">
      <w:pPr>
        <w:widowControl/>
        <w:autoSpaceDE w:val="0"/>
        <w:snapToGrid w:val="0"/>
        <w:spacing w:beforeLines="25" w:before="60" w:line="440" w:lineRule="exact"/>
        <w:ind w:left="426" w:firstLineChars="182" w:firstLine="510"/>
        <w:jc w:val="both"/>
        <w:rPr>
          <w:rFonts w:ascii="微軟正黑體" w:eastAsia="微軟正黑體" w:hAnsi="微軟正黑體" w:cs="MS Gothic"/>
          <w:sz w:val="28"/>
          <w:szCs w:val="32"/>
        </w:rPr>
      </w:pPr>
      <w:r w:rsidRPr="00F93DF5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在貿易夥伴上，2014年中國大陸與開發中國家進出口比重較上年提高0.4個百分點，其中，對東</w:t>
      </w:r>
      <w:r w:rsidR="00B71EE5" w:rsidRPr="00F93DF5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協</w:t>
      </w:r>
      <w:r w:rsidRPr="00F93DF5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、印度、俄羅斯、非洲、中東歐國家等進出口成長</w:t>
      </w:r>
      <w:proofErr w:type="gramStart"/>
      <w:r w:rsidRPr="00F93DF5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速度均快於</w:t>
      </w:r>
      <w:proofErr w:type="gramEnd"/>
      <w:r w:rsidRPr="00F93DF5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整體貿易額成長，另對已開發國家如歐盟和美國，貿易總值則分別成長9.9%和6.6%，保持穩定的成長態勢。</w:t>
      </w:r>
    </w:p>
    <w:p w:rsidR="002F74C8" w:rsidRPr="00111C76" w:rsidRDefault="002F74C8" w:rsidP="002F74C8">
      <w:pPr>
        <w:widowControl/>
        <w:tabs>
          <w:tab w:val="left" w:pos="567"/>
        </w:tabs>
        <w:autoSpaceDE w:val="0"/>
        <w:snapToGrid w:val="0"/>
        <w:spacing w:beforeLines="25" w:before="60" w:line="480" w:lineRule="exact"/>
        <w:ind w:leftChars="1" w:left="568" w:hangingChars="202" w:hanging="566"/>
        <w:jc w:val="center"/>
        <w:rPr>
          <w:rFonts w:ascii="微軟正黑體" w:eastAsia="微軟正黑體" w:hAnsi="微軟正黑體" w:cs="Arial"/>
          <w:sz w:val="28"/>
          <w:szCs w:val="32"/>
        </w:rPr>
      </w:pPr>
      <w:r w:rsidRPr="00111C76">
        <w:rPr>
          <w:rFonts w:ascii="微軟正黑體" w:eastAsia="微軟正黑體" w:hAnsi="微軟正黑體" w:hint="eastAsia"/>
          <w:kern w:val="0"/>
          <w:sz w:val="28"/>
          <w:szCs w:val="32"/>
        </w:rPr>
        <w:t>表</w:t>
      </w:r>
      <w:r w:rsidRPr="00111C76">
        <w:rPr>
          <w:rFonts w:ascii="微軟正黑體" w:eastAsia="微軟正黑體" w:hAnsi="微軟正黑體"/>
          <w:kern w:val="0"/>
          <w:sz w:val="28"/>
          <w:szCs w:val="32"/>
        </w:rPr>
        <w:t>2-</w:t>
      </w:r>
      <w:r w:rsidR="003B6150">
        <w:rPr>
          <w:rFonts w:ascii="微軟正黑體" w:eastAsia="微軟正黑體" w:hAnsi="微軟正黑體" w:hint="eastAsia"/>
          <w:kern w:val="0"/>
          <w:sz w:val="28"/>
          <w:szCs w:val="32"/>
        </w:rPr>
        <w:t>1</w:t>
      </w:r>
      <w:r w:rsidRPr="00111C76">
        <w:rPr>
          <w:rFonts w:ascii="微軟正黑體" w:eastAsia="微軟正黑體" w:hAnsi="微軟正黑體"/>
          <w:kern w:val="0"/>
          <w:sz w:val="28"/>
          <w:szCs w:val="32"/>
        </w:rPr>
        <w:t xml:space="preserve">  中國</w:t>
      </w:r>
      <w:r w:rsidRPr="00111C76">
        <w:rPr>
          <w:rFonts w:ascii="微軟正黑體" w:eastAsia="微軟正黑體" w:hAnsi="微軟正黑體" w:hint="eastAsia"/>
          <w:kern w:val="0"/>
          <w:sz w:val="28"/>
          <w:szCs w:val="32"/>
        </w:rPr>
        <w:t>大陸</w:t>
      </w:r>
      <w:r w:rsidRPr="00111C76">
        <w:rPr>
          <w:rFonts w:ascii="微軟正黑體" w:eastAsia="微軟正黑體" w:hAnsi="微軟正黑體"/>
          <w:kern w:val="0"/>
          <w:sz w:val="28"/>
          <w:szCs w:val="32"/>
        </w:rPr>
        <w:t>對外貿易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1"/>
        <w:gridCol w:w="1090"/>
        <w:gridCol w:w="1090"/>
        <w:gridCol w:w="1090"/>
        <w:gridCol w:w="907"/>
        <w:gridCol w:w="1272"/>
        <w:gridCol w:w="873"/>
        <w:gridCol w:w="1300"/>
        <w:gridCol w:w="128"/>
      </w:tblGrid>
      <w:tr w:rsidR="002F74C8" w:rsidRPr="00161792" w:rsidTr="002F74C8">
        <w:trPr>
          <w:gridAfter w:val="1"/>
          <w:wAfter w:w="128" w:type="dxa"/>
          <w:trHeight w:val="227"/>
          <w:jc w:val="center"/>
        </w:trPr>
        <w:tc>
          <w:tcPr>
            <w:tcW w:w="9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單位：億美元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；</w:t>
            </w: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%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期間</w:t>
            </w:r>
          </w:p>
        </w:tc>
        <w:tc>
          <w:tcPr>
            <w:tcW w:w="2180" w:type="dxa"/>
            <w:gridSpan w:val="2"/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貿易總額</w:t>
            </w:r>
          </w:p>
        </w:tc>
        <w:tc>
          <w:tcPr>
            <w:tcW w:w="1997" w:type="dxa"/>
            <w:gridSpan w:val="2"/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出口</w:t>
            </w:r>
          </w:p>
        </w:tc>
        <w:tc>
          <w:tcPr>
            <w:tcW w:w="2145" w:type="dxa"/>
            <w:gridSpan w:val="2"/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進口</w:t>
            </w:r>
          </w:p>
        </w:tc>
        <w:tc>
          <w:tcPr>
            <w:tcW w:w="142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ind w:firstLineChars="100" w:firstLine="24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出</w:t>
            </w:r>
            <w:r w:rsidRPr="00161792">
              <w:rPr>
                <w:rFonts w:ascii="微軟正黑體" w:eastAsia="微軟正黑體" w:hAnsi="微軟正黑體" w:hint="eastAsia"/>
                <w:kern w:val="0"/>
              </w:rPr>
              <w:t>（入）</w:t>
            </w:r>
            <w:r w:rsidRPr="00161792">
              <w:rPr>
                <w:rFonts w:ascii="微軟正黑體" w:eastAsia="微軟正黑體" w:hAnsi="微軟正黑體"/>
                <w:kern w:val="0"/>
              </w:rPr>
              <w:t>超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金額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年增率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金額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年增率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金額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年增率</w:t>
            </w:r>
          </w:p>
        </w:tc>
        <w:tc>
          <w:tcPr>
            <w:tcW w:w="142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/>
                <w:kern w:val="0"/>
              </w:rPr>
              <w:t>金  額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2012年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38,668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6.2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20,489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18,178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4.3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2,311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第1季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8,594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7.2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4,299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4,295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6.9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第2季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9,801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8.6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5,243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10.5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4,558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6.5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685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第3季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10,030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3.0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5,412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4.5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4,618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1.4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794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第4季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10,249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6.2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5,542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9.4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4,708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2.7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834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2013年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41,603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7.6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22,100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19,503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7.3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2,597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第１季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9,753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13.5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5,087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18.3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4,667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8.6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420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第２季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10,217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3.7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5,439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2.5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4,778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4.8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661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第3季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10,631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5.9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5,621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3.2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5,010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8.5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611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第4季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11,002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7.3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5,953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5,048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7.3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905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2014年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43,030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3.4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23,427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6.1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19,602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0.4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3,824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第1季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9,658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-1.0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4,913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-3.4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4,745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1.6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</w:rPr>
              <w:t>167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第2季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第3季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10,556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11,411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3.2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7.3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5,706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6,351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4.8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12.9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4,847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5,063</w:t>
            </w: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1.3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1.1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858</w:t>
            </w:r>
          </w:p>
          <w:p w:rsidR="002F74C8" w:rsidRPr="00161792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1,290</w:t>
            </w:r>
          </w:p>
        </w:tc>
      </w:tr>
      <w:tr w:rsidR="002F74C8" w:rsidRPr="00161792" w:rsidTr="002F74C8">
        <w:trPr>
          <w:trHeight w:val="227"/>
          <w:jc w:val="center"/>
        </w:trPr>
        <w:tc>
          <w:tcPr>
            <w:tcW w:w="16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第4季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11,405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3.7</w:t>
            </w:r>
          </w:p>
        </w:tc>
        <w:tc>
          <w:tcPr>
            <w:tcW w:w="10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6,457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8.5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4,947</w:t>
            </w: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-2.0</w:t>
            </w:r>
          </w:p>
        </w:tc>
        <w:tc>
          <w:tcPr>
            <w:tcW w:w="14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74C8" w:rsidRDefault="002F74C8" w:rsidP="00A871EC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1,509</w:t>
            </w:r>
          </w:p>
        </w:tc>
      </w:tr>
    </w:tbl>
    <w:p w:rsidR="002F74C8" w:rsidRPr="00161792" w:rsidRDefault="002F74C8" w:rsidP="002F74C8">
      <w:pPr>
        <w:widowControl/>
        <w:spacing w:line="260" w:lineRule="atLeast"/>
        <w:rPr>
          <w:rFonts w:ascii="微軟正黑體" w:eastAsia="微軟正黑體" w:hAnsi="微軟正黑體"/>
          <w:sz w:val="20"/>
        </w:rPr>
      </w:pPr>
      <w:proofErr w:type="gramStart"/>
      <w:r w:rsidRPr="00161792">
        <w:rPr>
          <w:rFonts w:ascii="微軟正黑體" w:eastAsia="微軟正黑體" w:hAnsi="微軟正黑體" w:hint="eastAsia"/>
          <w:sz w:val="20"/>
        </w:rPr>
        <w:t>註</w:t>
      </w:r>
      <w:proofErr w:type="gramEnd"/>
      <w:r w:rsidRPr="00161792">
        <w:rPr>
          <w:rFonts w:ascii="微軟正黑體" w:eastAsia="微軟正黑體" w:hAnsi="微軟正黑體" w:hint="eastAsia"/>
          <w:sz w:val="20"/>
        </w:rPr>
        <w:t>：年</w:t>
      </w:r>
      <w:proofErr w:type="gramStart"/>
      <w:r w:rsidRPr="00161792">
        <w:rPr>
          <w:rFonts w:ascii="微軟正黑體" w:eastAsia="微軟正黑體" w:hAnsi="微軟正黑體" w:hint="eastAsia"/>
          <w:sz w:val="20"/>
        </w:rPr>
        <w:t>增率係指</w:t>
      </w:r>
      <w:proofErr w:type="gramEnd"/>
      <w:r w:rsidRPr="00161792">
        <w:rPr>
          <w:rFonts w:ascii="微軟正黑體" w:eastAsia="微軟正黑體" w:hAnsi="微軟正黑體" w:hint="eastAsia"/>
          <w:sz w:val="20"/>
        </w:rPr>
        <w:t>較上年或上年同</w:t>
      </w:r>
      <w:r>
        <w:rPr>
          <w:rFonts w:ascii="微軟正黑體" w:eastAsia="微軟正黑體" w:hAnsi="微軟正黑體" w:hint="eastAsia"/>
          <w:sz w:val="20"/>
        </w:rPr>
        <w:t>期</w:t>
      </w:r>
      <w:r w:rsidRPr="00161792">
        <w:rPr>
          <w:rFonts w:ascii="微軟正黑體" w:eastAsia="微軟正黑體" w:hAnsi="微軟正黑體" w:hint="eastAsia"/>
          <w:sz w:val="20"/>
        </w:rPr>
        <w:t>增減比率。</w:t>
      </w:r>
    </w:p>
    <w:p w:rsidR="002F74C8" w:rsidRPr="00161792" w:rsidRDefault="002F74C8" w:rsidP="002F74C8">
      <w:pPr>
        <w:snapToGrid w:val="0"/>
        <w:rPr>
          <w:rFonts w:ascii="微軟正黑體" w:eastAsia="微軟正黑體" w:hAnsi="微軟正黑體"/>
          <w:sz w:val="20"/>
        </w:rPr>
      </w:pPr>
      <w:r w:rsidRPr="00161792">
        <w:rPr>
          <w:rFonts w:ascii="微軟正黑體" w:eastAsia="微軟正黑體" w:hAnsi="微軟正黑體"/>
          <w:sz w:val="20"/>
        </w:rPr>
        <w:t>資料來源：中國大陸海關總署</w:t>
      </w:r>
      <w:r w:rsidRPr="00161792">
        <w:rPr>
          <w:rFonts w:ascii="微軟正黑體" w:eastAsia="微軟正黑體" w:hAnsi="微軟正黑體" w:hint="eastAsia"/>
          <w:sz w:val="20"/>
        </w:rPr>
        <w:t>、</w:t>
      </w:r>
      <w:r w:rsidRPr="00161792">
        <w:rPr>
          <w:rFonts w:ascii="微軟正黑體" w:eastAsia="微軟正黑體" w:hAnsi="微軟正黑體"/>
          <w:sz w:val="20"/>
        </w:rPr>
        <w:t>CEIC</w:t>
      </w:r>
      <w:r w:rsidRPr="00161792">
        <w:rPr>
          <w:rFonts w:ascii="微軟正黑體" w:eastAsia="微軟正黑體" w:hAnsi="微軟正黑體" w:hint="eastAsia"/>
          <w:sz w:val="20"/>
        </w:rPr>
        <w:t>資料庫</w:t>
      </w:r>
      <w:r w:rsidRPr="00161792">
        <w:rPr>
          <w:rFonts w:ascii="微軟正黑體" w:eastAsia="微軟正黑體" w:hAnsi="微軟正黑體"/>
          <w:sz w:val="20"/>
        </w:rPr>
        <w:t>。</w:t>
      </w:r>
    </w:p>
    <w:p w:rsidR="00270AF4" w:rsidRPr="00FD7848" w:rsidRDefault="00270AF4" w:rsidP="003B6150">
      <w:pPr>
        <w:widowControl/>
        <w:numPr>
          <w:ilvl w:val="0"/>
          <w:numId w:val="7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FD7848">
        <w:rPr>
          <w:rFonts w:ascii="微軟正黑體" w:eastAsia="微軟正黑體" w:hAnsi="微軟正黑體" w:hint="eastAsia"/>
          <w:b/>
          <w:sz w:val="28"/>
          <w:szCs w:val="32"/>
        </w:rPr>
        <w:lastRenderedPageBreak/>
        <w:t>房價走跌</w:t>
      </w:r>
    </w:p>
    <w:p w:rsidR="00270AF4" w:rsidRDefault="00270AF4" w:rsidP="00300F0C">
      <w:pPr>
        <w:widowControl/>
        <w:autoSpaceDE w:val="0"/>
        <w:snapToGrid w:val="0"/>
        <w:spacing w:beforeLines="25" w:before="60" w:line="44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 w:rsidRPr="00FD7848">
        <w:rPr>
          <w:rFonts w:ascii="微軟正黑體" w:eastAsia="微軟正黑體" w:hAnsi="微軟正黑體" w:hint="eastAsia"/>
          <w:sz w:val="28"/>
          <w:szCs w:val="32"/>
        </w:rPr>
        <w:t>受投資信心不足、銷售放緩及信貸調控影響，</w:t>
      </w:r>
      <w:r w:rsidRPr="00FD7848">
        <w:rPr>
          <w:rFonts w:ascii="微軟正黑體" w:eastAsia="微軟正黑體" w:hAnsi="微軟正黑體"/>
          <w:sz w:val="28"/>
          <w:szCs w:val="32"/>
        </w:rPr>
        <w:t>2014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年房地產開發投資僅成長</w:t>
      </w:r>
      <w:r w:rsidRPr="00FD7848">
        <w:rPr>
          <w:rFonts w:ascii="微軟正黑體" w:eastAsia="微軟正黑體" w:hAnsi="微軟正黑體"/>
          <w:sz w:val="28"/>
          <w:szCs w:val="32"/>
        </w:rPr>
        <w:t>1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0</w:t>
      </w:r>
      <w:r w:rsidRPr="00FD7848">
        <w:rPr>
          <w:rFonts w:ascii="微軟正黑體" w:eastAsia="微軟正黑體" w:hAnsi="微軟正黑體"/>
          <w:sz w:val="28"/>
          <w:szCs w:val="32"/>
        </w:rPr>
        <w:t>.5%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，增幅較上年下跌9</w:t>
      </w:r>
      <w:r w:rsidRPr="00FD7848">
        <w:rPr>
          <w:rFonts w:ascii="微軟正黑體" w:eastAsia="微軟正黑體" w:hAnsi="微軟正黑體"/>
          <w:sz w:val="28"/>
          <w:szCs w:val="32"/>
        </w:rPr>
        <w:t>.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3個百分點，其中商品房住宅部份銷售面積及銷售額分別下降</w:t>
      </w:r>
      <w:r w:rsidRPr="00FD7848">
        <w:rPr>
          <w:rFonts w:ascii="微軟正黑體" w:eastAsia="微軟正黑體" w:hAnsi="微軟正黑體"/>
          <w:sz w:val="28"/>
          <w:szCs w:val="32"/>
        </w:rPr>
        <w:t>7.6%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、</w:t>
      </w:r>
      <w:r w:rsidRPr="00FD7848">
        <w:rPr>
          <w:rFonts w:ascii="微軟正黑體" w:eastAsia="微軟正黑體" w:hAnsi="微軟正黑體"/>
          <w:sz w:val="28"/>
          <w:szCs w:val="32"/>
        </w:rPr>
        <w:t>7.8%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，待售面積則增加</w:t>
      </w:r>
      <w:r w:rsidRPr="00FD7848">
        <w:rPr>
          <w:rFonts w:ascii="微軟正黑體" w:eastAsia="微軟正黑體" w:hAnsi="微軟正黑體"/>
          <w:sz w:val="28"/>
          <w:szCs w:val="32"/>
        </w:rPr>
        <w:t>26.1%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，房地產市場出現大幅降溫跡象。</w:t>
      </w:r>
      <w:proofErr w:type="gramStart"/>
      <w:r w:rsidRPr="00FD7848">
        <w:rPr>
          <w:rFonts w:ascii="微軟正黑體" w:eastAsia="微軟正黑體" w:hAnsi="微軟正黑體" w:hint="eastAsia"/>
          <w:sz w:val="28"/>
          <w:szCs w:val="32"/>
        </w:rPr>
        <w:t>此外，</w:t>
      </w:r>
      <w:proofErr w:type="gramEnd"/>
      <w:r w:rsidRPr="00FD7848">
        <w:rPr>
          <w:rFonts w:ascii="微軟正黑體" w:eastAsia="微軟正黑體" w:hAnsi="微軟正黑體" w:hint="eastAsia"/>
          <w:sz w:val="28"/>
          <w:szCs w:val="32"/>
        </w:rPr>
        <w:t>在房價方面，2014年12月</w:t>
      </w:r>
      <w:r>
        <w:rPr>
          <w:rFonts w:ascii="微軟正黑體" w:eastAsia="微軟正黑體" w:hAnsi="微軟正黑體" w:hint="eastAsia"/>
          <w:sz w:val="28"/>
          <w:szCs w:val="32"/>
        </w:rPr>
        <w:t>中國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大陸</w:t>
      </w:r>
      <w:r w:rsidRPr="00FD7848">
        <w:rPr>
          <w:rFonts w:ascii="微軟正黑體" w:eastAsia="微軟正黑體" w:hAnsi="微軟正黑體"/>
          <w:sz w:val="28"/>
          <w:szCs w:val="32"/>
        </w:rPr>
        <w:t>100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個城市</w:t>
      </w:r>
      <w:proofErr w:type="gramStart"/>
      <w:r w:rsidRPr="00FD7848">
        <w:rPr>
          <w:rFonts w:ascii="微軟正黑體" w:eastAsia="微軟正黑體" w:hAnsi="微軟正黑體" w:hint="eastAsia"/>
          <w:sz w:val="28"/>
          <w:szCs w:val="32"/>
        </w:rPr>
        <w:t>住宅均價與</w:t>
      </w:r>
      <w:proofErr w:type="gramEnd"/>
      <w:r w:rsidRPr="00FD7848">
        <w:rPr>
          <w:rFonts w:ascii="微軟正黑體" w:eastAsia="微軟正黑體" w:hAnsi="微軟正黑體" w:hint="eastAsia"/>
          <w:sz w:val="28"/>
          <w:szCs w:val="32"/>
        </w:rPr>
        <w:t>上年同月相較下跌</w:t>
      </w:r>
      <w:r w:rsidRPr="00FD7848">
        <w:rPr>
          <w:rFonts w:ascii="微軟正黑體" w:eastAsia="微軟正黑體" w:hAnsi="微軟正黑體"/>
          <w:sz w:val="28"/>
          <w:szCs w:val="32"/>
        </w:rPr>
        <w:t>2.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7</w:t>
      </w:r>
      <w:r w:rsidRPr="00FD7848">
        <w:rPr>
          <w:rFonts w:ascii="微軟正黑體" w:eastAsia="微軟正黑體" w:hAnsi="微軟正黑體"/>
          <w:sz w:val="28"/>
          <w:szCs w:val="32"/>
        </w:rPr>
        <w:t>%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，連續8個月出現下跌且跌幅加劇，惟下跌城市略為減少。展望</w:t>
      </w:r>
      <w:r w:rsidRPr="00FD7848">
        <w:rPr>
          <w:rFonts w:ascii="微軟正黑體" w:eastAsia="微軟正黑體" w:hAnsi="微軟正黑體"/>
          <w:sz w:val="28"/>
          <w:szCs w:val="32"/>
        </w:rPr>
        <w:t>2015</w:t>
      </w:r>
      <w:r w:rsidRPr="00FD7848">
        <w:rPr>
          <w:rFonts w:ascii="微軟正黑體" w:eastAsia="微軟正黑體" w:hAnsi="微軟正黑體" w:hint="eastAsia"/>
          <w:sz w:val="28"/>
          <w:szCs w:val="32"/>
        </w:rPr>
        <w:t>年，中國大陸房地產市場仍面臨高庫存壓力，消化庫存仍是市場主軸，</w:t>
      </w:r>
      <w:proofErr w:type="gramStart"/>
      <w:r w:rsidRPr="00FD7848">
        <w:rPr>
          <w:rFonts w:ascii="微軟正黑體" w:eastAsia="微軟正黑體" w:hAnsi="微軟正黑體" w:hint="eastAsia"/>
          <w:sz w:val="28"/>
          <w:szCs w:val="32"/>
        </w:rPr>
        <w:t>房價仍潛存</w:t>
      </w:r>
      <w:proofErr w:type="gramEnd"/>
      <w:r w:rsidRPr="00FD7848">
        <w:rPr>
          <w:rFonts w:ascii="微軟正黑體" w:eastAsia="微軟正黑體" w:hAnsi="微軟正黑體" w:hint="eastAsia"/>
          <w:sz w:val="28"/>
          <w:szCs w:val="32"/>
        </w:rPr>
        <w:t>下跌壓力，惟不同城市房價走勢將繼續呈現分化。一線城市和少數二線城市潛在需求仍強，房價仍有上漲潛力；多數二線城市將相對平穩；三、四線城市房價下跌壓力大。</w:t>
      </w:r>
    </w:p>
    <w:p w:rsidR="00270AF4" w:rsidRPr="00270AF4" w:rsidRDefault="002A4541" w:rsidP="00300F0C">
      <w:pPr>
        <w:widowControl/>
        <w:numPr>
          <w:ilvl w:val="0"/>
          <w:numId w:val="7"/>
        </w:numPr>
        <w:tabs>
          <w:tab w:val="left" w:pos="567"/>
        </w:tabs>
        <w:autoSpaceDE w:val="0"/>
        <w:snapToGrid w:val="0"/>
        <w:spacing w:beforeLines="25" w:before="60" w:line="44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>
        <w:rPr>
          <w:rFonts w:ascii="微軟正黑體" w:eastAsia="微軟正黑體" w:hAnsi="微軟正黑體" w:hint="eastAsia"/>
          <w:b/>
          <w:sz w:val="28"/>
          <w:szCs w:val="32"/>
        </w:rPr>
        <w:t>通縮風險上升</w:t>
      </w:r>
    </w:p>
    <w:p w:rsidR="00270AF4" w:rsidRPr="002A4541" w:rsidRDefault="00270AF4" w:rsidP="00300F0C">
      <w:pPr>
        <w:widowControl/>
        <w:autoSpaceDE w:val="0"/>
        <w:snapToGrid w:val="0"/>
        <w:spacing w:beforeLines="25" w:before="60" w:line="440" w:lineRule="exact"/>
        <w:ind w:leftChars="236" w:left="566"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由於內需低迷與國際大宗商品價格下跌的雙重拖累下，中國大陸2014年全年消費者物價指數（CPI）上漲率為2.0%，為4年新低</w:t>
      </w:r>
      <w:r w:rsidR="002A4541"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，其中12月 CPI 僅上漲1.5%</w:t>
      </w:r>
      <w:r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。</w:t>
      </w:r>
      <w:proofErr w:type="gramStart"/>
      <w:r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另</w:t>
      </w:r>
      <w:proofErr w:type="gramEnd"/>
      <w:r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，2014年全年生產者價格指數（PPI）下降1.9%，其中12月下降3.3%，已連續34個月呈現負成長。CPI</w:t>
      </w:r>
      <w:r w:rsidR="002A4541"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 </w:t>
      </w:r>
      <w:r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上漲率持續下滑、PPI</w:t>
      </w:r>
      <w:r w:rsidR="002A4541"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 </w:t>
      </w:r>
      <w:r w:rsidRPr="002A4541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仍負成長，顯示中國大陸通貨緊縮風險持續上升，加以製造業產能過剩問題仍嚴重，中國大陸持續面臨內、外需疲弱的雙重壓力，短期內很難明顯提升。</w:t>
      </w:r>
    </w:p>
    <w:p w:rsidR="002F74C8" w:rsidRPr="00161792" w:rsidRDefault="002F74C8" w:rsidP="00300F0C">
      <w:pPr>
        <w:widowControl/>
        <w:numPr>
          <w:ilvl w:val="0"/>
          <w:numId w:val="7"/>
        </w:numPr>
        <w:tabs>
          <w:tab w:val="left" w:pos="567"/>
        </w:tabs>
        <w:autoSpaceDE w:val="0"/>
        <w:snapToGrid w:val="0"/>
        <w:spacing w:beforeLines="25" w:before="60" w:line="440" w:lineRule="exact"/>
        <w:ind w:left="330" w:hangingChars="118" w:hanging="330"/>
        <w:jc w:val="both"/>
        <w:rPr>
          <w:rFonts w:ascii="微軟正黑體" w:eastAsia="微軟正黑體" w:hAnsi="微軟正黑體"/>
          <w:b/>
          <w:sz w:val="28"/>
          <w:szCs w:val="32"/>
        </w:rPr>
      </w:pPr>
      <w:r>
        <w:rPr>
          <w:rFonts w:ascii="微軟正黑體" w:eastAsia="微軟正黑體" w:hAnsi="微軟正黑體" w:hint="eastAsia"/>
          <w:b/>
          <w:sz w:val="28"/>
          <w:szCs w:val="32"/>
        </w:rPr>
        <w:t>就業市場尚稱穩健</w:t>
      </w:r>
    </w:p>
    <w:p w:rsidR="002F74C8" w:rsidRDefault="002F74C8" w:rsidP="00300F0C">
      <w:pPr>
        <w:widowControl/>
        <w:autoSpaceDE w:val="0"/>
        <w:snapToGrid w:val="0"/>
        <w:spacing w:beforeLines="25" w:before="60" w:line="44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 w:rsidRPr="004D3428">
        <w:rPr>
          <w:rFonts w:ascii="微軟正黑體" w:eastAsia="微軟正黑體" w:hAnsi="微軟正黑體" w:hint="eastAsia"/>
          <w:sz w:val="28"/>
          <w:szCs w:val="32"/>
        </w:rPr>
        <w:t>人力資源和社會保障部</w:t>
      </w:r>
      <w:r w:rsidR="0048053B">
        <w:rPr>
          <w:rFonts w:ascii="微軟正黑體" w:eastAsia="微軟正黑體" w:hAnsi="微軟正黑體" w:hint="eastAsia"/>
          <w:sz w:val="28"/>
          <w:szCs w:val="32"/>
        </w:rPr>
        <w:t>2015年</w:t>
      </w:r>
      <w:r>
        <w:rPr>
          <w:rFonts w:ascii="微軟正黑體" w:eastAsia="微軟正黑體" w:hAnsi="微軟正黑體" w:hint="eastAsia"/>
          <w:sz w:val="28"/>
          <w:szCs w:val="32"/>
        </w:rPr>
        <w:t>1月23日指出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，</w:t>
      </w:r>
      <w:r>
        <w:rPr>
          <w:rFonts w:ascii="微軟正黑體" w:eastAsia="微軟正黑體" w:hAnsi="微軟正黑體" w:hint="eastAsia"/>
          <w:sz w:val="28"/>
          <w:szCs w:val="32"/>
        </w:rPr>
        <w:t>截至2014年年底止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，</w:t>
      </w:r>
      <w:r>
        <w:rPr>
          <w:rFonts w:ascii="微軟正黑體" w:eastAsia="微軟正黑體" w:hAnsi="微軟正黑體" w:hint="eastAsia"/>
          <w:sz w:val="28"/>
          <w:szCs w:val="32"/>
        </w:rPr>
        <w:t>中國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大陸共有1</w:t>
      </w:r>
      <w:r>
        <w:rPr>
          <w:rFonts w:ascii="微軟正黑體" w:eastAsia="微軟正黑體" w:hAnsi="微軟正黑體" w:hint="eastAsia"/>
          <w:sz w:val="28"/>
          <w:szCs w:val="32"/>
        </w:rPr>
        <w:t>9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個地區上調最低工資標準，平均增幅為14.</w:t>
      </w:r>
      <w:r>
        <w:rPr>
          <w:rFonts w:ascii="微軟正黑體" w:eastAsia="微軟正黑體" w:hAnsi="微軟正黑體" w:hint="eastAsia"/>
          <w:sz w:val="28"/>
          <w:szCs w:val="32"/>
        </w:rPr>
        <w:t>1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%</w:t>
      </w:r>
      <w:r>
        <w:rPr>
          <w:rFonts w:ascii="微軟正黑體" w:eastAsia="微軟正黑體" w:hAnsi="微軟正黑體" w:hint="eastAsia"/>
          <w:sz w:val="28"/>
          <w:szCs w:val="32"/>
        </w:rPr>
        <w:t>；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2011年</w:t>
      </w:r>
      <w:r>
        <w:rPr>
          <w:rFonts w:ascii="微軟正黑體" w:eastAsia="微軟正黑體" w:hAnsi="微軟正黑體" w:hint="eastAsia"/>
          <w:sz w:val="28"/>
          <w:szCs w:val="32"/>
        </w:rPr>
        <w:t>至2013年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期間，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最低工資標準平均增幅</w:t>
      </w:r>
      <w:r>
        <w:rPr>
          <w:rFonts w:ascii="微軟正黑體" w:eastAsia="微軟正黑體" w:hAnsi="微軟正黑體" w:hint="eastAsia"/>
          <w:sz w:val="28"/>
          <w:szCs w:val="32"/>
        </w:rPr>
        <w:t>分別為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22%</w:t>
      </w:r>
      <w:r>
        <w:rPr>
          <w:rFonts w:ascii="微軟正黑體" w:eastAsia="微軟正黑體" w:hAnsi="微軟正黑體" w:hint="eastAsia"/>
          <w:sz w:val="28"/>
          <w:szCs w:val="32"/>
        </w:rPr>
        <w:t>、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20.2%</w:t>
      </w:r>
      <w:r>
        <w:rPr>
          <w:rFonts w:ascii="微軟正黑體" w:eastAsia="微軟正黑體" w:hAnsi="微軟正黑體" w:hint="eastAsia"/>
          <w:sz w:val="28"/>
          <w:szCs w:val="32"/>
        </w:rPr>
        <w:t>、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17%</w:t>
      </w:r>
      <w:r>
        <w:rPr>
          <w:rFonts w:ascii="微軟正黑體" w:eastAsia="微軟正黑體" w:hAnsi="微軟正黑體" w:hint="eastAsia"/>
          <w:sz w:val="28"/>
          <w:szCs w:val="32"/>
        </w:rPr>
        <w:t>，工資上漲有趨緩現象</w:t>
      </w:r>
      <w:r w:rsidRPr="004D3428">
        <w:rPr>
          <w:rFonts w:ascii="微軟正黑體" w:eastAsia="微軟正黑體" w:hAnsi="微軟正黑體" w:hint="eastAsia"/>
          <w:sz w:val="28"/>
          <w:szCs w:val="32"/>
        </w:rPr>
        <w:t>。</w:t>
      </w:r>
      <w:r>
        <w:rPr>
          <w:rFonts w:ascii="微軟正黑體" w:eastAsia="微軟正黑體" w:hAnsi="微軟正黑體" w:hint="eastAsia"/>
          <w:sz w:val="28"/>
          <w:szCs w:val="32"/>
        </w:rPr>
        <w:t>在就業人口方面，2014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年</w:t>
      </w:r>
      <w:r>
        <w:rPr>
          <w:rFonts w:ascii="微軟正黑體" w:eastAsia="微軟正黑體" w:hAnsi="微軟正黑體" w:hint="eastAsia"/>
          <w:sz w:val="28"/>
          <w:szCs w:val="32"/>
        </w:rPr>
        <w:t>全年中國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大陸新增</w:t>
      </w:r>
      <w:r>
        <w:rPr>
          <w:rFonts w:ascii="微軟正黑體" w:eastAsia="微軟正黑體" w:hAnsi="微軟正黑體" w:hint="eastAsia"/>
          <w:sz w:val="28"/>
          <w:szCs w:val="32"/>
        </w:rPr>
        <w:t>城鎮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就業</w:t>
      </w:r>
      <w:r>
        <w:rPr>
          <w:rFonts w:ascii="微軟正黑體" w:eastAsia="微軟正黑體" w:hAnsi="微軟正黑體" w:hint="eastAsia"/>
          <w:sz w:val="28"/>
          <w:szCs w:val="32"/>
        </w:rPr>
        <w:t>已達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1,</w:t>
      </w:r>
      <w:r>
        <w:rPr>
          <w:rFonts w:ascii="微軟正黑體" w:eastAsia="微軟正黑體" w:hAnsi="微軟正黑體" w:hint="eastAsia"/>
          <w:sz w:val="28"/>
          <w:szCs w:val="32"/>
        </w:rPr>
        <w:t>322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萬人，</w:t>
      </w:r>
      <w:r>
        <w:rPr>
          <w:rFonts w:ascii="微軟正黑體" w:eastAsia="微軟正黑體" w:hAnsi="微軟正黑體" w:hint="eastAsia"/>
          <w:sz w:val="28"/>
          <w:szCs w:val="32"/>
        </w:rPr>
        <w:t>已於第3</w:t>
      </w:r>
      <w:r w:rsidR="00D171BC">
        <w:rPr>
          <w:rFonts w:ascii="微軟正黑體" w:eastAsia="微軟正黑體" w:hAnsi="微軟正黑體" w:hint="eastAsia"/>
          <w:sz w:val="28"/>
          <w:szCs w:val="32"/>
        </w:rPr>
        <w:t>季</w:t>
      </w:r>
      <w:r>
        <w:rPr>
          <w:rFonts w:ascii="微軟正黑體" w:eastAsia="微軟正黑體" w:hAnsi="微軟正黑體" w:hint="eastAsia"/>
          <w:sz w:val="28"/>
          <w:szCs w:val="32"/>
        </w:rPr>
        <w:t>前，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提前達成全年的目標。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另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，1月20日國家統計局於記者會中也公布2014年城鎮登記失業率為5.1%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，</w:t>
      </w:r>
      <w:r>
        <w:rPr>
          <w:rFonts w:ascii="微軟正黑體" w:eastAsia="微軟正黑體" w:hAnsi="微軟正黑體" w:hint="eastAsia"/>
          <w:sz w:val="28"/>
          <w:szCs w:val="32"/>
        </w:rPr>
        <w:t>顯示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就業情況</w:t>
      </w:r>
      <w:r>
        <w:rPr>
          <w:rFonts w:ascii="微軟正黑體" w:eastAsia="微軟正黑體" w:hAnsi="微軟正黑體" w:hint="eastAsia"/>
          <w:sz w:val="28"/>
          <w:szCs w:val="32"/>
        </w:rPr>
        <w:t>尚</w:t>
      </w:r>
      <w:r w:rsidRPr="00201596">
        <w:rPr>
          <w:rFonts w:ascii="微軟正黑體" w:eastAsia="微軟正黑體" w:hAnsi="微軟正黑體" w:hint="eastAsia"/>
          <w:sz w:val="28"/>
          <w:szCs w:val="32"/>
        </w:rPr>
        <w:t>處穩定</w:t>
      </w:r>
      <w:r>
        <w:rPr>
          <w:rFonts w:ascii="微軟正黑體" w:eastAsia="微軟正黑體" w:hAnsi="微軟正黑體" w:hint="eastAsia"/>
          <w:sz w:val="28"/>
          <w:szCs w:val="32"/>
        </w:rPr>
        <w:t>。</w:t>
      </w:r>
    </w:p>
    <w:p w:rsidR="001F4DAB" w:rsidRPr="00161792" w:rsidRDefault="001F4DAB" w:rsidP="001F4DAB">
      <w:pPr>
        <w:pStyle w:val="20"/>
        <w:spacing w:beforeLines="50" w:before="120" w:line="480" w:lineRule="exact"/>
        <w:rPr>
          <w:rFonts w:ascii="微軟正黑體" w:eastAsia="微軟正黑體" w:hAnsi="微軟正黑體"/>
          <w:sz w:val="28"/>
          <w:szCs w:val="32"/>
        </w:rPr>
      </w:pPr>
      <w:bookmarkStart w:id="8" w:name="_Toc413072669"/>
      <w:r w:rsidRPr="00161792">
        <w:rPr>
          <w:rFonts w:ascii="微軟正黑體" w:eastAsia="微軟正黑體" w:hAnsi="微軟正黑體" w:hint="eastAsia"/>
          <w:sz w:val="28"/>
          <w:szCs w:val="32"/>
        </w:rPr>
        <w:lastRenderedPageBreak/>
        <w:t>二、金融情勢及外人投資</w:t>
      </w:r>
      <w:bookmarkEnd w:id="8"/>
    </w:p>
    <w:p w:rsidR="002F74C8" w:rsidRPr="00B47E72" w:rsidRDefault="002F74C8" w:rsidP="00273851">
      <w:pPr>
        <w:widowControl/>
        <w:numPr>
          <w:ilvl w:val="0"/>
          <w:numId w:val="13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669" w:hanging="669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貨幣供給</w:t>
      </w:r>
      <w:r>
        <w:rPr>
          <w:rFonts w:ascii="微軟正黑體" w:eastAsia="微軟正黑體" w:hAnsi="微軟正黑體" w:hint="eastAsia"/>
          <w:b/>
          <w:sz w:val="28"/>
          <w:szCs w:val="32"/>
        </w:rPr>
        <w:t>回落</w:t>
      </w:r>
      <w:r>
        <w:rPr>
          <w:rFonts w:ascii="新細明體" w:hAnsi="新細明體" w:hint="eastAsia"/>
          <w:b/>
          <w:sz w:val="28"/>
          <w:szCs w:val="32"/>
        </w:rPr>
        <w:t>，</w:t>
      </w:r>
      <w:r>
        <w:rPr>
          <w:rFonts w:ascii="微軟正黑體" w:eastAsia="微軟正黑體" w:hAnsi="微軟正黑體" w:hint="eastAsia"/>
          <w:b/>
          <w:sz w:val="28"/>
          <w:szCs w:val="32"/>
        </w:rPr>
        <w:t>政策</w:t>
      </w:r>
      <w:r w:rsidRPr="00054A77">
        <w:rPr>
          <w:rFonts w:ascii="微軟正黑體" w:eastAsia="微軟正黑體" w:hAnsi="微軟正黑體" w:cstheme="minorBidi" w:hint="eastAsia"/>
          <w:b/>
          <w:sz w:val="28"/>
          <w:szCs w:val="28"/>
        </w:rPr>
        <w:t>轉趨</w:t>
      </w:r>
      <w:r>
        <w:rPr>
          <w:rFonts w:ascii="微軟正黑體" w:eastAsia="微軟正黑體" w:hAnsi="微軟正黑體" w:hint="eastAsia"/>
          <w:b/>
          <w:sz w:val="28"/>
          <w:szCs w:val="32"/>
        </w:rPr>
        <w:t>寬鬆</w:t>
      </w:r>
    </w:p>
    <w:p w:rsidR="002F74C8" w:rsidRPr="00FD7848" w:rsidRDefault="002F74C8" w:rsidP="00273851">
      <w:pPr>
        <w:widowControl/>
        <w:numPr>
          <w:ilvl w:val="2"/>
          <w:numId w:val="4"/>
        </w:numPr>
        <w:autoSpaceDE w:val="0"/>
        <w:snapToGrid w:val="0"/>
        <w:spacing w:beforeLines="25" w:before="60" w:line="480" w:lineRule="exact"/>
        <w:ind w:left="993" w:hanging="426"/>
        <w:jc w:val="both"/>
        <w:rPr>
          <w:rFonts w:ascii="微軟正黑體" w:eastAsia="微軟正黑體" w:hAnsi="微軟正黑體" w:cs="MS Gothic"/>
          <w:b/>
          <w:sz w:val="28"/>
          <w:szCs w:val="32"/>
        </w:rPr>
      </w:pPr>
      <w:r w:rsidRPr="00FD7848">
        <w:rPr>
          <w:rFonts w:ascii="微軟正黑體" w:eastAsia="微軟正黑體" w:hAnsi="微軟正黑體" w:cs="MS Gothic" w:hint="eastAsia"/>
          <w:b/>
          <w:sz w:val="28"/>
          <w:szCs w:val="32"/>
        </w:rPr>
        <w:t>貨幣供給增幅低於年度目標</w:t>
      </w:r>
      <w:r w:rsidR="00FD7848">
        <w:rPr>
          <w:rFonts w:ascii="新細明體" w:hAnsi="新細明體" w:cs="MS Gothic" w:hint="eastAsia"/>
          <w:b/>
          <w:sz w:val="28"/>
          <w:szCs w:val="32"/>
        </w:rPr>
        <w:t>：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2014年底，中國大陸狹義貨幣供給量（M1）餘額為34.8兆元，年成長率為3.2%，較上年減少6.1個百分點（圖2-2）。而廣義貨幣供給量（M2）餘額為122.8兆元，由於受到經濟結構調整及人民銀行加強監管措施影響，年成長率降至12.2%，較上年減少1.4個百分點（圖2-3），更低於13%的年度目標。</w:t>
      </w:r>
    </w:p>
    <w:tbl>
      <w:tblPr>
        <w:tblStyle w:val="ae"/>
        <w:tblW w:w="8221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6"/>
        <w:gridCol w:w="4085"/>
      </w:tblGrid>
      <w:tr w:rsidR="002F74C8" w:rsidRPr="00B47E72" w:rsidTr="002F74C8">
        <w:trPr>
          <w:trHeight w:val="3393"/>
        </w:trPr>
        <w:tc>
          <w:tcPr>
            <w:tcW w:w="4136" w:type="dxa"/>
          </w:tcPr>
          <w:p w:rsidR="002F74C8" w:rsidRPr="00B47E72" w:rsidRDefault="002F74C8" w:rsidP="002F74C8">
            <w:pPr>
              <w:tabs>
                <w:tab w:val="left" w:pos="567"/>
              </w:tabs>
              <w:spacing w:line="40" w:lineRule="exact"/>
              <w:ind w:rightChars="-413" w:right="-991"/>
              <w:rPr>
                <w:rFonts w:ascii="微軟正黑體" w:eastAsia="微軟正黑體" w:hAnsi="微軟正黑體" w:cstheme="minorBidi"/>
                <w:b/>
                <w:sz w:val="22"/>
                <w:szCs w:val="22"/>
              </w:rPr>
            </w:pPr>
            <w:r w:rsidRPr="00B47E72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EB16611" wp14:editId="46A5555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567940" cy="2164080"/>
                  <wp:effectExtent l="0" t="0" r="22860" b="0"/>
                  <wp:wrapTopAndBottom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5" w:type="dxa"/>
          </w:tcPr>
          <w:p w:rsidR="002F74C8" w:rsidRPr="00A14D81" w:rsidRDefault="002F74C8" w:rsidP="002F74C8">
            <w:pPr>
              <w:tabs>
                <w:tab w:val="left" w:pos="567"/>
              </w:tabs>
              <w:spacing w:line="40" w:lineRule="exact"/>
              <w:ind w:rightChars="-413" w:right="-991"/>
              <w:rPr>
                <w:rFonts w:ascii="微軟正黑體" w:eastAsia="微軟正黑體" w:hAnsi="微軟正黑體" w:cstheme="minorBidi"/>
                <w:b/>
                <w:sz w:val="22"/>
                <w:szCs w:val="22"/>
              </w:rPr>
            </w:pPr>
          </w:p>
          <w:p w:rsidR="002F74C8" w:rsidRPr="00B47E72" w:rsidRDefault="002F74C8" w:rsidP="002F74C8">
            <w:pPr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 w:rsidRPr="00B47E72">
              <w:rPr>
                <w:noProof/>
              </w:rPr>
              <w:drawing>
                <wp:inline distT="0" distB="0" distL="0" distR="0" wp14:anchorId="4FC8E405" wp14:editId="68E06ABB">
                  <wp:extent cx="2514600" cy="2141220"/>
                  <wp:effectExtent l="0" t="0" r="19050" b="0"/>
                  <wp:docPr id="9" name="圖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2F74C8" w:rsidRPr="00B47E72" w:rsidTr="002F74C8">
        <w:trPr>
          <w:trHeight w:val="317"/>
        </w:trPr>
        <w:tc>
          <w:tcPr>
            <w:tcW w:w="4136" w:type="dxa"/>
          </w:tcPr>
          <w:p w:rsidR="002F74C8" w:rsidRPr="00B47E72" w:rsidRDefault="002F74C8" w:rsidP="002F74C8">
            <w:pPr>
              <w:spacing w:line="320" w:lineRule="exact"/>
              <w:ind w:firstLineChars="100" w:firstLine="200"/>
              <w:rPr>
                <w:rFonts w:ascii="微軟正黑體" w:eastAsia="微軟正黑體" w:hAnsi="微軟正黑體" w:cstheme="minorBidi"/>
                <w:sz w:val="20"/>
                <w:szCs w:val="20"/>
              </w:rPr>
            </w:pPr>
            <w:r w:rsidRPr="00B47E72">
              <w:rPr>
                <w:rFonts w:ascii="微軟正黑體" w:eastAsia="微軟正黑體" w:hAnsi="微軟正黑體" w:cstheme="minorBidi" w:hint="eastAsia"/>
                <w:sz w:val="20"/>
                <w:szCs w:val="20"/>
              </w:rPr>
              <w:t>資料來源：CEIC，經濟處製圖。</w:t>
            </w:r>
          </w:p>
        </w:tc>
        <w:tc>
          <w:tcPr>
            <w:tcW w:w="4085" w:type="dxa"/>
          </w:tcPr>
          <w:p w:rsidR="002F74C8" w:rsidRPr="00B47E72" w:rsidRDefault="002F74C8" w:rsidP="002F74C8">
            <w:pPr>
              <w:spacing w:line="320" w:lineRule="exact"/>
              <w:ind w:firstLineChars="100" w:firstLine="200"/>
              <w:rPr>
                <w:rFonts w:ascii="微軟正黑體" w:eastAsia="微軟正黑體" w:hAnsi="微軟正黑體" w:cstheme="minorBidi"/>
                <w:sz w:val="20"/>
                <w:szCs w:val="20"/>
              </w:rPr>
            </w:pPr>
            <w:r w:rsidRPr="00B47E72">
              <w:rPr>
                <w:rFonts w:ascii="微軟正黑體" w:eastAsia="微軟正黑體" w:hAnsi="微軟正黑體" w:cstheme="minorBidi" w:hint="eastAsia"/>
                <w:sz w:val="20"/>
                <w:szCs w:val="20"/>
              </w:rPr>
              <w:t>資料來源：CEIC，經濟處製圖。</w:t>
            </w:r>
          </w:p>
        </w:tc>
      </w:tr>
      <w:tr w:rsidR="002F74C8" w:rsidRPr="00B47E72" w:rsidTr="002F74C8">
        <w:trPr>
          <w:trHeight w:val="339"/>
        </w:trPr>
        <w:tc>
          <w:tcPr>
            <w:tcW w:w="4136" w:type="dxa"/>
          </w:tcPr>
          <w:p w:rsidR="002F74C8" w:rsidRPr="00B47E72" w:rsidRDefault="002F74C8" w:rsidP="002F74C8">
            <w:pPr>
              <w:tabs>
                <w:tab w:val="left" w:pos="567"/>
              </w:tabs>
              <w:spacing w:line="480" w:lineRule="exact"/>
              <w:ind w:rightChars="-413" w:right="-991" w:firstLineChars="309" w:firstLine="680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 w:rsidRPr="00B47E72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圖2-2 中國大陸M1餘額</w:t>
            </w:r>
          </w:p>
        </w:tc>
        <w:tc>
          <w:tcPr>
            <w:tcW w:w="4085" w:type="dxa"/>
          </w:tcPr>
          <w:p w:rsidR="002F74C8" w:rsidRPr="00B47E72" w:rsidRDefault="002F74C8" w:rsidP="002F74C8">
            <w:pPr>
              <w:tabs>
                <w:tab w:val="left" w:pos="567"/>
              </w:tabs>
              <w:spacing w:line="480" w:lineRule="exact"/>
              <w:ind w:rightChars="-413" w:right="-991" w:firstLineChars="370" w:firstLine="814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 w:rsidRPr="00B47E72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圖2-3中國大陸M2餘額</w:t>
            </w:r>
          </w:p>
        </w:tc>
      </w:tr>
      <w:tr w:rsidR="002F74C8" w:rsidRPr="00B47E72" w:rsidTr="002F74C8">
        <w:trPr>
          <w:trHeight w:val="345"/>
        </w:trPr>
        <w:tc>
          <w:tcPr>
            <w:tcW w:w="8221" w:type="dxa"/>
            <w:gridSpan w:val="2"/>
          </w:tcPr>
          <w:p w:rsidR="002F74C8" w:rsidRPr="00B47E72" w:rsidRDefault="002F74C8" w:rsidP="002F74C8">
            <w:pPr>
              <w:spacing w:line="320" w:lineRule="exact"/>
              <w:ind w:firstLineChars="100" w:firstLine="200"/>
              <w:rPr>
                <w:rFonts w:ascii="微軟正黑體" w:eastAsia="微軟正黑體" w:hAnsi="微軟正黑體" w:cstheme="minorBidi"/>
                <w:sz w:val="20"/>
                <w:szCs w:val="20"/>
              </w:rPr>
            </w:pPr>
          </w:p>
        </w:tc>
      </w:tr>
    </w:tbl>
    <w:p w:rsidR="002F74C8" w:rsidRDefault="002F74C8" w:rsidP="008B3CE0">
      <w:pPr>
        <w:widowControl/>
        <w:numPr>
          <w:ilvl w:val="2"/>
          <w:numId w:val="4"/>
        </w:numPr>
        <w:autoSpaceDE w:val="0"/>
        <w:snapToGrid w:val="0"/>
        <w:spacing w:beforeLines="25" w:before="60" w:line="480" w:lineRule="exact"/>
        <w:jc w:val="both"/>
        <w:rPr>
          <w:rFonts w:ascii="微軟正黑體" w:eastAsia="微軟正黑體" w:hAnsi="微軟正黑體" w:cs="MS Gothic"/>
          <w:sz w:val="28"/>
          <w:szCs w:val="32"/>
        </w:rPr>
      </w:pPr>
      <w:r w:rsidRPr="00FD7848">
        <w:rPr>
          <w:rFonts w:ascii="微軟正黑體" w:eastAsia="微軟正黑體" w:hAnsi="微軟正黑體" w:cs="MS Gothic" w:hint="eastAsia"/>
          <w:b/>
          <w:sz w:val="28"/>
          <w:szCs w:val="32"/>
        </w:rPr>
        <w:t>政策轉趨寬鬆</w:t>
      </w:r>
      <w:r w:rsidR="00FD7848" w:rsidRPr="00FD7848">
        <w:rPr>
          <w:rFonts w:ascii="新細明體" w:hAnsi="新細明體" w:cs="MS Gothic" w:hint="eastAsia"/>
          <w:sz w:val="28"/>
          <w:szCs w:val="32"/>
        </w:rPr>
        <w:t>：</w:t>
      </w:r>
      <w:r w:rsidR="008B3CE0" w:rsidRPr="003B6150">
        <w:rPr>
          <w:rFonts w:ascii="微軟正黑體" w:eastAsia="微軟正黑體" w:hAnsi="微軟正黑體" w:cs="MS Gothic" w:hint="eastAsia"/>
          <w:sz w:val="28"/>
          <w:szCs w:val="32"/>
        </w:rPr>
        <w:t>為因應經濟走緩及緩解企業融資難的問題，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2014年中國大陸政府</w:t>
      </w:r>
      <w:r w:rsidR="008B3CE0">
        <w:rPr>
          <w:rFonts w:ascii="微軟正黑體" w:eastAsia="微軟正黑體" w:hAnsi="微軟正黑體" w:cs="MS Gothic" w:hint="eastAsia"/>
          <w:sz w:val="28"/>
          <w:szCs w:val="32"/>
        </w:rPr>
        <w:t>陸續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推出定向降</w:t>
      </w:r>
      <w:proofErr w:type="gramStart"/>
      <w:r w:rsidRPr="00FD7848">
        <w:rPr>
          <w:rFonts w:ascii="微軟正黑體" w:eastAsia="微軟正黑體" w:hAnsi="微軟正黑體" w:cs="MS Gothic" w:hint="eastAsia"/>
          <w:sz w:val="28"/>
          <w:szCs w:val="32"/>
        </w:rPr>
        <w:t>準</w:t>
      </w:r>
      <w:proofErr w:type="gramEnd"/>
      <w:r w:rsidR="00FD065D">
        <w:rPr>
          <w:rStyle w:val="a8"/>
          <w:rFonts w:ascii="微軟正黑體" w:eastAsia="微軟正黑體" w:hAnsi="微軟正黑體" w:cs="MS Gothic"/>
          <w:sz w:val="28"/>
          <w:szCs w:val="32"/>
        </w:rPr>
        <w:footnoteReference w:id="5"/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、下調金融機構存、貸款基準利率等措施，</w:t>
      </w:r>
      <w:r w:rsidR="0048053B">
        <w:rPr>
          <w:rFonts w:ascii="微軟正黑體" w:eastAsia="微軟正黑體" w:hAnsi="微軟正黑體" w:cs="MS Gothic" w:hint="eastAsia"/>
          <w:sz w:val="28"/>
          <w:szCs w:val="32"/>
        </w:rPr>
        <w:t>以</w:t>
      </w:r>
      <w:r w:rsidR="0048053B" w:rsidRPr="00FD7848">
        <w:rPr>
          <w:rFonts w:ascii="微軟正黑體" w:eastAsia="微軟正黑體" w:hAnsi="微軟正黑體" w:cs="MS Gothic" w:hint="eastAsia"/>
          <w:sz w:val="28"/>
          <w:szCs w:val="32"/>
        </w:rPr>
        <w:t>加大對「小、微企業」、「三農」及重大水利工程建設的支持力度，引導融資成本下降，</w:t>
      </w:r>
      <w:r w:rsidR="0048053B">
        <w:rPr>
          <w:rFonts w:ascii="微軟正黑體" w:eastAsia="微軟正黑體" w:hAnsi="微軟正黑體" w:cs="MS Gothic" w:hint="eastAsia"/>
          <w:sz w:val="28"/>
          <w:szCs w:val="32"/>
        </w:rPr>
        <w:t>強化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金融對實體經濟的支持。</w:t>
      </w:r>
    </w:p>
    <w:p w:rsidR="00166BC6" w:rsidRDefault="00166BC6" w:rsidP="00166BC6">
      <w:pPr>
        <w:widowControl/>
        <w:autoSpaceDE w:val="0"/>
        <w:snapToGrid w:val="0"/>
        <w:spacing w:beforeLines="25" w:before="60" w:line="480" w:lineRule="exact"/>
        <w:jc w:val="both"/>
        <w:rPr>
          <w:rFonts w:ascii="微軟正黑體" w:eastAsia="微軟正黑體" w:hAnsi="微軟正黑體" w:cs="MS Gothic"/>
          <w:sz w:val="28"/>
          <w:szCs w:val="32"/>
        </w:rPr>
      </w:pPr>
    </w:p>
    <w:p w:rsidR="00166BC6" w:rsidRDefault="00166BC6" w:rsidP="00166BC6">
      <w:pPr>
        <w:widowControl/>
        <w:autoSpaceDE w:val="0"/>
        <w:snapToGrid w:val="0"/>
        <w:spacing w:beforeLines="25" w:before="60" w:line="480" w:lineRule="exact"/>
        <w:jc w:val="both"/>
        <w:rPr>
          <w:rFonts w:ascii="微軟正黑體" w:eastAsia="微軟正黑體" w:hAnsi="微軟正黑體" w:cs="MS Gothic"/>
          <w:sz w:val="28"/>
          <w:szCs w:val="32"/>
        </w:rPr>
      </w:pPr>
    </w:p>
    <w:p w:rsidR="00166BC6" w:rsidRPr="00FD7848" w:rsidRDefault="00166BC6" w:rsidP="00166BC6">
      <w:pPr>
        <w:widowControl/>
        <w:autoSpaceDE w:val="0"/>
        <w:snapToGrid w:val="0"/>
        <w:spacing w:beforeLines="25" w:before="60" w:line="480" w:lineRule="exact"/>
        <w:jc w:val="both"/>
        <w:rPr>
          <w:rFonts w:ascii="微軟正黑體" w:eastAsia="微軟正黑體" w:hAnsi="微軟正黑體" w:cs="MS Gothic"/>
          <w:sz w:val="28"/>
          <w:szCs w:val="32"/>
        </w:rPr>
      </w:pPr>
    </w:p>
    <w:p w:rsidR="002F74C8" w:rsidRPr="00B47E72" w:rsidRDefault="002F74C8" w:rsidP="003B6150">
      <w:pPr>
        <w:widowControl/>
        <w:numPr>
          <w:ilvl w:val="0"/>
          <w:numId w:val="13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669" w:hanging="669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sz w:val="28"/>
          <w:szCs w:val="32"/>
        </w:rPr>
        <w:lastRenderedPageBreak/>
        <w:t>表外融資</w:t>
      </w:r>
      <w:r>
        <w:rPr>
          <w:rFonts w:ascii="微軟正黑體" w:eastAsia="微軟正黑體" w:hAnsi="微軟正黑體" w:hint="eastAsia"/>
          <w:b/>
          <w:sz w:val="28"/>
          <w:szCs w:val="32"/>
        </w:rPr>
        <w:t>比重下降</w:t>
      </w: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，信貸風險仍高</w:t>
      </w:r>
    </w:p>
    <w:p w:rsidR="002F74C8" w:rsidRPr="00B47E72" w:rsidRDefault="002F74C8" w:rsidP="002F74C8">
      <w:pPr>
        <w:tabs>
          <w:tab w:val="left" w:pos="567"/>
        </w:tabs>
        <w:spacing w:beforeLines="30" w:before="72" w:line="480" w:lineRule="exact"/>
        <w:ind w:left="567" w:firstLineChars="202" w:firstLine="566"/>
        <w:jc w:val="both"/>
        <w:rPr>
          <w:rFonts w:ascii="微軟正黑體" w:eastAsia="微軟正黑體" w:hAnsi="微軟正黑體" w:cstheme="minorBidi"/>
          <w:sz w:val="28"/>
          <w:szCs w:val="28"/>
        </w:rPr>
      </w:pP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2014年全年社會融資規模總額為人民幣16.5兆元，較上年減少8,598億元，為歷史次高（圖2-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4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）。其中，人民幣貸款為9.8兆元，較上年增加8,900億元，占社會融資規模比重達59.4%，增加8.1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個百分點，主要是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受到中國大陸加強監管措施，資產負債表外融資如委託貸款、信託貸款及未貼現銀行</w:t>
      </w:r>
      <w:proofErr w:type="gramStart"/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承兌匯票均較上年</w:t>
      </w:r>
      <w:proofErr w:type="gramEnd"/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大幅減少，三者合計減少2.3兆元，占社會融資規模比重從上年的29.8%下降至17.6%，減少12.2個百分點（表2-</w:t>
      </w:r>
      <w:r w:rsidR="003B6150">
        <w:rPr>
          <w:rFonts w:ascii="微軟正黑體" w:eastAsia="微軟正黑體" w:hAnsi="微軟正黑體" w:cstheme="minorBidi" w:hint="eastAsia"/>
          <w:sz w:val="28"/>
          <w:szCs w:val="28"/>
        </w:rPr>
        <w:t>2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）。</w:t>
      </w:r>
    </w:p>
    <w:p w:rsidR="002F74C8" w:rsidRPr="00B47E72" w:rsidRDefault="00A67403" w:rsidP="00A67403">
      <w:pPr>
        <w:tabs>
          <w:tab w:val="left" w:pos="567"/>
        </w:tabs>
        <w:spacing w:beforeLines="30" w:before="72" w:line="480" w:lineRule="exact"/>
        <w:ind w:left="567" w:firstLineChars="202" w:firstLine="485"/>
        <w:jc w:val="both"/>
        <w:rPr>
          <w:rFonts w:ascii="微軟正黑體" w:eastAsia="微軟正黑體" w:hAnsi="微軟正黑體" w:cstheme="minorBidi"/>
          <w:sz w:val="28"/>
          <w:szCs w:val="28"/>
        </w:rPr>
      </w:pPr>
      <w:r w:rsidRPr="00B47E72">
        <w:rPr>
          <w:noProof/>
        </w:rPr>
        <w:drawing>
          <wp:anchor distT="0" distB="0" distL="114300" distR="114300" simplePos="0" relativeHeight="251691008" behindDoc="0" locked="0" layoutInCell="1" allowOverlap="1" wp14:anchorId="096BA441" wp14:editId="018916B4">
            <wp:simplePos x="0" y="0"/>
            <wp:positionH relativeFrom="column">
              <wp:posOffset>297180</wp:posOffset>
            </wp:positionH>
            <wp:positionV relativeFrom="paragraph">
              <wp:posOffset>2324100</wp:posOffset>
            </wp:positionV>
            <wp:extent cx="5128260" cy="2407920"/>
            <wp:effectExtent l="0" t="0" r="0" b="0"/>
            <wp:wrapTopAndBottom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4C8" w:rsidRPr="00B47E72">
        <w:rPr>
          <w:rFonts w:ascii="微軟正黑體" w:eastAsia="微軟正黑體" w:hAnsi="微軟正黑體" w:cstheme="minorBidi" w:hint="eastAsia"/>
          <w:sz w:val="28"/>
          <w:szCs w:val="28"/>
        </w:rPr>
        <w:t>影子銀行在官方嚴格控管下，成長速度雖已逐漸減緩，但整體規模仍持續擴大，根據信用評等公司穆迪（Moody's）指出，截至2014年底，中國大陸的影子銀行資產規模達45兆元人民幣，占GDP的71%，高於2013年底的66%，經濟領域整體槓桿率上升；</w:t>
      </w:r>
      <w:proofErr w:type="gramStart"/>
      <w:r w:rsidR="002F74C8">
        <w:rPr>
          <w:rFonts w:ascii="微軟正黑體" w:eastAsia="微軟正黑體" w:hAnsi="微軟正黑體" w:cstheme="minorBidi" w:hint="eastAsia"/>
          <w:sz w:val="28"/>
          <w:szCs w:val="28"/>
        </w:rPr>
        <w:t>另</w:t>
      </w:r>
      <w:proofErr w:type="gramEnd"/>
      <w:r w:rsidR="002F74C8" w:rsidRPr="00B47E72">
        <w:rPr>
          <w:rFonts w:ascii="微軟正黑體" w:eastAsia="微軟正黑體" w:hAnsi="微軟正黑體" w:cstheme="minorBidi" w:hint="eastAsia"/>
          <w:sz w:val="28"/>
          <w:szCs w:val="28"/>
        </w:rPr>
        <w:t>，標準普爾則示警，中國大陸經濟成長趨緩，金融市場第2波信貸損失已逐漸成形</w:t>
      </w:r>
      <w:r w:rsidR="002F74C8" w:rsidRPr="00B47E72">
        <w:rPr>
          <w:rStyle w:val="a8"/>
          <w:rFonts w:ascii="微軟正黑體" w:eastAsia="微軟正黑體" w:hAnsi="微軟正黑體" w:cstheme="minorBidi"/>
          <w:sz w:val="28"/>
          <w:szCs w:val="28"/>
        </w:rPr>
        <w:footnoteReference w:id="6"/>
      </w:r>
      <w:r w:rsidR="002F74C8" w:rsidRPr="00B47E72">
        <w:rPr>
          <w:rFonts w:ascii="微軟正黑體" w:eastAsia="微軟正黑體" w:hAnsi="微軟正黑體" w:cstheme="minorBidi" w:hint="eastAsia"/>
          <w:sz w:val="28"/>
          <w:szCs w:val="28"/>
        </w:rPr>
        <w:t>，預期未來3年中國大陸信貸不良率恐翻</w:t>
      </w:r>
      <w:proofErr w:type="gramStart"/>
      <w:r w:rsidR="002F74C8" w:rsidRPr="00B47E72">
        <w:rPr>
          <w:rFonts w:ascii="微軟正黑體" w:eastAsia="微軟正黑體" w:hAnsi="微軟正黑體" w:cstheme="minorBidi" w:hint="eastAsia"/>
          <w:sz w:val="28"/>
          <w:szCs w:val="28"/>
        </w:rPr>
        <w:t>倍</w:t>
      </w:r>
      <w:proofErr w:type="gramEnd"/>
      <w:r w:rsidR="002F74C8" w:rsidRPr="00B47E72">
        <w:rPr>
          <w:rFonts w:ascii="微軟正黑體" w:eastAsia="微軟正黑體" w:hAnsi="微軟正黑體" w:cstheme="minorBidi" w:hint="eastAsia"/>
          <w:sz w:val="28"/>
          <w:szCs w:val="28"/>
        </w:rPr>
        <w:t>成長，信貸風險將為中國大陸未來經濟成長一大隱憂。</w:t>
      </w:r>
    </w:p>
    <w:p w:rsidR="002F74C8" w:rsidRPr="00B47E72" w:rsidRDefault="002F74C8" w:rsidP="002F74C8">
      <w:pPr>
        <w:tabs>
          <w:tab w:val="left" w:pos="567"/>
        </w:tabs>
        <w:spacing w:beforeLines="30" w:before="72" w:line="480" w:lineRule="exact"/>
        <w:ind w:left="567"/>
        <w:jc w:val="both"/>
        <w:rPr>
          <w:rFonts w:ascii="微軟正黑體" w:eastAsia="微軟正黑體" w:hAnsi="微軟正黑體" w:cstheme="minorBidi"/>
          <w:sz w:val="20"/>
          <w:szCs w:val="20"/>
        </w:rPr>
      </w:pPr>
      <w:r w:rsidRPr="00B47E72">
        <w:rPr>
          <w:rFonts w:ascii="微軟正黑體" w:eastAsia="微軟正黑體" w:hAnsi="微軟正黑體" w:cstheme="minorBidi" w:hint="eastAsia"/>
          <w:sz w:val="20"/>
          <w:szCs w:val="20"/>
        </w:rPr>
        <w:t>資料來源：CEIC</w:t>
      </w:r>
      <w:r w:rsidRPr="00B47E72">
        <w:rPr>
          <w:rFonts w:ascii="新細明體" w:hAnsi="新細明體" w:cstheme="minorBidi" w:hint="eastAsia"/>
          <w:sz w:val="20"/>
          <w:szCs w:val="20"/>
        </w:rPr>
        <w:t>、</w:t>
      </w:r>
      <w:r w:rsidRPr="00B47E72">
        <w:rPr>
          <w:rFonts w:ascii="微軟正黑體" w:eastAsia="微軟正黑體" w:hAnsi="微軟正黑體" w:cstheme="minorBidi" w:hint="eastAsia"/>
          <w:sz w:val="20"/>
          <w:szCs w:val="20"/>
        </w:rPr>
        <w:t>中國人民銀行，經濟處製圖。</w:t>
      </w:r>
    </w:p>
    <w:p w:rsidR="002F74C8" w:rsidRPr="00B47E72" w:rsidRDefault="002F74C8" w:rsidP="002F74C8">
      <w:pPr>
        <w:snapToGrid w:val="0"/>
        <w:spacing w:before="100" w:beforeAutospacing="1" w:afterLines="25" w:after="60"/>
        <w:ind w:left="567"/>
        <w:jc w:val="center"/>
        <w:rPr>
          <w:rFonts w:ascii="微軟正黑體" w:eastAsia="微軟正黑體" w:hAnsi="微軟正黑體" w:cstheme="minorBidi"/>
          <w:sz w:val="28"/>
          <w:szCs w:val="28"/>
        </w:rPr>
      </w:pP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圖2-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4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中國大陸社會融資總量</w:t>
      </w:r>
    </w:p>
    <w:p w:rsidR="002F74C8" w:rsidRPr="00B47E72" w:rsidRDefault="002F74C8" w:rsidP="002F74C8">
      <w:pPr>
        <w:widowControl/>
        <w:jc w:val="center"/>
        <w:rPr>
          <w:rFonts w:ascii="微軟正黑體" w:eastAsia="微軟正黑體" w:hAnsi="微軟正黑體" w:cstheme="majorBidi"/>
          <w:iCs/>
          <w:sz w:val="28"/>
          <w:szCs w:val="28"/>
        </w:rPr>
      </w:pPr>
      <w:r w:rsidRPr="00B47E72">
        <w:rPr>
          <w:rFonts w:ascii="微軟正黑體" w:eastAsia="微軟正黑體" w:hAnsi="微軟正黑體" w:cstheme="majorBidi" w:hint="eastAsia"/>
          <w:iCs/>
          <w:sz w:val="28"/>
          <w:szCs w:val="28"/>
        </w:rPr>
        <w:lastRenderedPageBreak/>
        <w:t>表2-</w:t>
      </w:r>
      <w:r w:rsidR="003B6150">
        <w:rPr>
          <w:rFonts w:ascii="微軟正黑體" w:eastAsia="微軟正黑體" w:hAnsi="微軟正黑體" w:cstheme="majorBidi" w:hint="eastAsia"/>
          <w:iCs/>
          <w:sz w:val="28"/>
          <w:szCs w:val="28"/>
        </w:rPr>
        <w:t>2</w:t>
      </w:r>
      <w:r w:rsidRPr="00B47E72">
        <w:rPr>
          <w:rFonts w:ascii="微軟正黑體" w:eastAsia="微軟正黑體" w:hAnsi="微軟正黑體" w:cstheme="majorBidi" w:hint="eastAsia"/>
          <w:iCs/>
          <w:sz w:val="28"/>
          <w:szCs w:val="28"/>
        </w:rPr>
        <w:t xml:space="preserve">  2014年社會融資總量結構</w:t>
      </w:r>
    </w:p>
    <w:tbl>
      <w:tblPr>
        <w:tblStyle w:val="152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053"/>
        <w:gridCol w:w="1053"/>
        <w:gridCol w:w="1053"/>
        <w:gridCol w:w="1053"/>
        <w:gridCol w:w="1175"/>
        <w:gridCol w:w="992"/>
        <w:gridCol w:w="1134"/>
      </w:tblGrid>
      <w:tr w:rsidR="00F451CC" w:rsidRPr="00B47E72" w:rsidTr="00F451CC">
        <w:trPr>
          <w:trHeight w:val="590"/>
        </w:trPr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人民幣貸款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外幣</w:t>
            </w:r>
          </w:p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貸款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企業債</w:t>
            </w: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F451CC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股票</w:t>
            </w:r>
          </w:p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融資</w:t>
            </w:r>
          </w:p>
        </w:tc>
        <w:tc>
          <w:tcPr>
            <w:tcW w:w="1175" w:type="dxa"/>
            <w:tcBorders>
              <w:right w:val="nil"/>
            </w:tcBorders>
            <w:vAlign w:val="center"/>
          </w:tcPr>
          <w:p w:rsidR="00F451CC" w:rsidRPr="00B47E72" w:rsidRDefault="00F451CC" w:rsidP="00B34435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委託</w:t>
            </w:r>
          </w:p>
          <w:p w:rsidR="00F451CC" w:rsidRPr="00B47E72" w:rsidRDefault="00F451CC" w:rsidP="00B34435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貸款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451CC" w:rsidRPr="00B47E72" w:rsidRDefault="00F451CC" w:rsidP="00B34435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信託</w:t>
            </w:r>
          </w:p>
          <w:p w:rsidR="00F451CC" w:rsidRPr="00B47E72" w:rsidRDefault="00F451CC" w:rsidP="00B34435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貸款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451CC" w:rsidRPr="00B47E72" w:rsidRDefault="00F451CC" w:rsidP="00B34435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未貼現銀行承兌匯票</w:t>
            </w:r>
          </w:p>
        </w:tc>
      </w:tr>
      <w:tr w:rsidR="00F451CC" w:rsidRPr="00B47E72" w:rsidTr="00F451CC">
        <w:trPr>
          <w:trHeight w:val="504"/>
        </w:trPr>
        <w:tc>
          <w:tcPr>
            <w:tcW w:w="852" w:type="dxa"/>
            <w:vMerge w:val="restart"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金額(億元)</w:t>
            </w:r>
          </w:p>
        </w:tc>
        <w:tc>
          <w:tcPr>
            <w:tcW w:w="1275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2013年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88,916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5,848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18,111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25,466 </w:t>
            </w:r>
          </w:p>
        </w:tc>
        <w:tc>
          <w:tcPr>
            <w:tcW w:w="1175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18,404 </w:t>
            </w:r>
          </w:p>
        </w:tc>
        <w:tc>
          <w:tcPr>
            <w:tcW w:w="992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7,756 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2,219 </w:t>
            </w:r>
          </w:p>
        </w:tc>
      </w:tr>
      <w:tr w:rsidR="00F451CC" w:rsidRPr="00B47E72" w:rsidTr="00F451CC">
        <w:trPr>
          <w:trHeight w:val="504"/>
        </w:trPr>
        <w:tc>
          <w:tcPr>
            <w:tcW w:w="852" w:type="dxa"/>
            <w:vMerge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2014年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97,816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3,554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24,253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25,070 </w:t>
            </w:r>
          </w:p>
        </w:tc>
        <w:tc>
          <w:tcPr>
            <w:tcW w:w="1175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5,174 </w:t>
            </w:r>
          </w:p>
        </w:tc>
        <w:tc>
          <w:tcPr>
            <w:tcW w:w="992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-1,285 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4,350 </w:t>
            </w:r>
          </w:p>
        </w:tc>
      </w:tr>
      <w:tr w:rsidR="00F451CC" w:rsidRPr="00B47E72" w:rsidTr="00F451CC">
        <w:trPr>
          <w:trHeight w:val="504"/>
        </w:trPr>
        <w:tc>
          <w:tcPr>
            <w:tcW w:w="852" w:type="dxa"/>
            <w:vMerge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增減金額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8,900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-2,294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6,142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-396</w:t>
            </w:r>
          </w:p>
        </w:tc>
        <w:tc>
          <w:tcPr>
            <w:tcW w:w="1175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-13,230</w:t>
            </w:r>
          </w:p>
        </w:tc>
        <w:tc>
          <w:tcPr>
            <w:tcW w:w="992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-9,041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>2,131</w:t>
            </w:r>
          </w:p>
        </w:tc>
      </w:tr>
      <w:tr w:rsidR="00F451CC" w:rsidRPr="00B47E72" w:rsidTr="00F451CC">
        <w:trPr>
          <w:trHeight w:val="504"/>
        </w:trPr>
        <w:tc>
          <w:tcPr>
            <w:tcW w:w="852" w:type="dxa"/>
            <w:vMerge w:val="restart"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比重(%)</w:t>
            </w:r>
          </w:p>
        </w:tc>
        <w:tc>
          <w:tcPr>
            <w:tcW w:w="1275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2013年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51.35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3.38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10.46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14.71 </w:t>
            </w:r>
          </w:p>
        </w:tc>
        <w:tc>
          <w:tcPr>
            <w:tcW w:w="1175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10.63 </w:t>
            </w:r>
          </w:p>
        </w:tc>
        <w:tc>
          <w:tcPr>
            <w:tcW w:w="992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4.48 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1.28 </w:t>
            </w:r>
          </w:p>
        </w:tc>
      </w:tr>
      <w:tr w:rsidR="00F451CC" w:rsidRPr="00B47E72" w:rsidTr="00F451CC">
        <w:trPr>
          <w:trHeight w:val="505"/>
        </w:trPr>
        <w:tc>
          <w:tcPr>
            <w:tcW w:w="852" w:type="dxa"/>
            <w:vMerge/>
            <w:tcBorders>
              <w:left w:val="nil"/>
            </w:tcBorders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51CC" w:rsidRPr="00B47E72" w:rsidRDefault="00F451CC" w:rsidP="002F74C8">
            <w:pPr>
              <w:spacing w:line="34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47E72">
              <w:rPr>
                <w:rFonts w:ascii="微軟正黑體" w:eastAsia="微軟正黑體" w:hAnsi="微軟正黑體" w:hint="eastAsia"/>
                <w:szCs w:val="28"/>
              </w:rPr>
              <w:t>2014年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59.44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2.16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14.74 </w:t>
            </w:r>
          </w:p>
        </w:tc>
        <w:tc>
          <w:tcPr>
            <w:tcW w:w="1053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15.23 </w:t>
            </w:r>
          </w:p>
        </w:tc>
        <w:tc>
          <w:tcPr>
            <w:tcW w:w="1175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3.14 </w:t>
            </w:r>
          </w:p>
        </w:tc>
        <w:tc>
          <w:tcPr>
            <w:tcW w:w="992" w:type="dxa"/>
            <w:vAlign w:val="center"/>
          </w:tcPr>
          <w:p w:rsidR="00F451CC" w:rsidRPr="00B47E72" w:rsidRDefault="00F451CC" w:rsidP="00B34435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-0.78 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451CC" w:rsidRPr="00B47E72" w:rsidRDefault="00F451CC" w:rsidP="002F74C8">
            <w:pPr>
              <w:jc w:val="right"/>
              <w:rPr>
                <w:rFonts w:ascii="微軟正黑體" w:eastAsia="微軟正黑體" w:hAnsi="微軟正黑體" w:cs="新細明體"/>
              </w:rPr>
            </w:pPr>
            <w:r w:rsidRPr="00B47E72">
              <w:rPr>
                <w:rFonts w:ascii="微軟正黑體" w:eastAsia="微軟正黑體" w:hAnsi="微軟正黑體" w:hint="eastAsia"/>
              </w:rPr>
              <w:t xml:space="preserve">2.64 </w:t>
            </w:r>
          </w:p>
        </w:tc>
      </w:tr>
    </w:tbl>
    <w:p w:rsidR="002F74C8" w:rsidRPr="00B47E72" w:rsidRDefault="002F74C8" w:rsidP="002F74C8">
      <w:pPr>
        <w:rPr>
          <w:rFonts w:ascii="微軟正黑體" w:eastAsia="微軟正黑體" w:hAnsi="微軟正黑體" w:cstheme="minorBidi"/>
          <w:sz w:val="20"/>
          <w:szCs w:val="20"/>
        </w:rPr>
      </w:pPr>
      <w:r w:rsidRPr="00B47E72">
        <w:rPr>
          <w:rFonts w:ascii="微軟正黑體" w:eastAsia="微軟正黑體" w:hAnsi="微軟正黑體" w:cstheme="minorBidi" w:hint="eastAsia"/>
          <w:sz w:val="20"/>
          <w:szCs w:val="20"/>
        </w:rPr>
        <w:t>資料來源：CEIC、中國人民銀行，經濟處自行計算。</w:t>
      </w:r>
    </w:p>
    <w:p w:rsidR="002F74C8" w:rsidRPr="00B47E72" w:rsidRDefault="002F74C8" w:rsidP="002F74C8">
      <w:pPr>
        <w:rPr>
          <w:rFonts w:ascii="微軟正黑體" w:eastAsia="微軟正黑體" w:hAnsi="微軟正黑體" w:cstheme="minorBidi"/>
          <w:sz w:val="20"/>
          <w:szCs w:val="20"/>
        </w:rPr>
      </w:pPr>
    </w:p>
    <w:p w:rsidR="002F74C8" w:rsidRPr="00B47E72" w:rsidRDefault="002F74C8" w:rsidP="003B6150">
      <w:pPr>
        <w:widowControl/>
        <w:numPr>
          <w:ilvl w:val="0"/>
          <w:numId w:val="13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669" w:hanging="669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股市表現強勁，屢創年度高點</w:t>
      </w:r>
    </w:p>
    <w:p w:rsidR="002F74C8" w:rsidRPr="00B47E72" w:rsidRDefault="002F74C8" w:rsidP="002F74C8">
      <w:pPr>
        <w:tabs>
          <w:tab w:val="left" w:pos="567"/>
        </w:tabs>
        <w:spacing w:beforeLines="30" w:before="72" w:line="480" w:lineRule="exact"/>
        <w:ind w:left="567" w:firstLineChars="202" w:firstLine="566"/>
        <w:jc w:val="both"/>
        <w:rPr>
          <w:rFonts w:ascii="微軟正黑體" w:eastAsia="微軟正黑體" w:hAnsi="微軟正黑體" w:cstheme="minorBidi"/>
          <w:sz w:val="28"/>
          <w:szCs w:val="28"/>
        </w:rPr>
      </w:pP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2014年初</w:t>
      </w:r>
      <w:r w:rsidRPr="0099522F">
        <w:rPr>
          <w:rFonts w:ascii="微軟正黑體" w:eastAsia="微軟正黑體" w:hAnsi="微軟正黑體" w:cstheme="minorBidi" w:hint="eastAsia"/>
          <w:sz w:val="28"/>
          <w:szCs w:val="28"/>
        </w:rPr>
        <w:t>，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中國大陸由於經濟成長趨緩</w:t>
      </w:r>
      <w:r w:rsidRPr="0099522F">
        <w:rPr>
          <w:rFonts w:ascii="微軟正黑體" w:eastAsia="微軟正黑體" w:hAnsi="微軟正黑體" w:cstheme="minorBidi" w:hint="eastAsia"/>
          <w:sz w:val="28"/>
          <w:szCs w:val="28"/>
        </w:rPr>
        <w:t>、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企業債違約</w:t>
      </w:r>
      <w:r w:rsidRPr="00B47E72">
        <w:rPr>
          <w:rFonts w:ascii="新細明體" w:hAnsi="新細明體" w:cstheme="minorBidi" w:hint="eastAsia"/>
          <w:sz w:val="28"/>
          <w:szCs w:val="28"/>
        </w:rPr>
        <w:t>、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房地產泡沫化以及人民幣貶值等問題影響，股市呈現疲弱走勢，但第3季後，由於人民幣緩步回升，</w:t>
      </w:r>
      <w:r w:rsidR="00BF197A">
        <w:rPr>
          <w:rFonts w:ascii="微軟正黑體" w:eastAsia="微軟正黑體" w:hAnsi="微軟正黑體" w:cstheme="minorBidi" w:hint="eastAsia"/>
          <w:sz w:val="28"/>
          <w:szCs w:val="28"/>
        </w:rPr>
        <w:t>海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外資金回流，</w:t>
      </w:r>
      <w:proofErr w:type="gramStart"/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以及滬港</w:t>
      </w:r>
      <w:proofErr w:type="gramEnd"/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通啟動預期，股市逐漸回溫，11月後，受到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人民銀行降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息的利多影響，股市表現強勁，屢創年度高點，至2014年</w:t>
      </w:r>
      <w:r w:rsidR="00C4764D">
        <w:rPr>
          <w:rFonts w:ascii="微軟正黑體" w:eastAsia="微軟正黑體" w:hAnsi="微軟正黑體" w:cstheme="minorBidi" w:hint="eastAsia"/>
          <w:sz w:val="28"/>
          <w:szCs w:val="28"/>
        </w:rPr>
        <w:t>12月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底，上證綜合指數和深圳綜合指數分別收於3,235點和1,415點，分別較上年</w:t>
      </w:r>
      <w:r w:rsidR="00C4764D">
        <w:rPr>
          <w:rFonts w:ascii="微軟正黑體" w:eastAsia="微軟正黑體" w:hAnsi="微軟正黑體" w:cstheme="minorBidi" w:hint="eastAsia"/>
          <w:sz w:val="28"/>
          <w:szCs w:val="28"/>
        </w:rPr>
        <w:t>12月底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上漲52.9%和上漲33.8%（圖2-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5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）。</w:t>
      </w:r>
    </w:p>
    <w:p w:rsidR="002F74C8" w:rsidRPr="00B47E72" w:rsidRDefault="002F74C8" w:rsidP="002F74C8">
      <w:pPr>
        <w:spacing w:beforeLines="50" w:before="120"/>
        <w:ind w:left="567"/>
        <w:rPr>
          <w:rFonts w:ascii="微軟正黑體" w:eastAsia="微軟正黑體" w:hAnsi="微軟正黑體" w:cstheme="minorBidi"/>
          <w:sz w:val="20"/>
          <w:szCs w:val="20"/>
        </w:rPr>
      </w:pPr>
      <w:r w:rsidRPr="00B47E72">
        <w:rPr>
          <w:noProof/>
        </w:rPr>
        <w:drawing>
          <wp:anchor distT="0" distB="0" distL="114300" distR="114300" simplePos="0" relativeHeight="251688960" behindDoc="0" locked="0" layoutInCell="1" allowOverlap="1" wp14:anchorId="791267F8" wp14:editId="522B9D76">
            <wp:simplePos x="0" y="0"/>
            <wp:positionH relativeFrom="column">
              <wp:posOffset>350520</wp:posOffset>
            </wp:positionH>
            <wp:positionV relativeFrom="paragraph">
              <wp:posOffset>114300</wp:posOffset>
            </wp:positionV>
            <wp:extent cx="5006340" cy="2103120"/>
            <wp:effectExtent l="0" t="0" r="3810" b="0"/>
            <wp:wrapTopAndBottom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72">
        <w:rPr>
          <w:rFonts w:ascii="微軟正黑體" w:eastAsia="微軟正黑體" w:hAnsi="微軟正黑體" w:cstheme="minorBidi" w:hint="eastAsia"/>
          <w:sz w:val="20"/>
          <w:szCs w:val="20"/>
        </w:rPr>
        <w:t>資料來源：CEIC，經濟處製圖。</w:t>
      </w:r>
    </w:p>
    <w:p w:rsidR="002F74C8" w:rsidRDefault="002F74C8" w:rsidP="002F74C8">
      <w:pPr>
        <w:ind w:left="567"/>
        <w:jc w:val="center"/>
        <w:rPr>
          <w:rFonts w:ascii="微軟正黑體" w:eastAsia="微軟正黑體" w:hAnsi="微軟正黑體" w:cstheme="minorBidi"/>
          <w:sz w:val="28"/>
          <w:szCs w:val="28"/>
        </w:rPr>
      </w:pP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圖2-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5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 xml:space="preserve">  中國大陸股價走勢</w:t>
      </w:r>
    </w:p>
    <w:p w:rsidR="007C7CC8" w:rsidRPr="00B47E72" w:rsidRDefault="007C7CC8" w:rsidP="002F74C8">
      <w:pPr>
        <w:ind w:left="567"/>
        <w:jc w:val="center"/>
        <w:rPr>
          <w:rFonts w:ascii="微軟正黑體" w:eastAsia="微軟正黑體" w:hAnsi="微軟正黑體" w:cstheme="minorBidi"/>
          <w:sz w:val="20"/>
          <w:szCs w:val="20"/>
        </w:rPr>
      </w:pPr>
    </w:p>
    <w:p w:rsidR="002F74C8" w:rsidRPr="00B47E72" w:rsidRDefault="002F74C8" w:rsidP="00273851">
      <w:pPr>
        <w:widowControl/>
        <w:numPr>
          <w:ilvl w:val="0"/>
          <w:numId w:val="13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669" w:hanging="669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B47E72">
        <w:rPr>
          <w:rFonts w:ascii="微軟正黑體" w:eastAsia="微軟正黑體" w:hAnsi="微軟正黑體" w:hint="eastAsia"/>
          <w:b/>
          <w:sz w:val="28"/>
          <w:szCs w:val="32"/>
        </w:rPr>
        <w:lastRenderedPageBreak/>
        <w:t>人民幣</w:t>
      </w:r>
      <w:r>
        <w:rPr>
          <w:rFonts w:ascii="微軟正黑體" w:eastAsia="微軟正黑體" w:hAnsi="微軟正黑體" w:hint="eastAsia"/>
          <w:b/>
          <w:sz w:val="28"/>
          <w:szCs w:val="32"/>
        </w:rPr>
        <w:t>波動幅度擴</w:t>
      </w:r>
      <w:r w:rsidRPr="00B47E72">
        <w:rPr>
          <w:rFonts w:ascii="微軟正黑體" w:eastAsia="微軟正黑體" w:hAnsi="微軟正黑體" w:hint="eastAsia"/>
          <w:b/>
          <w:sz w:val="28"/>
          <w:szCs w:val="32"/>
        </w:rPr>
        <w:t>大</w:t>
      </w:r>
      <w:r w:rsidRPr="00054A77">
        <w:rPr>
          <w:rFonts w:ascii="微軟正黑體" w:eastAsia="微軟正黑體" w:hAnsi="微軟正黑體" w:hint="eastAsia"/>
          <w:b/>
          <w:sz w:val="28"/>
          <w:szCs w:val="32"/>
        </w:rPr>
        <w:t>，</w:t>
      </w:r>
      <w:r>
        <w:rPr>
          <w:rFonts w:ascii="微軟正黑體" w:eastAsia="微軟正黑體" w:hAnsi="微軟正黑體" w:hint="eastAsia"/>
          <w:b/>
          <w:sz w:val="28"/>
          <w:szCs w:val="32"/>
        </w:rPr>
        <w:t>國際化加速</w:t>
      </w:r>
    </w:p>
    <w:p w:rsidR="002F74C8" w:rsidRPr="00FD7848" w:rsidRDefault="002F74C8" w:rsidP="00F93DF5">
      <w:pPr>
        <w:widowControl/>
        <w:numPr>
          <w:ilvl w:val="2"/>
          <w:numId w:val="4"/>
        </w:numPr>
        <w:autoSpaceDE w:val="0"/>
        <w:snapToGrid w:val="0"/>
        <w:spacing w:beforeLines="25" w:before="60" w:line="440" w:lineRule="exact"/>
        <w:ind w:left="992" w:hanging="425"/>
        <w:jc w:val="both"/>
        <w:rPr>
          <w:rFonts w:ascii="微軟正黑體" w:eastAsia="微軟正黑體" w:hAnsi="微軟正黑體" w:cs="MS Gothic"/>
          <w:sz w:val="28"/>
          <w:szCs w:val="32"/>
        </w:rPr>
      </w:pPr>
      <w:r w:rsidRPr="00FD7848">
        <w:rPr>
          <w:rFonts w:ascii="微軟正黑體" w:eastAsia="微軟正黑體" w:hAnsi="微軟正黑體" w:cs="MS Gothic" w:hint="eastAsia"/>
          <w:b/>
          <w:sz w:val="28"/>
          <w:szCs w:val="32"/>
        </w:rPr>
        <w:t>人民幣波動幅度擴大</w:t>
      </w:r>
      <w:r w:rsidR="00FD7848">
        <w:rPr>
          <w:rFonts w:ascii="新細明體" w:hAnsi="新細明體" w:cs="MS Gothic" w:hint="eastAsia"/>
          <w:b/>
          <w:sz w:val="28"/>
          <w:szCs w:val="32"/>
        </w:rPr>
        <w:t>：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2014年中國大陸積極推動人民幣匯率市場化、國際化，年初人民銀行強勢主導人民幣貶值，打破匯率單邊升值預期，並放寬人民幣匯率波動區間由１％擴大至２％，企圖使匯率預期分化，加大匯率雙向波動彈性，並正式啟動「</w:t>
      </w:r>
      <w:proofErr w:type="gramStart"/>
      <w:r w:rsidRPr="00FD7848">
        <w:rPr>
          <w:rFonts w:ascii="微軟正黑體" w:eastAsia="微軟正黑體" w:hAnsi="微軟正黑體" w:cs="MS Gothic" w:hint="eastAsia"/>
          <w:sz w:val="28"/>
          <w:szCs w:val="32"/>
        </w:rPr>
        <w:t>滬港通</w:t>
      </w:r>
      <w:proofErr w:type="gramEnd"/>
      <w:r w:rsidRPr="00FD7848">
        <w:rPr>
          <w:rFonts w:ascii="微軟正黑體" w:eastAsia="微軟正黑體" w:hAnsi="微軟正黑體" w:cs="MS Gothic" w:hint="eastAsia"/>
          <w:sz w:val="28"/>
          <w:szCs w:val="32"/>
        </w:rPr>
        <w:t>」，引導</w:t>
      </w:r>
      <w:r w:rsidR="00C4764D">
        <w:rPr>
          <w:rFonts w:ascii="微軟正黑體" w:eastAsia="微軟正黑體" w:hAnsi="微軟正黑體" w:cs="MS Gothic" w:hint="eastAsia"/>
          <w:sz w:val="28"/>
          <w:szCs w:val="32"/>
        </w:rPr>
        <w:t>海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外資金流入中國大陸，加大人民幣需求及波動幅度。截至2014年</w:t>
      </w:r>
      <w:r w:rsidR="00C4764D">
        <w:rPr>
          <w:rFonts w:ascii="微軟正黑體" w:eastAsia="微軟正黑體" w:hAnsi="微軟正黑體" w:cs="MS Gothic" w:hint="eastAsia"/>
          <w:sz w:val="28"/>
          <w:szCs w:val="32"/>
        </w:rPr>
        <w:t>12月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底，人民幣兌美元匯率中間價</w:t>
      </w:r>
      <w:r w:rsidR="003B6150">
        <w:rPr>
          <w:rStyle w:val="a8"/>
          <w:rFonts w:ascii="微軟正黑體" w:eastAsia="微軟正黑體" w:hAnsi="微軟正黑體" w:cs="MS Gothic"/>
          <w:sz w:val="28"/>
          <w:szCs w:val="32"/>
        </w:rPr>
        <w:footnoteReference w:id="7"/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為6.119，較第</w:t>
      </w:r>
      <w:r w:rsidR="000C37F2">
        <w:rPr>
          <w:rFonts w:ascii="微軟正黑體" w:eastAsia="微軟正黑體" w:hAnsi="微軟正黑體" w:cs="MS Gothic" w:hint="eastAsia"/>
          <w:sz w:val="28"/>
          <w:szCs w:val="32"/>
        </w:rPr>
        <w:t>3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季</w:t>
      </w:r>
      <w:r w:rsidR="00BF197A">
        <w:rPr>
          <w:rFonts w:ascii="微軟正黑體" w:eastAsia="微軟正黑體" w:hAnsi="微軟正黑體" w:cs="MS Gothic" w:hint="eastAsia"/>
          <w:sz w:val="28"/>
          <w:szCs w:val="32"/>
        </w:rPr>
        <w:t>末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上漲0.6%，較上年</w:t>
      </w:r>
      <w:r w:rsidR="00C4764D">
        <w:rPr>
          <w:rFonts w:ascii="微軟正黑體" w:eastAsia="微軟正黑體" w:hAnsi="微軟正黑體" w:cs="MS Gothic" w:hint="eastAsia"/>
          <w:sz w:val="28"/>
          <w:szCs w:val="32"/>
        </w:rPr>
        <w:t>12月底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微幅下跌0.4%（圖2-6）。展望2015年，在美元持續走強，亞洲貨幣競貶，中國大陸經濟成長放緩的影響下，預估人民幣短期升值空間有限，</w:t>
      </w:r>
      <w:r w:rsidR="00252EE1">
        <w:rPr>
          <w:rFonts w:ascii="微軟正黑體" w:eastAsia="微軟正黑體" w:hAnsi="微軟正黑體" w:cs="MS Gothic" w:hint="eastAsia"/>
          <w:sz w:val="28"/>
          <w:szCs w:val="32"/>
        </w:rPr>
        <w:t>漲跌</w:t>
      </w:r>
      <w:r w:rsidRPr="00FD7848">
        <w:rPr>
          <w:rFonts w:ascii="微軟正黑體" w:eastAsia="微軟正黑體" w:hAnsi="微軟正黑體" w:cs="MS Gothic" w:hint="eastAsia"/>
          <w:sz w:val="28"/>
          <w:szCs w:val="32"/>
        </w:rPr>
        <w:t>波動幅度將加大。</w:t>
      </w:r>
    </w:p>
    <w:p w:rsidR="002F74C8" w:rsidRPr="00FD7848" w:rsidRDefault="00F93DF5" w:rsidP="00F93DF5">
      <w:pPr>
        <w:widowControl/>
        <w:numPr>
          <w:ilvl w:val="2"/>
          <w:numId w:val="4"/>
        </w:numPr>
        <w:autoSpaceDE w:val="0"/>
        <w:snapToGrid w:val="0"/>
        <w:spacing w:beforeLines="25" w:before="60" w:line="440" w:lineRule="exact"/>
        <w:ind w:left="992" w:hanging="425"/>
        <w:jc w:val="both"/>
        <w:rPr>
          <w:rFonts w:ascii="微軟正黑體" w:eastAsia="微軟正黑體" w:hAnsi="微軟正黑體" w:cs="MS Gothic"/>
          <w:sz w:val="28"/>
          <w:szCs w:val="32"/>
        </w:rPr>
      </w:pPr>
      <w:r w:rsidRPr="00B47E72">
        <w:rPr>
          <w:noProof/>
        </w:rPr>
        <w:drawing>
          <wp:anchor distT="0" distB="0" distL="114300" distR="114300" simplePos="0" relativeHeight="251689984" behindDoc="0" locked="0" layoutInCell="1" allowOverlap="1" wp14:anchorId="2AD4ED89" wp14:editId="45A97271">
            <wp:simplePos x="0" y="0"/>
            <wp:positionH relativeFrom="column">
              <wp:posOffset>220980</wp:posOffset>
            </wp:positionH>
            <wp:positionV relativeFrom="paragraph">
              <wp:posOffset>2555240</wp:posOffset>
            </wp:positionV>
            <wp:extent cx="5227320" cy="1699260"/>
            <wp:effectExtent l="0" t="0" r="0" b="0"/>
            <wp:wrapTopAndBottom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4C8" w:rsidRPr="00FD7848">
        <w:rPr>
          <w:rFonts w:ascii="微軟正黑體" w:eastAsia="微軟正黑體" w:hAnsi="微軟正黑體" w:cs="MS Gothic" w:hint="eastAsia"/>
          <w:b/>
          <w:sz w:val="28"/>
          <w:szCs w:val="32"/>
        </w:rPr>
        <w:t>國際化加速</w:t>
      </w:r>
      <w:r w:rsidR="00FD7848">
        <w:rPr>
          <w:rFonts w:ascii="新細明體" w:hAnsi="新細明體" w:cs="MS Gothic" w:hint="eastAsia"/>
          <w:b/>
          <w:sz w:val="28"/>
          <w:szCs w:val="32"/>
        </w:rPr>
        <w:t>：</w:t>
      </w:r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環球銀行金融電信協會(SWIFT)公布，2014年12月人民幣作為全球支付貨幣的市占率達到2.2%，超越加元與澳幣，逼近日幣的2.7%，躍居全球第五大支付貨幣，未來可望納入國際貨幣基金組織(IMF)的特別提款權貨幣。</w:t>
      </w:r>
      <w:proofErr w:type="gramStart"/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此外，</w:t>
      </w:r>
      <w:proofErr w:type="gramEnd"/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人民銀行分別與英、德、法、</w:t>
      </w:r>
      <w:proofErr w:type="gramStart"/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盧</w:t>
      </w:r>
      <w:proofErr w:type="gramEnd"/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、韓、加、澳、卡塔爾等八國簽訂人民幣清算協定，將人民幣離岸市場，由傳統的亞洲地區，擴展到歐洲、美洲、大洋洲以及中東等地區，</w:t>
      </w:r>
      <w:proofErr w:type="gramStart"/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使離岸</w:t>
      </w:r>
      <w:proofErr w:type="gramEnd"/>
      <w:r w:rsidR="002F74C8" w:rsidRPr="00FD7848">
        <w:rPr>
          <w:rFonts w:ascii="微軟正黑體" w:eastAsia="微軟正黑體" w:hAnsi="微軟正黑體" w:cs="MS Gothic" w:hint="eastAsia"/>
          <w:sz w:val="28"/>
          <w:szCs w:val="32"/>
        </w:rPr>
        <w:t>人民幣交易大增，隨著國際間人民幣使用率日益頻繁，加速人民幣國際化進程。</w:t>
      </w:r>
    </w:p>
    <w:p w:rsidR="002F74C8" w:rsidRPr="00B47E72" w:rsidRDefault="002F74C8" w:rsidP="00F93DF5">
      <w:pPr>
        <w:tabs>
          <w:tab w:val="left" w:pos="567"/>
        </w:tabs>
        <w:spacing w:line="480" w:lineRule="exact"/>
        <w:ind w:leftChars="-1" w:left="-2" w:firstLineChars="178" w:firstLine="356"/>
        <w:rPr>
          <w:rFonts w:ascii="微軟正黑體" w:eastAsia="微軟正黑體" w:hAnsi="微軟正黑體" w:cstheme="minorBidi"/>
          <w:sz w:val="20"/>
          <w:szCs w:val="20"/>
        </w:rPr>
      </w:pPr>
      <w:r w:rsidRPr="00B47E72">
        <w:rPr>
          <w:rFonts w:ascii="微軟正黑體" w:eastAsia="微軟正黑體" w:hAnsi="微軟正黑體" w:cstheme="minorBidi" w:hint="eastAsia"/>
          <w:sz w:val="20"/>
          <w:szCs w:val="20"/>
        </w:rPr>
        <w:t>資料來源：中國國家外匯管理局，經濟處製圖。</w:t>
      </w:r>
    </w:p>
    <w:p w:rsidR="002F74C8" w:rsidRPr="00B47E72" w:rsidRDefault="002F74C8" w:rsidP="00396A54">
      <w:pPr>
        <w:tabs>
          <w:tab w:val="left" w:pos="567"/>
        </w:tabs>
        <w:spacing w:beforeLines="25" w:before="60" w:line="480" w:lineRule="exact"/>
        <w:ind w:leftChars="-58" w:left="1" w:hangingChars="50" w:hanging="140"/>
        <w:jc w:val="center"/>
        <w:rPr>
          <w:rFonts w:ascii="微軟正黑體" w:eastAsia="微軟正黑體" w:hAnsi="微軟正黑體" w:cstheme="minorBidi"/>
          <w:sz w:val="28"/>
          <w:szCs w:val="28"/>
        </w:rPr>
      </w:pP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>圖2-</w:t>
      </w:r>
      <w:r>
        <w:rPr>
          <w:rFonts w:ascii="微軟正黑體" w:eastAsia="微軟正黑體" w:hAnsi="微軟正黑體" w:cstheme="minorBidi" w:hint="eastAsia"/>
          <w:sz w:val="28"/>
          <w:szCs w:val="28"/>
        </w:rPr>
        <w:t>6</w:t>
      </w:r>
      <w:r w:rsidRPr="00B47E72">
        <w:rPr>
          <w:rFonts w:ascii="微軟正黑體" w:eastAsia="微軟正黑體" w:hAnsi="微軟正黑體" w:cstheme="minorBidi" w:hint="eastAsia"/>
          <w:sz w:val="28"/>
          <w:szCs w:val="28"/>
        </w:rPr>
        <w:t xml:space="preserve">  人民幣兌美元匯率走勢圖</w:t>
      </w:r>
    </w:p>
    <w:p w:rsidR="002F74C8" w:rsidRPr="00D80208" w:rsidRDefault="002F74C8" w:rsidP="00273851">
      <w:pPr>
        <w:widowControl/>
        <w:numPr>
          <w:ilvl w:val="0"/>
          <w:numId w:val="13"/>
        </w:numPr>
        <w:tabs>
          <w:tab w:val="left" w:pos="567"/>
        </w:tabs>
        <w:autoSpaceDE w:val="0"/>
        <w:snapToGrid w:val="0"/>
        <w:spacing w:beforeLines="25" w:before="60" w:line="480" w:lineRule="exact"/>
        <w:ind w:left="669" w:hanging="669"/>
        <w:jc w:val="both"/>
        <w:rPr>
          <w:rFonts w:ascii="微軟正黑體" w:eastAsia="微軟正黑體" w:hAnsi="微軟正黑體"/>
          <w:b/>
          <w:sz w:val="28"/>
          <w:szCs w:val="32"/>
        </w:rPr>
      </w:pPr>
      <w:r w:rsidRPr="00D80208">
        <w:rPr>
          <w:rFonts w:ascii="微軟正黑體" w:eastAsia="微軟正黑體" w:hAnsi="微軟正黑體" w:hint="eastAsia"/>
          <w:b/>
          <w:sz w:val="28"/>
          <w:szCs w:val="32"/>
        </w:rPr>
        <w:lastRenderedPageBreak/>
        <w:t>外人投資</w:t>
      </w:r>
      <w:r>
        <w:rPr>
          <w:rFonts w:ascii="微軟正黑體" w:eastAsia="微軟正黑體" w:hAnsi="微軟正黑體" w:hint="eastAsia"/>
          <w:b/>
          <w:sz w:val="28"/>
          <w:szCs w:val="32"/>
        </w:rPr>
        <w:t>微增</w:t>
      </w:r>
      <w:r w:rsidRPr="002F74C8">
        <w:rPr>
          <w:rFonts w:ascii="微軟正黑體" w:eastAsia="微軟正黑體" w:hAnsi="微軟正黑體" w:hint="eastAsia"/>
          <w:b/>
          <w:sz w:val="28"/>
          <w:szCs w:val="32"/>
        </w:rPr>
        <w:t>，</w:t>
      </w:r>
      <w:r w:rsidRPr="00D80208">
        <w:rPr>
          <w:rFonts w:ascii="微軟正黑體" w:eastAsia="微軟正黑體" w:hAnsi="微軟正黑體" w:hint="eastAsia"/>
          <w:b/>
          <w:sz w:val="28"/>
          <w:szCs w:val="32"/>
        </w:rPr>
        <w:t>對外投資</w:t>
      </w:r>
      <w:r w:rsidR="00C1042D">
        <w:rPr>
          <w:rFonts w:ascii="微軟正黑體" w:eastAsia="微軟正黑體" w:hAnsi="微軟正黑體" w:hint="eastAsia"/>
          <w:b/>
          <w:sz w:val="28"/>
          <w:szCs w:val="32"/>
        </w:rPr>
        <w:t>擴增</w:t>
      </w:r>
    </w:p>
    <w:p w:rsidR="002F74C8" w:rsidRDefault="002F74C8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根據中國大陸商務部資料顯示</w:t>
      </w:r>
      <w:r w:rsidRPr="00642163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2014年</w:t>
      </w:r>
      <w:r>
        <w:rPr>
          <w:rFonts w:ascii="微軟正黑體" w:eastAsia="微軟正黑體" w:hAnsi="微軟正黑體" w:hint="eastAsia"/>
          <w:sz w:val="28"/>
          <w:szCs w:val="32"/>
        </w:rPr>
        <w:t>中國大陸實際使用外資金額為1</w:t>
      </w:r>
      <w:r w:rsidR="00C0290F">
        <w:rPr>
          <w:rFonts w:ascii="微軟正黑體" w:eastAsia="微軟正黑體" w:hAnsi="微軟正黑體" w:hint="eastAsia"/>
          <w:sz w:val="28"/>
          <w:szCs w:val="32"/>
        </w:rPr>
        <w:t>,</w:t>
      </w:r>
      <w:r>
        <w:rPr>
          <w:rFonts w:ascii="微軟正黑體" w:eastAsia="微軟正黑體" w:hAnsi="微軟正黑體" w:hint="eastAsia"/>
          <w:sz w:val="28"/>
          <w:szCs w:val="32"/>
        </w:rPr>
        <w:t>195.6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億美元，較上年</w:t>
      </w:r>
      <w:r>
        <w:rPr>
          <w:rFonts w:ascii="微軟正黑體" w:eastAsia="微軟正黑體" w:hAnsi="微軟正黑體" w:hint="eastAsia"/>
          <w:sz w:val="28"/>
          <w:szCs w:val="32"/>
        </w:rPr>
        <w:t>成長1.7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%。其中，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服務業吸</w:t>
      </w:r>
      <w:r>
        <w:rPr>
          <w:rFonts w:ascii="微軟正黑體" w:eastAsia="微軟正黑體" w:hAnsi="微軟正黑體" w:hint="eastAsia"/>
          <w:sz w:val="28"/>
          <w:szCs w:val="32"/>
        </w:rPr>
        <w:t>引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外資占比上升達55.4%，</w:t>
      </w:r>
      <w:r>
        <w:rPr>
          <w:rFonts w:ascii="微軟正黑體" w:eastAsia="微軟正黑體" w:hAnsi="微軟正黑體" w:hint="eastAsia"/>
          <w:sz w:val="28"/>
          <w:szCs w:val="32"/>
        </w:rPr>
        <w:t>較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製造業</w:t>
      </w:r>
      <w:r>
        <w:rPr>
          <w:rFonts w:ascii="微軟正黑體" w:eastAsia="微軟正黑體" w:hAnsi="微軟正黑體" w:hint="eastAsia"/>
          <w:sz w:val="28"/>
          <w:szCs w:val="32"/>
        </w:rPr>
        <w:t>多出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22個百分點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。以外資來源國來看，占比達94</w:t>
      </w:r>
      <w:r>
        <w:rPr>
          <w:rFonts w:ascii="微軟正黑體" w:eastAsia="微軟正黑體" w:hAnsi="微軟正黑體" w:hint="eastAsia"/>
          <w:sz w:val="28"/>
          <w:szCs w:val="32"/>
        </w:rPr>
        <w:t>.2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%的前</w:t>
      </w:r>
      <w:r>
        <w:rPr>
          <w:rFonts w:ascii="微軟正黑體" w:eastAsia="微軟正黑體" w:hAnsi="微軟正黑體" w:hint="eastAsia"/>
          <w:sz w:val="28"/>
          <w:szCs w:val="32"/>
        </w:rPr>
        <w:t>10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國（香港、</w:t>
      </w:r>
      <w:r>
        <w:rPr>
          <w:rFonts w:ascii="微軟正黑體" w:eastAsia="微軟正黑體" w:hAnsi="微軟正黑體" w:hint="eastAsia"/>
          <w:sz w:val="28"/>
          <w:szCs w:val="32"/>
        </w:rPr>
        <w:t>臺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灣、新加坡、韓國、日本、美國、德國、英國、法國和荷蘭）</w:t>
      </w:r>
      <w:r w:rsidRPr="00D80208">
        <w:rPr>
          <w:rFonts w:ascii="新細明體" w:hAnsi="新細明體" w:hint="eastAsia"/>
          <w:sz w:val="28"/>
          <w:szCs w:val="32"/>
        </w:rPr>
        <w:t>，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僅較上年成長</w:t>
      </w:r>
      <w:r>
        <w:rPr>
          <w:rFonts w:ascii="微軟正黑體" w:eastAsia="微軟正黑體" w:hAnsi="微軟正黑體" w:hint="eastAsia"/>
          <w:sz w:val="28"/>
          <w:szCs w:val="32"/>
        </w:rPr>
        <w:t>2.7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%；其中</w:t>
      </w:r>
      <w:r w:rsidRPr="00D80208">
        <w:rPr>
          <w:rFonts w:ascii="新細明體" w:hAnsi="新細明體" w:hint="eastAsia"/>
          <w:sz w:val="28"/>
          <w:szCs w:val="32"/>
        </w:rPr>
        <w:t>，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韓國及英國成長較快，分別成長</w:t>
      </w:r>
      <w:r>
        <w:rPr>
          <w:rFonts w:ascii="微軟正黑體" w:eastAsia="微軟正黑體" w:hAnsi="微軟正黑體" w:hint="eastAsia"/>
          <w:sz w:val="28"/>
          <w:szCs w:val="32"/>
        </w:rPr>
        <w:t>29.8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%及</w:t>
      </w:r>
      <w:r>
        <w:rPr>
          <w:rFonts w:ascii="微軟正黑體" w:eastAsia="微軟正黑體" w:hAnsi="微軟正黑體" w:hint="eastAsia"/>
          <w:sz w:val="28"/>
          <w:szCs w:val="32"/>
        </w:rPr>
        <w:t>28</w:t>
      </w:r>
      <w:r w:rsidRPr="00D80208">
        <w:rPr>
          <w:rFonts w:ascii="微軟正黑體" w:eastAsia="微軟正黑體" w:hAnsi="微軟正黑體" w:hint="eastAsia"/>
          <w:sz w:val="28"/>
          <w:szCs w:val="32"/>
        </w:rPr>
        <w:t>%；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荷蘭和日本則分別下降</w:t>
      </w:r>
      <w:r w:rsidRPr="00CF4E47">
        <w:rPr>
          <w:rFonts w:ascii="微軟正黑體" w:eastAsia="微軟正黑體" w:hAnsi="微軟正黑體"/>
          <w:sz w:val="28"/>
          <w:szCs w:val="32"/>
        </w:rPr>
        <w:t>50.1%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和</w:t>
      </w:r>
      <w:r w:rsidRPr="00CF4E47">
        <w:rPr>
          <w:rFonts w:ascii="微軟正黑體" w:eastAsia="微軟正黑體" w:hAnsi="微軟正黑體"/>
          <w:sz w:val="28"/>
          <w:szCs w:val="32"/>
        </w:rPr>
        <w:t>38.8%</w:t>
      </w:r>
      <w:r w:rsidRPr="00CF4E47">
        <w:rPr>
          <w:rFonts w:ascii="微軟正黑體" w:eastAsia="微軟正黑體" w:hAnsi="微軟正黑體" w:hint="eastAsia"/>
          <w:sz w:val="28"/>
          <w:szCs w:val="32"/>
        </w:rPr>
        <w:t>。</w:t>
      </w:r>
      <w:r>
        <w:rPr>
          <w:rFonts w:ascii="微軟正黑體" w:eastAsia="微軟正黑體" w:hAnsi="微軟正黑體" w:hint="eastAsia"/>
          <w:sz w:val="28"/>
          <w:szCs w:val="32"/>
        </w:rPr>
        <w:t>另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據聯合國發</w:t>
      </w:r>
      <w:r>
        <w:rPr>
          <w:rFonts w:ascii="微軟正黑體" w:eastAsia="微軟正黑體" w:hAnsi="微軟正黑體" w:hint="eastAsia"/>
          <w:sz w:val="28"/>
          <w:szCs w:val="32"/>
        </w:rPr>
        <w:t>布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的</w:t>
      </w:r>
      <w:r>
        <w:rPr>
          <w:rFonts w:ascii="微軟正黑體" w:eastAsia="微軟正黑體" w:hAnsi="微軟正黑體" w:hint="eastAsia"/>
          <w:sz w:val="28"/>
          <w:szCs w:val="32"/>
        </w:rPr>
        <w:t>「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全球投資趨勢監測報告</w:t>
      </w:r>
      <w:r>
        <w:rPr>
          <w:rFonts w:ascii="微軟正黑體" w:eastAsia="微軟正黑體" w:hAnsi="微軟正黑體" w:hint="eastAsia"/>
          <w:sz w:val="28"/>
          <w:szCs w:val="32"/>
        </w:rPr>
        <w:t>」指出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，</w:t>
      </w:r>
      <w:r w:rsidRPr="00C27CE2">
        <w:rPr>
          <w:rFonts w:ascii="微軟正黑體" w:eastAsia="微軟正黑體" w:hAnsi="微軟正黑體"/>
          <w:sz w:val="28"/>
          <w:szCs w:val="32"/>
        </w:rPr>
        <w:t>2014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年全球外</w:t>
      </w:r>
      <w:r>
        <w:rPr>
          <w:rFonts w:ascii="微軟正黑體" w:eastAsia="微軟正黑體" w:hAnsi="微軟正黑體" w:hint="eastAsia"/>
          <w:sz w:val="28"/>
          <w:szCs w:val="32"/>
        </w:rPr>
        <w:t>人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直接投資</w:t>
      </w:r>
      <w:r>
        <w:rPr>
          <w:rFonts w:ascii="微軟正黑體" w:eastAsia="微軟正黑體" w:hAnsi="微軟正黑體" w:hint="eastAsia"/>
          <w:sz w:val="28"/>
          <w:szCs w:val="32"/>
        </w:rPr>
        <w:t>金額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達</w:t>
      </w:r>
      <w:r w:rsidRPr="00C27CE2">
        <w:rPr>
          <w:rFonts w:ascii="微軟正黑體" w:eastAsia="微軟正黑體" w:hAnsi="微軟正黑體"/>
          <w:sz w:val="28"/>
          <w:szCs w:val="32"/>
        </w:rPr>
        <w:t>1.26</w:t>
      </w:r>
      <w:r>
        <w:rPr>
          <w:rFonts w:ascii="微軟正黑體" w:eastAsia="微軟正黑體" w:hAnsi="微軟正黑體" w:hint="eastAsia"/>
          <w:sz w:val="28"/>
          <w:szCs w:val="32"/>
        </w:rPr>
        <w:t>兆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美元，</w:t>
      </w:r>
      <w:r>
        <w:rPr>
          <w:rFonts w:ascii="微軟正黑體" w:eastAsia="微軟正黑體" w:hAnsi="微軟正黑體" w:hint="eastAsia"/>
          <w:sz w:val="28"/>
          <w:szCs w:val="32"/>
        </w:rPr>
        <w:t>較</w:t>
      </w:r>
      <w:r w:rsidRPr="00C27CE2">
        <w:rPr>
          <w:rFonts w:ascii="微軟正黑體" w:eastAsia="微軟正黑體" w:hAnsi="微軟正黑體"/>
          <w:sz w:val="28"/>
          <w:szCs w:val="32"/>
        </w:rPr>
        <w:t>2013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年下跌</w:t>
      </w:r>
      <w:r w:rsidRPr="00C27CE2">
        <w:rPr>
          <w:rFonts w:ascii="微軟正黑體" w:eastAsia="微軟正黑體" w:hAnsi="微軟正黑體"/>
          <w:sz w:val="28"/>
          <w:szCs w:val="32"/>
        </w:rPr>
        <w:t>8%</w:t>
      </w:r>
      <w:r>
        <w:rPr>
          <w:rFonts w:ascii="微軟正黑體" w:eastAsia="微軟正黑體" w:hAnsi="微軟正黑體" w:hint="eastAsia"/>
          <w:sz w:val="28"/>
          <w:szCs w:val="32"/>
        </w:rPr>
        <w:t>，其中，中國大陸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吸收外資規模達</w:t>
      </w:r>
      <w:r w:rsidRPr="00C27CE2">
        <w:rPr>
          <w:rFonts w:ascii="微軟正黑體" w:eastAsia="微軟正黑體" w:hAnsi="微軟正黑體"/>
          <w:sz w:val="28"/>
          <w:szCs w:val="32"/>
        </w:rPr>
        <w:t>1</w:t>
      </w:r>
      <w:r>
        <w:rPr>
          <w:rFonts w:ascii="微軟正黑體" w:eastAsia="微軟正黑體" w:hAnsi="微軟正黑體" w:hint="eastAsia"/>
          <w:sz w:val="28"/>
          <w:szCs w:val="32"/>
        </w:rPr>
        <w:t>,</w:t>
      </w:r>
      <w:r w:rsidRPr="00C27CE2">
        <w:rPr>
          <w:rFonts w:ascii="微軟正黑體" w:eastAsia="微軟正黑體" w:hAnsi="微軟正黑體"/>
          <w:sz w:val="28"/>
          <w:szCs w:val="32"/>
        </w:rPr>
        <w:t>196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億美元（不含銀行、證券、保險領域），</w:t>
      </w:r>
      <w:r>
        <w:rPr>
          <w:rFonts w:ascii="微軟正黑體" w:eastAsia="微軟正黑體" w:hAnsi="微軟正黑體" w:hint="eastAsia"/>
          <w:sz w:val="28"/>
          <w:szCs w:val="32"/>
        </w:rPr>
        <w:t>較上年成長</w:t>
      </w:r>
      <w:r w:rsidRPr="00C27CE2">
        <w:rPr>
          <w:rFonts w:ascii="微軟正黑體" w:eastAsia="微軟正黑體" w:hAnsi="微軟正黑體"/>
          <w:sz w:val="28"/>
          <w:szCs w:val="32"/>
        </w:rPr>
        <w:t>1.7%</w:t>
      </w:r>
      <w:r w:rsidRPr="00C27CE2">
        <w:rPr>
          <w:rFonts w:ascii="微軟正黑體" w:eastAsia="微軟正黑體" w:hAnsi="微軟正黑體" w:hint="eastAsia"/>
          <w:sz w:val="28"/>
          <w:szCs w:val="32"/>
        </w:rPr>
        <w:t>，外資流入量首次成為全球第一。</w:t>
      </w:r>
    </w:p>
    <w:p w:rsidR="002F74C8" w:rsidRDefault="002F74C8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sz w:val="28"/>
          <w:szCs w:val="32"/>
        </w:rPr>
      </w:pPr>
      <w:r>
        <w:rPr>
          <w:rFonts w:ascii="微軟正黑體" w:eastAsia="微軟正黑體" w:hAnsi="微軟正黑體" w:hint="eastAsia"/>
          <w:sz w:val="28"/>
          <w:szCs w:val="32"/>
        </w:rPr>
        <w:t>在對外投資方面，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2014年</w:t>
      </w:r>
      <w:r>
        <w:rPr>
          <w:rFonts w:ascii="微軟正黑體" w:eastAsia="微軟正黑體" w:hAnsi="微軟正黑體" w:hint="eastAsia"/>
          <w:sz w:val="28"/>
          <w:szCs w:val="32"/>
        </w:rPr>
        <w:t>中國大陸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對外直接投資</w:t>
      </w:r>
      <w:r>
        <w:rPr>
          <w:rFonts w:ascii="微軟正黑體" w:eastAsia="微軟正黑體" w:hAnsi="微軟正黑體" w:hint="eastAsia"/>
          <w:sz w:val="28"/>
          <w:szCs w:val="32"/>
        </w:rPr>
        <w:t>金額為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1</w:t>
      </w:r>
      <w:r>
        <w:rPr>
          <w:rFonts w:ascii="微軟正黑體" w:eastAsia="微軟正黑體" w:hAnsi="微軟正黑體" w:hint="eastAsia"/>
          <w:sz w:val="28"/>
          <w:szCs w:val="32"/>
        </w:rPr>
        <w:t>,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160億美元，</w:t>
      </w:r>
      <w:r>
        <w:rPr>
          <w:rFonts w:ascii="微軟正黑體" w:eastAsia="微軟正黑體" w:hAnsi="微軟正黑體" w:hint="eastAsia"/>
          <w:sz w:val="28"/>
          <w:szCs w:val="32"/>
        </w:rPr>
        <w:t>較上年成長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15.5%</w:t>
      </w:r>
      <w:r>
        <w:rPr>
          <w:rFonts w:ascii="微軟正黑體" w:eastAsia="微軟正黑體" w:hAnsi="微軟正黑體" w:hint="eastAsia"/>
          <w:sz w:val="28"/>
          <w:szCs w:val="32"/>
        </w:rPr>
        <w:t>，據商務部表示，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中國</w:t>
      </w:r>
      <w:r w:rsidR="00495D81">
        <w:rPr>
          <w:rFonts w:ascii="微軟正黑體" w:eastAsia="微軟正黑體" w:hAnsi="微軟正黑體" w:hint="eastAsia"/>
          <w:sz w:val="28"/>
          <w:szCs w:val="32"/>
        </w:rPr>
        <w:t>大陸對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外投資在12年間</w:t>
      </w:r>
      <w:r>
        <w:rPr>
          <w:rFonts w:ascii="微軟正黑體" w:eastAsia="微軟正黑體" w:hAnsi="微軟正黑體" w:hint="eastAsia"/>
          <w:sz w:val="28"/>
          <w:szCs w:val="32"/>
        </w:rPr>
        <w:t>成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長近40倍，對外直接投資流量已連續兩年居世界第三。</w:t>
      </w:r>
      <w:proofErr w:type="gramStart"/>
      <w:r>
        <w:rPr>
          <w:rFonts w:ascii="微軟正黑體" w:eastAsia="微軟正黑體" w:hAnsi="微軟正黑體" w:hint="eastAsia"/>
          <w:sz w:val="28"/>
          <w:szCs w:val="32"/>
        </w:rPr>
        <w:t>另</w:t>
      </w:r>
      <w:proofErr w:type="gramEnd"/>
      <w:r>
        <w:rPr>
          <w:rFonts w:ascii="微軟正黑體" w:eastAsia="微軟正黑體" w:hAnsi="微軟正黑體" w:hint="eastAsia"/>
          <w:sz w:val="28"/>
          <w:szCs w:val="32"/>
        </w:rPr>
        <w:t>，商務部也表示，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如加上第三地融資再投資，2014年中國的對外投資規模應在1</w:t>
      </w:r>
      <w:r w:rsidR="00104608">
        <w:rPr>
          <w:rFonts w:ascii="微軟正黑體" w:eastAsia="微軟正黑體" w:hAnsi="微軟正黑體" w:hint="eastAsia"/>
          <w:sz w:val="28"/>
          <w:szCs w:val="32"/>
        </w:rPr>
        <w:t>,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400億美元左右</w:t>
      </w:r>
      <w:r>
        <w:rPr>
          <w:rFonts w:ascii="微軟正黑體" w:eastAsia="微軟正黑體" w:hAnsi="微軟正黑體" w:hint="eastAsia"/>
          <w:sz w:val="28"/>
          <w:szCs w:val="32"/>
        </w:rPr>
        <w:t>，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這個數據高於中國</w:t>
      </w:r>
      <w:r>
        <w:rPr>
          <w:rFonts w:ascii="微軟正黑體" w:eastAsia="微軟正黑體" w:hAnsi="微軟正黑體" w:hint="eastAsia"/>
          <w:sz w:val="28"/>
          <w:szCs w:val="32"/>
        </w:rPr>
        <w:t>大陸外人直接投資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200億美元，</w:t>
      </w:r>
      <w:r>
        <w:rPr>
          <w:rFonts w:ascii="微軟正黑體" w:eastAsia="微軟正黑體" w:hAnsi="微軟正黑體" w:hint="eastAsia"/>
          <w:sz w:val="28"/>
          <w:szCs w:val="32"/>
        </w:rPr>
        <w:t>也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就是說2014年中國</w:t>
      </w:r>
      <w:r>
        <w:rPr>
          <w:rFonts w:ascii="微軟正黑體" w:eastAsia="微軟正黑體" w:hAnsi="微軟正黑體" w:hint="eastAsia"/>
          <w:sz w:val="28"/>
          <w:szCs w:val="32"/>
        </w:rPr>
        <w:t>大陸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已成為資本的</w:t>
      </w:r>
      <w:proofErr w:type="gramStart"/>
      <w:r w:rsidRPr="001259C2">
        <w:rPr>
          <w:rFonts w:ascii="微軟正黑體" w:eastAsia="微軟正黑體" w:hAnsi="微軟正黑體" w:hint="eastAsia"/>
          <w:sz w:val="28"/>
          <w:szCs w:val="32"/>
        </w:rPr>
        <w:t>凈</w:t>
      </w:r>
      <w:proofErr w:type="gramEnd"/>
      <w:r w:rsidRPr="001259C2">
        <w:rPr>
          <w:rFonts w:ascii="微軟正黑體" w:eastAsia="微軟正黑體" w:hAnsi="微軟正黑體" w:hint="eastAsia"/>
          <w:sz w:val="28"/>
          <w:szCs w:val="32"/>
        </w:rPr>
        <w:t>輸出國。</w:t>
      </w:r>
      <w:r>
        <w:rPr>
          <w:rFonts w:ascii="微軟正黑體" w:eastAsia="微軟正黑體" w:hAnsi="微軟正黑體" w:hint="eastAsia"/>
          <w:sz w:val="28"/>
          <w:szCs w:val="32"/>
        </w:rPr>
        <w:t>就投資業別來看，前3大投資領域分別為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租賃和商務服務業372.5億美元</w:t>
      </w:r>
      <w:r>
        <w:rPr>
          <w:rFonts w:ascii="微軟正黑體" w:eastAsia="微軟正黑體" w:hAnsi="微軟正黑體" w:hint="eastAsia"/>
          <w:sz w:val="28"/>
          <w:szCs w:val="32"/>
        </w:rPr>
        <w:t>、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採礦業193.3億美元</w:t>
      </w:r>
      <w:r>
        <w:rPr>
          <w:rFonts w:ascii="微軟正黑體" w:eastAsia="微軟正黑體" w:hAnsi="微軟正黑體" w:hint="eastAsia"/>
          <w:sz w:val="28"/>
          <w:szCs w:val="32"/>
        </w:rPr>
        <w:t>及</w:t>
      </w:r>
      <w:r w:rsidRPr="001259C2">
        <w:rPr>
          <w:rFonts w:ascii="微軟正黑體" w:eastAsia="微軟正黑體" w:hAnsi="微軟正黑體" w:hint="eastAsia"/>
          <w:sz w:val="28"/>
          <w:szCs w:val="32"/>
        </w:rPr>
        <w:t>批發零售業172.7億美元。</w:t>
      </w:r>
    </w:p>
    <w:p w:rsidR="001F4DAB" w:rsidRPr="001F22C0" w:rsidRDefault="001F4DAB" w:rsidP="009D2538">
      <w:pPr>
        <w:pStyle w:val="11"/>
        <w:spacing w:before="120" w:after="0" w:line="520" w:lineRule="exact"/>
        <w:jc w:val="center"/>
        <w:rPr>
          <w:rFonts w:ascii="微軟正黑體" w:eastAsia="微軟正黑體" w:hAnsi="微軟正黑體"/>
          <w:b w:val="0"/>
          <w:kern w:val="0"/>
          <w:sz w:val="36"/>
          <w:szCs w:val="30"/>
        </w:rPr>
      </w:pPr>
      <w:r>
        <w:rPr>
          <w:rFonts w:ascii="微軟正黑體" w:eastAsia="微軟正黑體" w:hAnsi="微軟正黑體"/>
          <w:sz w:val="28"/>
          <w:szCs w:val="32"/>
        </w:rPr>
        <w:br w:type="page"/>
      </w:r>
      <w:bookmarkStart w:id="9" w:name="_Toc413072670"/>
      <w:r w:rsidRPr="009D2538">
        <w:rPr>
          <w:rFonts w:ascii="微軟正黑體" w:eastAsia="微軟正黑體" w:hAnsi="微軟正黑體" w:hint="eastAsia"/>
          <w:kern w:val="0"/>
          <w:sz w:val="40"/>
          <w:szCs w:val="36"/>
        </w:rPr>
        <w:lastRenderedPageBreak/>
        <w:t>參、</w:t>
      </w:r>
      <w:r w:rsidRPr="009D2538">
        <w:rPr>
          <w:rFonts w:ascii="微軟正黑體" w:eastAsia="微軟正黑體" w:hAnsi="微軟正黑體"/>
          <w:kern w:val="0"/>
          <w:sz w:val="40"/>
          <w:szCs w:val="36"/>
        </w:rPr>
        <w:t>香港經濟</w:t>
      </w:r>
      <w:r w:rsidRPr="009D2538">
        <w:rPr>
          <w:rFonts w:ascii="微軟正黑體" w:eastAsia="微軟正黑體" w:hAnsi="微軟正黑體" w:hint="eastAsia"/>
          <w:kern w:val="0"/>
          <w:sz w:val="40"/>
          <w:szCs w:val="36"/>
        </w:rPr>
        <w:t>情勢</w:t>
      </w:r>
      <w:bookmarkEnd w:id="9"/>
    </w:p>
    <w:p w:rsidR="002F74C8" w:rsidRPr="009D2538" w:rsidRDefault="005B4B7F" w:rsidP="002F74C8">
      <w:pPr>
        <w:pStyle w:val="20"/>
        <w:spacing w:beforeLines="50" w:before="120" w:line="480" w:lineRule="exact"/>
        <w:rPr>
          <w:rFonts w:ascii="微軟正黑體" w:eastAsia="微軟正黑體" w:hAnsi="微軟正黑體"/>
          <w:sz w:val="28"/>
          <w:szCs w:val="32"/>
        </w:rPr>
      </w:pPr>
      <w:bookmarkStart w:id="10" w:name="_Toc413072671"/>
      <w:r w:rsidRPr="001F22C0">
        <w:rPr>
          <w:rFonts w:ascii="微軟正黑體" w:eastAsia="微軟正黑體" w:hAnsi="微軟正黑體"/>
          <w:sz w:val="28"/>
          <w:szCs w:val="32"/>
        </w:rPr>
        <w:t>一、</w:t>
      </w:r>
      <w:r w:rsidR="002F74C8" w:rsidRPr="009D2538">
        <w:rPr>
          <w:rFonts w:ascii="微軟正黑體" w:eastAsia="微軟正黑體" w:hAnsi="微軟正黑體" w:hint="eastAsia"/>
          <w:sz w:val="28"/>
          <w:szCs w:val="32"/>
        </w:rPr>
        <w:t>經濟發展現況</w:t>
      </w:r>
      <w:bookmarkEnd w:id="10"/>
    </w:p>
    <w:p w:rsidR="002F74C8" w:rsidRPr="009E7441" w:rsidRDefault="002F74C8" w:rsidP="00273851">
      <w:pPr>
        <w:widowControl/>
        <w:numPr>
          <w:ilvl w:val="0"/>
          <w:numId w:val="8"/>
        </w:numPr>
        <w:tabs>
          <w:tab w:val="left" w:pos="567"/>
        </w:tabs>
        <w:autoSpaceDE w:val="0"/>
        <w:snapToGrid w:val="0"/>
        <w:spacing w:beforeLines="50" w:before="120" w:line="500" w:lineRule="exact"/>
        <w:ind w:left="423" w:hangingChars="151" w:hanging="423"/>
        <w:jc w:val="both"/>
        <w:rPr>
          <w:rFonts w:ascii="微軟正黑體" w:eastAsia="微軟正黑體" w:hAnsi="微軟正黑體"/>
          <w:b/>
          <w:kern w:val="0"/>
          <w:sz w:val="28"/>
          <w:szCs w:val="30"/>
        </w:rPr>
      </w:pPr>
      <w:r w:rsidRPr="009E7441">
        <w:rPr>
          <w:rFonts w:ascii="微軟正黑體" w:eastAsia="微軟正黑體" w:hAnsi="微軟正黑體" w:hint="eastAsia"/>
          <w:b/>
          <w:sz w:val="28"/>
          <w:szCs w:val="30"/>
        </w:rPr>
        <w:t>經濟</w:t>
      </w:r>
      <w:r>
        <w:rPr>
          <w:rFonts w:ascii="微軟正黑體" w:eastAsia="微軟正黑體" w:hAnsi="微軟正黑體" w:hint="eastAsia"/>
          <w:b/>
          <w:sz w:val="28"/>
          <w:szCs w:val="30"/>
        </w:rPr>
        <w:t>成長力道加溫</w:t>
      </w:r>
    </w:p>
    <w:p w:rsidR="002F74C8" w:rsidRPr="00273735" w:rsidRDefault="002F74C8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香港2</w:t>
      </w:r>
      <w:r w:rsidR="00104608">
        <w:rPr>
          <w:rFonts w:ascii="微軟正黑體" w:eastAsia="微軟正黑體" w:hAnsi="微軟正黑體" w:hint="eastAsia"/>
          <w:kern w:val="0"/>
          <w:sz w:val="28"/>
          <w:szCs w:val="30"/>
        </w:rPr>
        <w:t>0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14年GDP成長</w:t>
      </w:r>
      <w:r w:rsidRPr="00273735">
        <w:rPr>
          <w:rFonts w:ascii="微軟正黑體" w:eastAsia="微軟正黑體" w:hAnsi="微軟正黑體"/>
          <w:kern w:val="0"/>
          <w:sz w:val="28"/>
          <w:szCs w:val="30"/>
        </w:rPr>
        <w:t>2.3%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，低於上年</w:t>
      </w:r>
      <w:r w:rsidR="00104608">
        <w:rPr>
          <w:rFonts w:ascii="微軟正黑體" w:eastAsia="微軟正黑體" w:hAnsi="微軟正黑體"/>
          <w:kern w:val="0"/>
          <w:sz w:val="28"/>
          <w:szCs w:val="30"/>
        </w:rPr>
        <w:t>2.</w:t>
      </w:r>
      <w:r w:rsidRPr="00273735">
        <w:rPr>
          <w:rFonts w:ascii="微軟正黑體" w:eastAsia="微軟正黑體" w:hAnsi="微軟正黑體"/>
          <w:kern w:val="0"/>
          <w:sz w:val="28"/>
          <w:szCs w:val="30"/>
        </w:rPr>
        <w:t>9%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的增幅和近十年</w:t>
      </w:r>
      <w:r w:rsidRPr="00273735">
        <w:rPr>
          <w:rFonts w:ascii="微軟正黑體" w:eastAsia="微軟正黑體" w:hAnsi="微軟正黑體"/>
          <w:kern w:val="0"/>
          <w:sz w:val="28"/>
          <w:szCs w:val="30"/>
        </w:rPr>
        <w:t>3.9%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的年均成長率。其中，第4季成長2.2%，增幅較第3季回落0.5個百分點，主因是歐日通縮風險升溫和主要新興經濟體持續成長放緩，致香港貨物出口</w:t>
      </w:r>
      <w:proofErr w:type="gramStart"/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放緩至近零</w:t>
      </w:r>
      <w:proofErr w:type="gramEnd"/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成長。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0"/>
        </w:rPr>
        <w:t>此外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proofErr w:type="gramEnd"/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香港服務輸出也因旅客消費減少而明顯轉弱，</w:t>
      </w:r>
      <w:r w:rsidR="00E34C66">
        <w:rPr>
          <w:rFonts w:ascii="微軟正黑體" w:eastAsia="微軟正黑體" w:hAnsi="微軟正黑體" w:hint="eastAsia"/>
          <w:kern w:val="0"/>
          <w:sz w:val="28"/>
          <w:szCs w:val="30"/>
        </w:rPr>
        <w:t>私人消費成長2.7%，較上年減少1.9個百分點，而投資則出現負成長0.3%，顯示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內部需求的成長動力</w:t>
      </w:r>
      <w:r w:rsidR="00E34C66">
        <w:rPr>
          <w:rFonts w:ascii="微軟正黑體" w:eastAsia="微軟正黑體" w:hAnsi="微軟正黑體" w:hint="eastAsia"/>
          <w:kern w:val="0"/>
          <w:sz w:val="28"/>
          <w:szCs w:val="30"/>
        </w:rPr>
        <w:t>出現</w:t>
      </w: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回軟。（附表4）</w:t>
      </w:r>
    </w:p>
    <w:p w:rsidR="002F74C8" w:rsidRDefault="002F74C8" w:rsidP="00AE6AAC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273735">
        <w:rPr>
          <w:rFonts w:ascii="微軟正黑體" w:eastAsia="微軟正黑體" w:hAnsi="微軟正黑體" w:hint="eastAsia"/>
          <w:kern w:val="0"/>
          <w:sz w:val="28"/>
          <w:szCs w:val="30"/>
        </w:rPr>
        <w:t>展望未來，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受制於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全球</w:t>
      </w:r>
      <w:r w:rsidR="00C20B49">
        <w:rPr>
          <w:rFonts w:ascii="微軟正黑體" w:eastAsia="微軟正黑體" w:hAnsi="微軟正黑體" w:hint="eastAsia"/>
          <w:kern w:val="0"/>
          <w:sz w:val="28"/>
          <w:szCs w:val="30"/>
        </w:rPr>
        <w:t>政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經</w:t>
      </w:r>
      <w:proofErr w:type="gramStart"/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環境未穩而且</w:t>
      </w:r>
      <w:proofErr w:type="gramEnd"/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相當</w:t>
      </w:r>
      <w:r w:rsidR="00DC2BF2">
        <w:rPr>
          <w:rFonts w:ascii="微軟正黑體" w:eastAsia="微軟正黑體" w:hAnsi="微軟正黑體" w:hint="eastAsia"/>
          <w:kern w:val="0"/>
          <w:sz w:val="28"/>
          <w:szCs w:val="30"/>
        </w:rPr>
        <w:t>脆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弱，香港的貨物出口在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2015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年表現料仍會較為疲弱。美元兌其他主要貨幣匯率轉強，亦可能不利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香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港出口。然而，假如亞洲(特別是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中國大陸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)的內部需求轉強，從而推動區內整體貿易往來，又或者美國經濟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復甦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較預期快，出口表現則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可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望稍為</w:t>
      </w:r>
      <w:r w:rsidR="00AE6AAC">
        <w:rPr>
          <w:rFonts w:ascii="微軟正黑體" w:eastAsia="微軟正黑體" w:hAnsi="微軟正黑體" w:hint="eastAsia"/>
          <w:kern w:val="0"/>
          <w:sz w:val="28"/>
          <w:szCs w:val="30"/>
        </w:rPr>
        <w:t>轉</w:t>
      </w:r>
      <w:r w:rsidR="00AE6AAC" w:rsidRPr="00AE6AAC">
        <w:rPr>
          <w:rFonts w:ascii="微軟正黑體" w:eastAsia="微軟正黑體" w:hAnsi="微軟正黑體" w:hint="eastAsia"/>
          <w:kern w:val="0"/>
          <w:sz w:val="28"/>
          <w:szCs w:val="30"/>
        </w:rPr>
        <w:t>好。同時，受惠於訪港旅遊業和跨境金融及商業活動進一步擴張， 香港的服務輸出前景可望改善。</w:t>
      </w:r>
      <w:r w:rsidRPr="00FF1BD3">
        <w:rPr>
          <w:rFonts w:ascii="微軟正黑體" w:eastAsia="微軟正黑體" w:hAnsi="微軟正黑體" w:hint="eastAsia"/>
          <w:kern w:val="0"/>
          <w:sz w:val="28"/>
          <w:szCs w:val="30"/>
        </w:rPr>
        <w:t>香港政府預估201</w:t>
      </w:r>
      <w:r w:rsidR="00FF1BD3" w:rsidRPr="00FF1BD3">
        <w:rPr>
          <w:rFonts w:ascii="微軟正黑體" w:eastAsia="微軟正黑體" w:hAnsi="微軟正黑體" w:hint="eastAsia"/>
          <w:kern w:val="0"/>
          <w:sz w:val="28"/>
          <w:szCs w:val="30"/>
        </w:rPr>
        <w:t>5</w:t>
      </w:r>
      <w:r w:rsidRPr="00FF1BD3">
        <w:rPr>
          <w:rFonts w:ascii="微軟正黑體" w:eastAsia="微軟正黑體" w:hAnsi="微軟正黑體" w:hint="eastAsia"/>
          <w:kern w:val="0"/>
          <w:sz w:val="28"/>
          <w:szCs w:val="30"/>
        </w:rPr>
        <w:t>年GDP成長率為1%~3%。</w:t>
      </w:r>
    </w:p>
    <w:p w:rsidR="002F74C8" w:rsidRPr="00A15B62" w:rsidRDefault="002F74C8" w:rsidP="00273851">
      <w:pPr>
        <w:widowControl/>
        <w:numPr>
          <w:ilvl w:val="0"/>
          <w:numId w:val="8"/>
        </w:numPr>
        <w:tabs>
          <w:tab w:val="left" w:pos="567"/>
        </w:tabs>
        <w:autoSpaceDE w:val="0"/>
        <w:snapToGrid w:val="0"/>
        <w:spacing w:beforeLines="50" w:before="120" w:line="500" w:lineRule="exact"/>
        <w:ind w:hanging="362"/>
        <w:jc w:val="both"/>
        <w:rPr>
          <w:rFonts w:ascii="微軟正黑體" w:eastAsia="微軟正黑體" w:hAnsi="微軟正黑體"/>
          <w:b/>
          <w:kern w:val="0"/>
          <w:sz w:val="28"/>
          <w:szCs w:val="30"/>
        </w:rPr>
      </w:pPr>
      <w:r w:rsidRPr="00A15B62">
        <w:rPr>
          <w:rFonts w:ascii="微軟正黑體" w:eastAsia="微軟正黑體" w:hAnsi="微軟正黑體" w:hint="eastAsia"/>
          <w:b/>
          <w:kern w:val="0"/>
          <w:sz w:val="28"/>
          <w:szCs w:val="30"/>
        </w:rPr>
        <w:t>物價</w:t>
      </w:r>
      <w:r>
        <w:rPr>
          <w:rFonts w:ascii="微軟正黑體" w:eastAsia="微軟正黑體" w:hAnsi="微軟正黑體" w:hint="eastAsia"/>
          <w:b/>
          <w:kern w:val="0"/>
          <w:sz w:val="28"/>
          <w:szCs w:val="30"/>
        </w:rPr>
        <w:t>漲幅趨緩</w:t>
      </w:r>
    </w:p>
    <w:p w:rsidR="002F74C8" w:rsidRDefault="002F74C8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B6453A">
        <w:rPr>
          <w:rFonts w:ascii="微軟正黑體" w:eastAsia="微軟正黑體" w:hAnsi="微軟正黑體"/>
          <w:kern w:val="0"/>
          <w:sz w:val="28"/>
          <w:szCs w:val="30"/>
        </w:rPr>
        <w:t>2014</w:t>
      </w:r>
      <w:r w:rsidRPr="00B6453A">
        <w:rPr>
          <w:rFonts w:ascii="微軟正黑體" w:eastAsia="微軟正黑體" w:hAnsi="微軟正黑體" w:hint="eastAsia"/>
          <w:kern w:val="0"/>
          <w:sz w:val="28"/>
          <w:szCs w:val="30"/>
        </w:rPr>
        <w:t>年消費物價指數</w:t>
      </w:r>
      <w:r w:rsidRPr="006B1F3B">
        <w:rPr>
          <w:rFonts w:ascii="微軟正黑體" w:eastAsia="微軟正黑體" w:hAnsi="微軟正黑體" w:hint="eastAsia"/>
          <w:kern w:val="0"/>
          <w:sz w:val="28"/>
          <w:szCs w:val="30"/>
        </w:rPr>
        <w:t>（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CPI</w:t>
      </w:r>
      <w:r w:rsidRPr="006B1F3B">
        <w:rPr>
          <w:rFonts w:ascii="微軟正黑體" w:eastAsia="微軟正黑體" w:hAnsi="微軟正黑體" w:hint="eastAsia"/>
          <w:kern w:val="0"/>
          <w:sz w:val="28"/>
          <w:szCs w:val="30"/>
        </w:rPr>
        <w:t>）</w:t>
      </w:r>
      <w:r w:rsidRPr="00B6453A">
        <w:rPr>
          <w:rFonts w:ascii="微軟正黑體" w:eastAsia="微軟正黑體" w:hAnsi="微軟正黑體" w:hint="eastAsia"/>
          <w:kern w:val="0"/>
          <w:sz w:val="28"/>
          <w:szCs w:val="30"/>
        </w:rPr>
        <w:t>漲幅為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Pr="00B6453A">
        <w:rPr>
          <w:rFonts w:ascii="微軟正黑體" w:eastAsia="微軟正黑體" w:hAnsi="微軟正黑體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Pr="00B6453A">
        <w:rPr>
          <w:rFonts w:ascii="微軟正黑體" w:eastAsia="微軟正黑體" w:hAnsi="微軟正黑體"/>
          <w:kern w:val="0"/>
          <w:sz w:val="28"/>
          <w:szCs w:val="30"/>
        </w:rPr>
        <w:t>%</w:t>
      </w:r>
      <w:r w:rsidRPr="00B6453A">
        <w:rPr>
          <w:rFonts w:ascii="微軟正黑體" w:eastAsia="微軟正黑體" w:hAnsi="微軟正黑體" w:hint="eastAsia"/>
          <w:kern w:val="0"/>
          <w:sz w:val="28"/>
          <w:szCs w:val="30"/>
        </w:rPr>
        <w:t>，較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上年增加1</w:t>
      </w:r>
      <w:r w:rsidRPr="00B6453A">
        <w:rPr>
          <w:rFonts w:ascii="微軟正黑體" w:eastAsia="微軟正黑體" w:hAnsi="微軟正黑體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2</w:t>
      </w:r>
      <w:r w:rsidRPr="00B6453A">
        <w:rPr>
          <w:rFonts w:ascii="微軟正黑體" w:eastAsia="微軟正黑體" w:hAnsi="微軟正黑體" w:hint="eastAsia"/>
          <w:kern w:val="0"/>
          <w:sz w:val="28"/>
          <w:szCs w:val="30"/>
        </w:rPr>
        <w:t>個百分點，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1至4季分別為4.2%、3.6%、4.8%、5.1%。下半年物價出現大幅上揚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，主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因是香港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政府在</w:t>
      </w:r>
      <w:r w:rsidRPr="000D04BE">
        <w:rPr>
          <w:rFonts w:ascii="微軟正黑體" w:eastAsia="微軟正黑體" w:hAnsi="微軟正黑體"/>
          <w:kern w:val="0"/>
          <w:sz w:val="28"/>
          <w:szCs w:val="30"/>
        </w:rPr>
        <w:t>9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月份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上調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公營房屋租金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所致，而9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月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CPI也驟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升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至</w:t>
      </w:r>
      <w:r w:rsidRPr="000D04BE">
        <w:rPr>
          <w:rFonts w:ascii="微軟正黑體" w:eastAsia="微軟正黑體" w:hAnsi="微軟正黑體"/>
          <w:kern w:val="0"/>
          <w:sz w:val="28"/>
          <w:szCs w:val="30"/>
        </w:rPr>
        <w:t>6.6%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，惟10月降至5.2%，12月則續降為4.9%</w:t>
      </w:r>
      <w:r w:rsidRPr="000D04BE">
        <w:rPr>
          <w:rFonts w:ascii="微軟正黑體" w:eastAsia="微軟正黑體" w:hAnsi="微軟正黑體" w:hint="eastAsia"/>
          <w:kern w:val="0"/>
          <w:sz w:val="28"/>
          <w:szCs w:val="30"/>
        </w:rPr>
        <w:t>。</w:t>
      </w:r>
      <w:r w:rsidRPr="00111D66">
        <w:rPr>
          <w:rFonts w:ascii="微軟正黑體" w:eastAsia="微軟正黑體" w:hAnsi="微軟正黑體" w:hint="eastAsia"/>
          <w:kern w:val="0"/>
          <w:sz w:val="28"/>
          <w:szCs w:val="30"/>
        </w:rPr>
        <w:t>展望未來，由於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商品</w:t>
      </w:r>
      <w:r w:rsidRPr="00111D66">
        <w:rPr>
          <w:rFonts w:ascii="微軟正黑體" w:eastAsia="微軟正黑體" w:hAnsi="微軟正黑體" w:hint="eastAsia"/>
          <w:kern w:val="0"/>
          <w:sz w:val="28"/>
          <w:szCs w:val="30"/>
        </w:rPr>
        <w:t>進口價格升幅溫和，加上</w:t>
      </w:r>
      <w:r w:rsidRPr="00FB1F30">
        <w:rPr>
          <w:rFonts w:ascii="微軟正黑體" w:eastAsia="微軟正黑體" w:hAnsi="微軟正黑體" w:hint="eastAsia"/>
          <w:kern w:val="0"/>
          <w:sz w:val="28"/>
          <w:szCs w:val="30"/>
        </w:rPr>
        <w:t>成本壓力緩和</w:t>
      </w:r>
      <w:r w:rsidRPr="00111D66">
        <w:rPr>
          <w:rFonts w:ascii="微軟正黑體" w:eastAsia="微軟正黑體" w:hAnsi="微軟正黑體" w:hint="eastAsia"/>
          <w:kern w:val="0"/>
          <w:sz w:val="28"/>
          <w:szCs w:val="30"/>
        </w:rPr>
        <w:t>，通膨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壓力</w:t>
      </w:r>
      <w:r w:rsidRPr="00111D66">
        <w:rPr>
          <w:rFonts w:ascii="微軟正黑體" w:eastAsia="微軟正黑體" w:hAnsi="微軟正黑體" w:hint="eastAsia"/>
          <w:kern w:val="0"/>
          <w:sz w:val="28"/>
          <w:szCs w:val="30"/>
        </w:rPr>
        <w:t>仍處於較低水準，短期內香港通膨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風險</w:t>
      </w:r>
      <w:r w:rsidRPr="00111D66">
        <w:rPr>
          <w:rFonts w:ascii="微軟正黑體" w:eastAsia="微軟正黑體" w:hAnsi="微軟正黑體" w:hint="eastAsia"/>
          <w:kern w:val="0"/>
          <w:sz w:val="28"/>
          <w:szCs w:val="30"/>
        </w:rPr>
        <w:t>仍低。</w:t>
      </w:r>
    </w:p>
    <w:p w:rsidR="00396A54" w:rsidRDefault="00396A54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396A54" w:rsidRDefault="00396A54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2F74C8" w:rsidRPr="003F625E" w:rsidRDefault="002F74C8" w:rsidP="003F625E">
      <w:pPr>
        <w:widowControl/>
        <w:numPr>
          <w:ilvl w:val="0"/>
          <w:numId w:val="8"/>
        </w:numPr>
        <w:tabs>
          <w:tab w:val="left" w:pos="567"/>
        </w:tabs>
        <w:autoSpaceDE w:val="0"/>
        <w:snapToGrid w:val="0"/>
        <w:spacing w:beforeLines="50" w:before="120" w:line="500" w:lineRule="exact"/>
        <w:ind w:left="423" w:hangingChars="151" w:hanging="423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3F625E">
        <w:rPr>
          <w:rFonts w:ascii="微軟正黑體" w:eastAsia="微軟正黑體" w:hAnsi="微軟正黑體" w:hint="eastAsia"/>
          <w:b/>
          <w:sz w:val="28"/>
          <w:szCs w:val="30"/>
        </w:rPr>
        <w:lastRenderedPageBreak/>
        <w:t>失業率略降</w:t>
      </w:r>
    </w:p>
    <w:p w:rsidR="002F74C8" w:rsidRDefault="002F74C8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9647BC">
        <w:rPr>
          <w:rFonts w:ascii="微軟正黑體" w:eastAsia="微軟正黑體" w:hAnsi="微軟正黑體" w:hint="eastAsia"/>
          <w:kern w:val="0"/>
          <w:sz w:val="28"/>
          <w:szCs w:val="30"/>
        </w:rPr>
        <w:t>2014年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全年</w:t>
      </w:r>
      <w:r w:rsidRPr="00884F5F">
        <w:rPr>
          <w:rFonts w:ascii="微軟正黑體" w:eastAsia="微軟正黑體" w:hAnsi="微軟正黑體" w:hint="eastAsia"/>
          <w:kern w:val="0"/>
          <w:sz w:val="28"/>
          <w:szCs w:val="30"/>
        </w:rPr>
        <w:t>失業率為3.2%，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較上年減少0.2個百分點。其中，第4季失業率為3.3%與上季持平</w:t>
      </w:r>
      <w:r w:rsidRPr="009647BC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總就業人數和勞動</w:t>
      </w:r>
      <w:proofErr w:type="gramStart"/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人口均續見</w:t>
      </w:r>
      <w:proofErr w:type="gramEnd"/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溫和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成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長，</w:t>
      </w:r>
      <w:r w:rsidRPr="00576F82">
        <w:rPr>
          <w:rFonts w:ascii="微軟正黑體" w:eastAsia="微軟正黑體" w:hAnsi="微軟正黑體" w:hint="eastAsia"/>
          <w:kern w:val="0"/>
          <w:sz w:val="28"/>
          <w:szCs w:val="30"/>
        </w:rPr>
        <w:t>分別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增加</w:t>
      </w:r>
      <w:r w:rsidRPr="00576F82">
        <w:rPr>
          <w:rFonts w:ascii="微軟正黑體" w:eastAsia="微軟正黑體" w:hAnsi="微軟正黑體" w:hint="eastAsia"/>
          <w:kern w:val="0"/>
          <w:sz w:val="28"/>
          <w:szCs w:val="30"/>
        </w:rPr>
        <w:t>0.7%及0.9%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總就業人數持續高達3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8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0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萬人（附表4）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，顯示</w:t>
      </w:r>
      <w:r w:rsidRPr="009647BC">
        <w:rPr>
          <w:rFonts w:ascii="微軟正黑體" w:eastAsia="微軟正黑體" w:hAnsi="微軟正黑體" w:hint="eastAsia"/>
          <w:kern w:val="0"/>
          <w:sz w:val="28"/>
          <w:szCs w:val="30"/>
        </w:rPr>
        <w:t>香港勞動市場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仍</w:t>
      </w:r>
      <w:r w:rsidRPr="009647BC">
        <w:rPr>
          <w:rFonts w:ascii="微軟正黑體" w:eastAsia="微軟正黑體" w:hAnsi="微軟正黑體" w:hint="eastAsia"/>
          <w:kern w:val="0"/>
          <w:sz w:val="28"/>
          <w:szCs w:val="30"/>
        </w:rPr>
        <w:t>保持平穩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。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短期展望方面，</w:t>
      </w:r>
      <w:r w:rsidRPr="003F363F">
        <w:rPr>
          <w:rFonts w:ascii="微軟正黑體" w:eastAsia="微軟正黑體" w:hAnsi="微軟正黑體" w:hint="eastAsia"/>
          <w:kern w:val="0"/>
          <w:sz w:val="28"/>
          <w:szCs w:val="30"/>
        </w:rPr>
        <w:t>由於新年節慶期間勞工需求穩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定成長</w:t>
      </w:r>
      <w:r w:rsidRPr="003F363F">
        <w:rPr>
          <w:rFonts w:ascii="微軟正黑體" w:eastAsia="微軟正黑體" w:hAnsi="微軟正黑體" w:hint="eastAsia"/>
          <w:kern w:val="0"/>
          <w:sz w:val="28"/>
          <w:szCs w:val="30"/>
        </w:rPr>
        <w:t>，失業率在短期內可望維持於較低水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準</w:t>
      </w:r>
      <w:r w:rsidRPr="003F363F">
        <w:rPr>
          <w:rFonts w:ascii="微軟正黑體" w:eastAsia="微軟正黑體" w:hAnsi="微軟正黑體" w:hint="eastAsia"/>
          <w:kern w:val="0"/>
          <w:sz w:val="28"/>
          <w:szCs w:val="30"/>
        </w:rPr>
        <w:t>。不過，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國際</w:t>
      </w:r>
      <w:r w:rsidRPr="003F363F">
        <w:rPr>
          <w:rFonts w:ascii="微軟正黑體" w:eastAsia="微軟正黑體" w:hAnsi="微軟正黑體" w:hint="eastAsia"/>
          <w:kern w:val="0"/>
          <w:sz w:val="28"/>
          <w:szCs w:val="30"/>
        </w:rPr>
        <w:t>環境仍高度不明朗，可能對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香港</w:t>
      </w:r>
      <w:r w:rsidRPr="003F363F">
        <w:rPr>
          <w:rFonts w:ascii="微軟正黑體" w:eastAsia="微軟正黑體" w:hAnsi="微軟正黑體" w:hint="eastAsia"/>
          <w:kern w:val="0"/>
          <w:sz w:val="28"/>
          <w:szCs w:val="30"/>
        </w:rPr>
        <w:t>經濟構成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威脅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衝擊</w:t>
      </w:r>
      <w:r w:rsidRPr="003F363F">
        <w:rPr>
          <w:rFonts w:ascii="微軟正黑體" w:eastAsia="微軟正黑體" w:hAnsi="微軟正黑體" w:hint="eastAsia"/>
          <w:kern w:val="0"/>
          <w:sz w:val="28"/>
          <w:szCs w:val="30"/>
        </w:rPr>
        <w:t>香港</w:t>
      </w:r>
      <w:r w:rsidRPr="00442A25">
        <w:rPr>
          <w:rFonts w:ascii="微軟正黑體" w:eastAsia="微軟正黑體" w:hAnsi="微軟正黑體" w:hint="eastAsia"/>
          <w:kern w:val="0"/>
          <w:sz w:val="28"/>
          <w:szCs w:val="30"/>
        </w:rPr>
        <w:t>就業市場。</w:t>
      </w:r>
    </w:p>
    <w:p w:rsidR="002F74C8" w:rsidRPr="003F625E" w:rsidRDefault="002F74C8" w:rsidP="003F625E">
      <w:pPr>
        <w:widowControl/>
        <w:numPr>
          <w:ilvl w:val="0"/>
          <w:numId w:val="8"/>
        </w:numPr>
        <w:tabs>
          <w:tab w:val="left" w:pos="567"/>
        </w:tabs>
        <w:autoSpaceDE w:val="0"/>
        <w:snapToGrid w:val="0"/>
        <w:spacing w:beforeLines="50" w:before="120" w:line="500" w:lineRule="exact"/>
        <w:ind w:left="423" w:hangingChars="151" w:hanging="423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3F625E">
        <w:rPr>
          <w:rFonts w:ascii="微軟正黑體" w:eastAsia="微軟正黑體" w:hAnsi="微軟正黑體" w:hint="eastAsia"/>
          <w:b/>
          <w:sz w:val="28"/>
          <w:szCs w:val="30"/>
        </w:rPr>
        <w:t>外貿增幅減緩</w:t>
      </w:r>
    </w:p>
    <w:p w:rsidR="002F74C8" w:rsidRDefault="002F74C8" w:rsidP="002F74C8">
      <w:pPr>
        <w:widowControl/>
        <w:tabs>
          <w:tab w:val="left" w:pos="2552"/>
        </w:tabs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201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年香港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進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出口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呈現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成長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減緩。進出口總值較上年成長3.6%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其中</w:t>
      </w:r>
      <w:r w:rsidR="008F5D34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出口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成長3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2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、進口成長3.9%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增幅分別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較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上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年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減少7.5及9.3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個百分點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全年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貿易逆差為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704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億美元（附表4）</w:t>
      </w:r>
      <w:r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。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2014年第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季出進口金額分別為1,2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51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.1及1,4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57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.7億美元，較上年同季成長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1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2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%、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3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2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%，增幅較上季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減少4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6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及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2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5</w:t>
      </w:r>
      <w:r w:rsidRPr="006318DC">
        <w:rPr>
          <w:rFonts w:ascii="微軟正黑體" w:eastAsia="微軟正黑體" w:hAnsi="微軟正黑體" w:hint="eastAsia"/>
          <w:kern w:val="0"/>
          <w:sz w:val="28"/>
          <w:szCs w:val="30"/>
        </w:rPr>
        <w:t>個百分點。</w:t>
      </w:r>
    </w:p>
    <w:p w:rsidR="002F74C8" w:rsidRDefault="00495D81" w:rsidP="002F74C8">
      <w:pPr>
        <w:widowControl/>
        <w:tabs>
          <w:tab w:val="left" w:pos="2552"/>
        </w:tabs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b/>
          <w:kern w:val="0"/>
          <w:sz w:val="28"/>
          <w:szCs w:val="30"/>
        </w:rPr>
      </w:pPr>
      <w:r>
        <w:rPr>
          <w:rFonts w:ascii="微軟正黑體" w:eastAsia="微軟正黑體" w:hAnsi="微軟正黑體" w:hint="eastAsia"/>
          <w:kern w:val="0"/>
          <w:sz w:val="28"/>
          <w:szCs w:val="30"/>
        </w:rPr>
        <w:t>出口國別觀察，對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越南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成長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1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0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%最高，其次為印度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13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%、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美國3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%、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臺灣2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5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%；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出口產品以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「電動機械、儀器和用具及零件」（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占3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0.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0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%）、「通訊、錄音及音響設備和儀器」（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占19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6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%）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及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「</w:t>
      </w:r>
      <w:r w:rsidR="002F74C8" w:rsidRPr="00B36FFF">
        <w:rPr>
          <w:rFonts w:ascii="微軟正黑體" w:eastAsia="微軟正黑體" w:hAnsi="微軟正黑體" w:hint="eastAsia"/>
          <w:kern w:val="0"/>
          <w:sz w:val="28"/>
          <w:szCs w:val="30"/>
        </w:rPr>
        <w:t>辦公室機器和自動資料處理儀器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」（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占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1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3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%）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為主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。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在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進口國方面，自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馬來西亞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進口成長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16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7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%最高、其次為</w:t>
      </w:r>
      <w:r w:rsidR="0059548A">
        <w:rPr>
          <w:rFonts w:ascii="微軟正黑體" w:eastAsia="微軟正黑體" w:hAnsi="微軟正黑體" w:hint="eastAsia"/>
          <w:kern w:val="0"/>
          <w:sz w:val="28"/>
          <w:szCs w:val="30"/>
        </w:rPr>
        <w:t>臺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灣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14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7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％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、泰國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13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7</w:t>
      </w:r>
      <w:r w:rsidR="002F74C8" w:rsidRPr="004903D6">
        <w:rPr>
          <w:rFonts w:ascii="微軟正黑體" w:eastAsia="微軟正黑體" w:hAnsi="微軟正黑體" w:hint="eastAsia"/>
          <w:kern w:val="0"/>
          <w:sz w:val="28"/>
          <w:szCs w:val="30"/>
        </w:rPr>
        <w:t>%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、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韓國10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.</w:t>
      </w:r>
      <w:r w:rsidR="002F74C8">
        <w:rPr>
          <w:rFonts w:ascii="微軟正黑體" w:eastAsia="微軟正黑體" w:hAnsi="微軟正黑體" w:hint="eastAsia"/>
          <w:kern w:val="0"/>
          <w:sz w:val="28"/>
          <w:szCs w:val="30"/>
        </w:rPr>
        <w:t>6</w:t>
      </w:r>
      <w:r w:rsidR="002F74C8" w:rsidRPr="006A02AE">
        <w:rPr>
          <w:rFonts w:ascii="微軟正黑體" w:eastAsia="微軟正黑體" w:hAnsi="微軟正黑體" w:hint="eastAsia"/>
          <w:kern w:val="0"/>
          <w:sz w:val="28"/>
          <w:szCs w:val="30"/>
        </w:rPr>
        <w:t>%。</w:t>
      </w:r>
      <w:proofErr w:type="gramStart"/>
      <w:r w:rsidR="002F74C8" w:rsidRPr="007344E3">
        <w:rPr>
          <w:rFonts w:ascii="微軟正黑體" w:eastAsia="微軟正黑體" w:hAnsi="微軟正黑體" w:hint="eastAsia"/>
          <w:kern w:val="0"/>
          <w:sz w:val="28"/>
          <w:szCs w:val="30"/>
        </w:rPr>
        <w:t>此外，</w:t>
      </w:r>
      <w:proofErr w:type="gramEnd"/>
      <w:r w:rsidR="002F74C8" w:rsidRPr="007344E3">
        <w:rPr>
          <w:rFonts w:ascii="微軟正黑體" w:eastAsia="微軟正黑體" w:hAnsi="微軟正黑體" w:hint="eastAsia"/>
          <w:kern w:val="0"/>
          <w:sz w:val="28"/>
          <w:szCs w:val="30"/>
        </w:rPr>
        <w:t>在服務輸出方面，2014年僅成長0.5%，相較2013年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的</w:t>
      </w:r>
      <w:r w:rsidR="002F74C8" w:rsidRPr="007344E3">
        <w:rPr>
          <w:rFonts w:ascii="微軟正黑體" w:eastAsia="微軟正黑體" w:hAnsi="微軟正黑體" w:hint="eastAsia"/>
          <w:kern w:val="0"/>
          <w:sz w:val="28"/>
          <w:szCs w:val="30"/>
        </w:rPr>
        <w:t>4.9%，成長力道大幅回軟，主要是受累於旅客的奢侈品消費成長減緩，以及訪港旅客人數成長趨緩，致旅遊服務輸出顯著轉弱</w:t>
      </w:r>
      <w:r w:rsidR="002F74C8" w:rsidRPr="00DE581F">
        <w:rPr>
          <w:rFonts w:ascii="微軟正黑體" w:eastAsia="微軟正黑體" w:hAnsi="微軟正黑體" w:hint="eastAsia"/>
          <w:b/>
          <w:kern w:val="0"/>
          <w:sz w:val="28"/>
          <w:szCs w:val="30"/>
        </w:rPr>
        <w:t>。</w:t>
      </w:r>
    </w:p>
    <w:p w:rsidR="002F74C8" w:rsidRDefault="002F74C8" w:rsidP="002F74C8">
      <w:pPr>
        <w:widowControl/>
        <w:tabs>
          <w:tab w:val="left" w:pos="2552"/>
        </w:tabs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FB1722">
        <w:rPr>
          <w:rFonts w:ascii="微軟正黑體" w:eastAsia="微軟正黑體" w:hAnsi="微軟正黑體" w:hint="eastAsia"/>
          <w:kern w:val="0"/>
          <w:sz w:val="28"/>
          <w:szCs w:val="30"/>
        </w:rPr>
        <w:t>展望未來，部分先進市場的經濟狀況脆弱，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歐美日等國家</w:t>
      </w:r>
      <w:r w:rsidRPr="00FB1722">
        <w:rPr>
          <w:rFonts w:ascii="微軟正黑體" w:eastAsia="微軟正黑體" w:hAnsi="微軟正黑體" w:hint="eastAsia"/>
          <w:kern w:val="0"/>
          <w:sz w:val="28"/>
          <w:szCs w:val="30"/>
        </w:rPr>
        <w:t>貨幣政策走向分歧，以及不少地區的地緣政治局勢緊張，外圍環境依然不穩，短期內仍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將持續影響</w:t>
      </w:r>
      <w:r w:rsidRPr="00FB1722">
        <w:rPr>
          <w:rFonts w:ascii="微軟正黑體" w:eastAsia="微軟正黑體" w:hAnsi="微軟正黑體" w:hint="eastAsia"/>
          <w:kern w:val="0"/>
          <w:sz w:val="28"/>
          <w:szCs w:val="30"/>
        </w:rPr>
        <w:t>香港的出口表現。</w:t>
      </w:r>
    </w:p>
    <w:p w:rsidR="00396A54" w:rsidRDefault="00396A54" w:rsidP="002F74C8">
      <w:pPr>
        <w:widowControl/>
        <w:tabs>
          <w:tab w:val="left" w:pos="2552"/>
        </w:tabs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2F74C8" w:rsidRPr="003F625E" w:rsidRDefault="002F74C8" w:rsidP="003F625E">
      <w:pPr>
        <w:widowControl/>
        <w:numPr>
          <w:ilvl w:val="0"/>
          <w:numId w:val="8"/>
        </w:numPr>
        <w:tabs>
          <w:tab w:val="left" w:pos="567"/>
        </w:tabs>
        <w:autoSpaceDE w:val="0"/>
        <w:snapToGrid w:val="0"/>
        <w:spacing w:beforeLines="50" w:before="120" w:line="500" w:lineRule="exact"/>
        <w:ind w:left="423" w:hangingChars="151" w:hanging="423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3F625E">
        <w:rPr>
          <w:rFonts w:ascii="微軟正黑體" w:eastAsia="微軟正黑體" w:hAnsi="微軟正黑體" w:hint="eastAsia"/>
          <w:b/>
          <w:sz w:val="28"/>
          <w:szCs w:val="30"/>
        </w:rPr>
        <w:lastRenderedPageBreak/>
        <w:t>房市風險仍高</w:t>
      </w:r>
    </w:p>
    <w:p w:rsidR="002F74C8" w:rsidRDefault="002F74C8" w:rsidP="002F74C8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2014年第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4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季房價為每平方米13.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8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萬港元</w:t>
      </w:r>
      <w:r>
        <w:rPr>
          <w:rFonts w:ascii="新細明體" w:hAnsi="新細明體" w:hint="eastAsia"/>
          <w:kern w:val="0"/>
          <w:sz w:val="28"/>
          <w:szCs w:val="30"/>
        </w:rPr>
        <w:t>，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較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上季上漲5.0%，創下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歷史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新高，全年漲幅3.8%。面對房價在第4季出現大幅上漲走勢，</w:t>
      </w:r>
      <w:r w:rsidRPr="002B48A1">
        <w:rPr>
          <w:rFonts w:ascii="微軟正黑體" w:eastAsia="微軟正黑體" w:hAnsi="微軟正黑體" w:hint="eastAsia"/>
          <w:kern w:val="0"/>
          <w:sz w:val="28"/>
          <w:szCs w:val="30"/>
        </w:rPr>
        <w:t>香港金管局再次推出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調控措施，緊縮企業戶購置辦公室貸款成數</w:t>
      </w:r>
      <w:r w:rsidRPr="002B48A1">
        <w:rPr>
          <w:rFonts w:ascii="微軟正黑體" w:eastAsia="微軟正黑體" w:hAnsi="微軟正黑體" w:hint="eastAsia"/>
          <w:kern w:val="0"/>
          <w:sz w:val="28"/>
          <w:szCs w:val="30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以</w:t>
      </w:r>
      <w:r w:rsidRPr="002B48A1">
        <w:rPr>
          <w:rFonts w:ascii="微軟正黑體" w:eastAsia="微軟正黑體" w:hAnsi="微軟正黑體" w:hint="eastAsia"/>
          <w:kern w:val="0"/>
          <w:sz w:val="28"/>
          <w:szCs w:val="30"/>
        </w:rPr>
        <w:t>抑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制商業</w:t>
      </w:r>
      <w:r w:rsidR="00FF1BD3">
        <w:rPr>
          <w:rFonts w:ascii="微軟正黑體" w:eastAsia="微軟正黑體" w:hAnsi="微軟正黑體" w:hint="eastAsia"/>
          <w:kern w:val="0"/>
          <w:sz w:val="28"/>
          <w:szCs w:val="30"/>
        </w:rPr>
        <w:t>不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動產的</w:t>
      </w:r>
      <w:r w:rsidRPr="002B48A1">
        <w:rPr>
          <w:rFonts w:ascii="微軟正黑體" w:eastAsia="微軟正黑體" w:hAnsi="微軟正黑體" w:hint="eastAsia"/>
          <w:kern w:val="0"/>
          <w:sz w:val="28"/>
          <w:szCs w:val="30"/>
        </w:rPr>
        <w:t>投資需求，降低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房地產市場</w:t>
      </w:r>
      <w:r w:rsidRPr="002B48A1">
        <w:rPr>
          <w:rFonts w:ascii="微軟正黑體" w:eastAsia="微軟正黑體" w:hAnsi="微軟正黑體" w:hint="eastAsia"/>
          <w:kern w:val="0"/>
          <w:sz w:val="28"/>
          <w:szCs w:val="30"/>
        </w:rPr>
        <w:t>風險。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IMF副總裁朱民表示，</w:t>
      </w:r>
      <w:r w:rsidRPr="0053376F">
        <w:rPr>
          <w:rFonts w:ascii="微軟正黑體" w:eastAsia="微軟正黑體" w:hAnsi="微軟正黑體" w:hint="eastAsia"/>
          <w:kern w:val="0"/>
          <w:sz w:val="28"/>
          <w:szCs w:val="30"/>
        </w:rPr>
        <w:t>全球金融危機之後，房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地產</w:t>
      </w:r>
      <w:r w:rsidRPr="0053376F">
        <w:rPr>
          <w:rFonts w:ascii="微軟正黑體" w:eastAsia="微軟正黑體" w:hAnsi="微軟正黑體" w:hint="eastAsia"/>
          <w:kern w:val="0"/>
          <w:sz w:val="28"/>
          <w:szCs w:val="30"/>
        </w:rPr>
        <w:t>市場經歷了一段低迷時期，但自</w:t>
      </w:r>
      <w:r w:rsidRPr="0053376F">
        <w:rPr>
          <w:rFonts w:ascii="微軟正黑體" w:eastAsia="微軟正黑體" w:hAnsi="微軟正黑體"/>
          <w:kern w:val="0"/>
          <w:sz w:val="28"/>
          <w:szCs w:val="30"/>
        </w:rPr>
        <w:t>2012</w:t>
      </w:r>
      <w:r w:rsidR="00495D81">
        <w:rPr>
          <w:rFonts w:ascii="微軟正黑體" w:eastAsia="微軟正黑體" w:hAnsi="微軟正黑體" w:hint="eastAsia"/>
          <w:kern w:val="0"/>
          <w:sz w:val="28"/>
          <w:szCs w:val="30"/>
        </w:rPr>
        <w:t>年以來房價連續9</w:t>
      </w:r>
      <w:r w:rsidRPr="0053376F">
        <w:rPr>
          <w:rFonts w:ascii="微軟正黑體" w:eastAsia="微軟正黑體" w:hAnsi="微軟正黑體" w:hint="eastAsia"/>
          <w:kern w:val="0"/>
          <w:sz w:val="28"/>
          <w:szCs w:val="30"/>
        </w:rPr>
        <w:t>季上漲，如果房價上漲伴隨著信貸供給的增加，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香港就是明顯的例子，未來</w:t>
      </w:r>
      <w:r w:rsidRPr="0053376F">
        <w:rPr>
          <w:rFonts w:ascii="微軟正黑體" w:eastAsia="微軟正黑體" w:hAnsi="微軟正黑體" w:hint="eastAsia"/>
          <w:kern w:val="0"/>
          <w:sz w:val="28"/>
          <w:szCs w:val="30"/>
        </w:rPr>
        <w:t>很可能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會</w:t>
      </w:r>
      <w:r w:rsidRPr="0053376F">
        <w:rPr>
          <w:rFonts w:ascii="微軟正黑體" w:eastAsia="微軟正黑體" w:hAnsi="微軟正黑體" w:hint="eastAsia"/>
          <w:kern w:val="0"/>
          <w:sz w:val="28"/>
          <w:szCs w:val="30"/>
        </w:rPr>
        <w:t>以市場崩潰告終，而從這種崩潰中的恢復會更加緩慢，代價會更大。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30"/>
        </w:rPr>
        <w:t>此外，</w:t>
      </w:r>
      <w:proofErr w:type="gramEnd"/>
      <w:r w:rsidRPr="00700EE5">
        <w:rPr>
          <w:rFonts w:ascii="微軟正黑體" w:eastAsia="微軟正黑體" w:hAnsi="微軟正黑體" w:hint="eastAsia"/>
          <w:kern w:val="0"/>
          <w:sz w:val="28"/>
          <w:szCs w:val="30"/>
        </w:rPr>
        <w:t>IMF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在</w:t>
      </w:r>
      <w:r w:rsidRPr="00700EE5">
        <w:rPr>
          <w:rFonts w:ascii="微軟正黑體" w:eastAsia="微軟正黑體" w:hAnsi="微軟正黑體" w:hint="eastAsia"/>
          <w:kern w:val="0"/>
          <w:sz w:val="28"/>
          <w:szCs w:val="30"/>
        </w:rPr>
        <w:t>全球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房</w:t>
      </w:r>
      <w:r w:rsidRPr="00700EE5">
        <w:rPr>
          <w:rFonts w:ascii="微軟正黑體" w:eastAsia="微軟正黑體" w:hAnsi="微軟正黑體" w:hint="eastAsia"/>
          <w:kern w:val="0"/>
          <w:sz w:val="28"/>
          <w:szCs w:val="30"/>
        </w:rPr>
        <w:t>市監察報告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中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警告，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香港當前房價對經濟構成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重大風險</w:t>
      </w:r>
      <w:r>
        <w:rPr>
          <w:rFonts w:ascii="微軟正黑體" w:eastAsia="微軟正黑體" w:hAnsi="微軟正黑體" w:hint="eastAsia"/>
          <w:kern w:val="0"/>
          <w:sz w:val="28"/>
          <w:szCs w:val="30"/>
        </w:rPr>
        <w:t>，顯示香港房市風險仍高</w:t>
      </w:r>
      <w:r w:rsidRPr="00BE158E">
        <w:rPr>
          <w:rFonts w:ascii="微軟正黑體" w:eastAsia="微軟正黑體" w:hAnsi="微軟正黑體" w:hint="eastAsia"/>
          <w:kern w:val="0"/>
          <w:sz w:val="28"/>
          <w:szCs w:val="30"/>
        </w:rPr>
        <w:t>。</w:t>
      </w:r>
    </w:p>
    <w:p w:rsidR="002F74C8" w:rsidRPr="0075656B" w:rsidRDefault="002F74C8" w:rsidP="002F74C8">
      <w:pPr>
        <w:ind w:left="567"/>
        <w:jc w:val="center"/>
        <w:rPr>
          <w:rFonts w:ascii="微軟正黑體" w:eastAsia="微軟正黑體" w:hAnsi="微軟正黑體" w:cstheme="minorBidi"/>
          <w:sz w:val="28"/>
          <w:szCs w:val="28"/>
        </w:rPr>
      </w:pPr>
      <w:r>
        <w:rPr>
          <w:noProof/>
        </w:rPr>
        <w:drawing>
          <wp:inline distT="0" distB="0" distL="0" distR="0" wp14:anchorId="02CCAC31" wp14:editId="00F678F8">
            <wp:extent cx="5274310" cy="2428991"/>
            <wp:effectExtent l="0" t="0" r="254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F74C8" w:rsidRPr="00B8312D" w:rsidRDefault="002F74C8" w:rsidP="002F74C8">
      <w:pPr>
        <w:widowControl/>
        <w:snapToGrid w:val="0"/>
        <w:spacing w:line="440" w:lineRule="exact"/>
        <w:ind w:left="567"/>
        <w:rPr>
          <w:rFonts w:ascii="微軟正黑體" w:eastAsia="微軟正黑體" w:hAnsi="微軟正黑體" w:cs="新細明體"/>
          <w:kern w:val="0"/>
          <w:sz w:val="20"/>
          <w:szCs w:val="28"/>
        </w:rPr>
      </w:pPr>
      <w:r w:rsidRPr="00B8312D">
        <w:rPr>
          <w:rFonts w:ascii="微軟正黑體" w:eastAsia="微軟正黑體" w:hAnsi="微軟正黑體" w:cs="新細明體" w:hint="eastAsia"/>
          <w:kern w:val="0"/>
          <w:sz w:val="20"/>
          <w:szCs w:val="28"/>
        </w:rPr>
        <w:t>資料來源：香港差餉物業估價署</w:t>
      </w:r>
    </w:p>
    <w:p w:rsidR="002F74C8" w:rsidRDefault="002F74C8" w:rsidP="002F74C8">
      <w:pPr>
        <w:ind w:left="567"/>
        <w:jc w:val="center"/>
        <w:rPr>
          <w:rFonts w:ascii="微軟正黑體" w:eastAsia="微軟正黑體" w:hAnsi="微軟正黑體" w:cstheme="minorBidi"/>
          <w:sz w:val="28"/>
          <w:szCs w:val="28"/>
        </w:rPr>
      </w:pPr>
      <w:r w:rsidRPr="0075656B">
        <w:rPr>
          <w:rFonts w:ascii="微軟正黑體" w:eastAsia="微軟正黑體" w:hAnsi="微軟正黑體" w:cstheme="minorBidi" w:hint="eastAsia"/>
          <w:sz w:val="28"/>
          <w:szCs w:val="28"/>
        </w:rPr>
        <w:t>圖3-1  香港房價走勢圖</w:t>
      </w:r>
    </w:p>
    <w:p w:rsidR="001F4DAB" w:rsidRDefault="001F4DAB" w:rsidP="001F4DAB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1F4DAB" w:rsidRDefault="001F4DAB" w:rsidP="001F4DAB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1F4DAB" w:rsidRDefault="001F4DAB" w:rsidP="001F4DAB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1F4DAB" w:rsidRDefault="001F4DAB" w:rsidP="001F4DAB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1F4DAB" w:rsidRDefault="001F4DAB" w:rsidP="001F4DAB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1F4DAB" w:rsidRDefault="001F4DAB" w:rsidP="001F4DAB">
      <w:pPr>
        <w:widowControl/>
        <w:autoSpaceDE w:val="0"/>
        <w:snapToGrid w:val="0"/>
        <w:spacing w:beforeLines="50" w:before="120" w:line="480" w:lineRule="exact"/>
        <w:ind w:leftChars="236" w:left="566" w:firstLineChars="200" w:firstLine="560"/>
        <w:jc w:val="both"/>
        <w:rPr>
          <w:rFonts w:ascii="微軟正黑體" w:eastAsia="微軟正黑體" w:hAnsi="微軟正黑體"/>
          <w:kern w:val="0"/>
          <w:sz w:val="28"/>
          <w:szCs w:val="30"/>
        </w:rPr>
      </w:pPr>
    </w:p>
    <w:p w:rsidR="005B4B7F" w:rsidRPr="00B47E72" w:rsidRDefault="005B4B7F" w:rsidP="005B4B7F">
      <w:pPr>
        <w:pStyle w:val="20"/>
        <w:spacing w:beforeLines="50" w:before="120" w:line="480" w:lineRule="exact"/>
        <w:rPr>
          <w:rFonts w:ascii="微軟正黑體" w:eastAsia="微軟正黑體" w:hAnsi="微軟正黑體"/>
          <w:sz w:val="28"/>
          <w:szCs w:val="32"/>
        </w:rPr>
      </w:pPr>
      <w:bookmarkStart w:id="11" w:name="_Toc413072672"/>
      <w:r w:rsidRPr="00B47E72">
        <w:rPr>
          <w:rFonts w:ascii="微軟正黑體" w:eastAsia="微軟正黑體" w:hAnsi="微軟正黑體" w:hint="eastAsia"/>
          <w:sz w:val="28"/>
          <w:szCs w:val="32"/>
        </w:rPr>
        <w:lastRenderedPageBreak/>
        <w:t>二、金融情勢</w:t>
      </w:r>
      <w:bookmarkEnd w:id="11"/>
    </w:p>
    <w:p w:rsidR="005B4B7F" w:rsidRPr="00B47E72" w:rsidRDefault="00C1042D" w:rsidP="00273851">
      <w:pPr>
        <w:widowControl/>
        <w:numPr>
          <w:ilvl w:val="0"/>
          <w:numId w:val="12"/>
        </w:numPr>
        <w:tabs>
          <w:tab w:val="left" w:pos="709"/>
        </w:tabs>
        <w:snapToGrid w:val="0"/>
        <w:spacing w:beforeLines="25" w:before="60" w:line="480" w:lineRule="exact"/>
        <w:ind w:left="669" w:hanging="669"/>
        <w:rPr>
          <w:rFonts w:ascii="微軟正黑體" w:eastAsia="微軟正黑體" w:hAnsi="微軟正黑體"/>
          <w:b/>
          <w:kern w:val="0"/>
          <w:sz w:val="28"/>
          <w:szCs w:val="30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30"/>
        </w:rPr>
        <w:t>股市回溫</w:t>
      </w:r>
    </w:p>
    <w:p w:rsidR="005B4B7F" w:rsidRPr="00B47E72" w:rsidRDefault="00E166E9" w:rsidP="00E166E9">
      <w:pPr>
        <w:tabs>
          <w:tab w:val="left" w:pos="567"/>
        </w:tabs>
        <w:spacing w:beforeLines="50" w:before="120" w:line="480" w:lineRule="exact"/>
        <w:ind w:left="567" w:firstLineChars="202" w:firstLine="485"/>
        <w:jc w:val="both"/>
        <w:rPr>
          <w:rFonts w:ascii="微軟正黑體" w:eastAsia="微軟正黑體" w:hAnsi="微軟正黑體"/>
          <w:sz w:val="28"/>
          <w:szCs w:val="32"/>
        </w:rPr>
      </w:pPr>
      <w:r w:rsidRPr="00B47E72">
        <w:rPr>
          <w:noProof/>
        </w:rPr>
        <w:drawing>
          <wp:anchor distT="0" distB="0" distL="114300" distR="114300" simplePos="0" relativeHeight="251694080" behindDoc="0" locked="0" layoutInCell="1" allowOverlap="1" wp14:anchorId="35930244" wp14:editId="63CAA8F7">
            <wp:simplePos x="0" y="0"/>
            <wp:positionH relativeFrom="column">
              <wp:posOffset>388620</wp:posOffset>
            </wp:positionH>
            <wp:positionV relativeFrom="paragraph">
              <wp:posOffset>3322320</wp:posOffset>
            </wp:positionV>
            <wp:extent cx="5044440" cy="2103120"/>
            <wp:effectExtent l="0" t="0" r="0" b="0"/>
            <wp:wrapTopAndBottom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2014年初，受到</w:t>
      </w:r>
      <w:r w:rsidR="005B4B7F">
        <w:rPr>
          <w:rFonts w:ascii="微軟正黑體" w:eastAsia="微軟正黑體" w:hAnsi="微軟正黑體" w:hint="eastAsia"/>
          <w:sz w:val="28"/>
          <w:szCs w:val="32"/>
        </w:rPr>
        <w:t>中國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大陸經濟數據欠佳</w:t>
      </w:r>
      <w:r w:rsidR="005B4B7F" w:rsidRPr="00B47E72">
        <w:rPr>
          <w:rFonts w:ascii="新細明體" w:hAnsi="新細明體" w:hint="eastAsia"/>
          <w:sz w:val="28"/>
          <w:szCs w:val="32"/>
        </w:rPr>
        <w:t>，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房地產市場降溫，烏克蘭政局動</w:t>
      </w:r>
      <w:proofErr w:type="gramStart"/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盪</w:t>
      </w:r>
      <w:proofErr w:type="gramEnd"/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，市場擔憂美國升息等因素影響，恆生指數震盪走低，第2季</w:t>
      </w:r>
      <w:r w:rsidR="005B4B7F" w:rsidRPr="00B47E72">
        <w:rPr>
          <w:rFonts w:ascii="新細明體" w:hAnsi="新細明體" w:hint="eastAsia"/>
          <w:sz w:val="28"/>
          <w:szCs w:val="32"/>
        </w:rPr>
        <w:t>，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中國大陸微刺激政策奏效</w:t>
      </w:r>
      <w:r w:rsidR="005B4B7F" w:rsidRPr="00B47E72">
        <w:rPr>
          <w:rFonts w:ascii="新細明體" w:hAnsi="新細明體" w:hint="eastAsia"/>
          <w:sz w:val="28"/>
          <w:szCs w:val="32"/>
        </w:rPr>
        <w:t>，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基本面好轉</w:t>
      </w:r>
      <w:r w:rsidR="005B4B7F" w:rsidRPr="00B47E72">
        <w:rPr>
          <w:rFonts w:ascii="新細明體" w:hAnsi="新細明體" w:hint="eastAsia"/>
          <w:sz w:val="28"/>
          <w:szCs w:val="32"/>
        </w:rPr>
        <w:t>，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加上美國景氣回溫，使港股止跌回升，但9月後，市場憂慮美聯</w:t>
      </w:r>
      <w:proofErr w:type="gramStart"/>
      <w:r w:rsidR="005B4B7F">
        <w:rPr>
          <w:rFonts w:ascii="微軟正黑體" w:eastAsia="微軟正黑體" w:hAnsi="微軟正黑體" w:hint="eastAsia"/>
          <w:sz w:val="28"/>
          <w:szCs w:val="32"/>
        </w:rPr>
        <w:t>準</w:t>
      </w:r>
      <w:proofErr w:type="gramEnd"/>
      <w:r w:rsidR="005B4B7F">
        <w:rPr>
          <w:rFonts w:ascii="微軟正黑體" w:eastAsia="微軟正黑體" w:hAnsi="微軟正黑體" w:hint="eastAsia"/>
          <w:sz w:val="28"/>
          <w:szCs w:val="32"/>
        </w:rPr>
        <w:t>會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將加快上調利率，引發資金回流的疑慮，以及香港學運「佔領中環」事件，為港股帶來賣壓，第4季，港股呈現震盪格局，在強勢美元及俄羅斯金融危機影響，資金流出香港股市加大</w:t>
      </w:r>
      <w:r w:rsidR="005B4B7F" w:rsidRPr="00B47E72">
        <w:rPr>
          <w:rFonts w:ascii="新細明體" w:hAnsi="新細明體" w:hint="eastAsia"/>
          <w:sz w:val="28"/>
          <w:szCs w:val="32"/>
        </w:rPr>
        <w:t>，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但隨著人民銀行宣</w:t>
      </w:r>
      <w:r w:rsidR="00495D81">
        <w:rPr>
          <w:rFonts w:ascii="微軟正黑體" w:eastAsia="微軟正黑體" w:hAnsi="微軟正黑體" w:hint="eastAsia"/>
          <w:sz w:val="28"/>
          <w:szCs w:val="32"/>
        </w:rPr>
        <w:t>布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降息，帶動</w:t>
      </w:r>
      <w:r w:rsidR="005B4B7F">
        <w:rPr>
          <w:rFonts w:ascii="微軟正黑體" w:eastAsia="微軟正黑體" w:hAnsi="微軟正黑體" w:hint="eastAsia"/>
          <w:sz w:val="28"/>
          <w:szCs w:val="32"/>
        </w:rPr>
        <w:t>中國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大陸股市急升，為港股帶來支撐，截至2014年底，恆生指數收在</w:t>
      </w:r>
      <w:r w:rsidR="005B4B7F" w:rsidRPr="00B47E72">
        <w:rPr>
          <w:rFonts w:ascii="微軟正黑體" w:eastAsia="微軟正黑體" w:hAnsi="微軟正黑體"/>
          <w:sz w:val="28"/>
          <w:szCs w:val="32"/>
        </w:rPr>
        <w:t>23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,</w:t>
      </w:r>
      <w:r w:rsidR="005B4B7F" w:rsidRPr="00B47E72">
        <w:rPr>
          <w:rFonts w:ascii="微軟正黑體" w:eastAsia="微軟正黑體" w:hAnsi="微軟正黑體"/>
          <w:sz w:val="28"/>
          <w:szCs w:val="32"/>
        </w:rPr>
        <w:t>605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點，較</w:t>
      </w:r>
      <w:r w:rsidR="005B4B7F">
        <w:rPr>
          <w:rFonts w:ascii="微軟正黑體" w:eastAsia="微軟正黑體" w:hAnsi="微軟正黑體" w:hint="eastAsia"/>
          <w:sz w:val="28"/>
          <w:szCs w:val="32"/>
        </w:rPr>
        <w:t>第3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季上漲2.9%，較上年微幅上漲1.</w:t>
      </w:r>
      <w:r w:rsidR="005B4B7F">
        <w:rPr>
          <w:rFonts w:ascii="微軟正黑體" w:eastAsia="微軟正黑體" w:hAnsi="微軟正黑體" w:hint="eastAsia"/>
          <w:sz w:val="28"/>
          <w:szCs w:val="32"/>
        </w:rPr>
        <w:t>3</w:t>
      </w:r>
      <w:r w:rsidR="005B4B7F" w:rsidRPr="00B47E72">
        <w:rPr>
          <w:rFonts w:ascii="微軟正黑體" w:eastAsia="微軟正黑體" w:hAnsi="微軟正黑體" w:hint="eastAsia"/>
          <w:sz w:val="28"/>
          <w:szCs w:val="32"/>
        </w:rPr>
        <w:t>%。（圖3-2）</w:t>
      </w:r>
    </w:p>
    <w:p w:rsidR="005B4B7F" w:rsidRPr="00B47E72" w:rsidRDefault="005B4B7F" w:rsidP="00E166E9">
      <w:pPr>
        <w:tabs>
          <w:tab w:val="left" w:pos="567"/>
        </w:tabs>
        <w:spacing w:beforeLines="50" w:before="120" w:line="480" w:lineRule="exact"/>
        <w:ind w:left="567" w:firstLineChars="59" w:firstLine="118"/>
        <w:jc w:val="both"/>
        <w:rPr>
          <w:rFonts w:ascii="微軟正黑體" w:eastAsia="微軟正黑體" w:hAnsi="微軟正黑體" w:cs="新細明體"/>
          <w:kern w:val="0"/>
          <w:sz w:val="20"/>
          <w:szCs w:val="28"/>
        </w:rPr>
      </w:pPr>
      <w:r w:rsidRPr="00B47E72">
        <w:rPr>
          <w:rFonts w:ascii="微軟正黑體" w:eastAsia="微軟正黑體" w:hAnsi="微軟正黑體" w:cs="新細明體" w:hint="eastAsia"/>
          <w:kern w:val="0"/>
          <w:sz w:val="20"/>
          <w:szCs w:val="28"/>
        </w:rPr>
        <w:t>資料來源：Reuters，經濟處製圖</w:t>
      </w:r>
    </w:p>
    <w:p w:rsidR="005B4B7F" w:rsidRPr="00B47E72" w:rsidRDefault="005B4B7F" w:rsidP="005B4B7F">
      <w:pPr>
        <w:widowControl/>
        <w:snapToGrid w:val="0"/>
        <w:spacing w:line="360" w:lineRule="exact"/>
        <w:ind w:left="567"/>
        <w:jc w:val="center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B47E7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圖3-2  香港恆生指數走勢</w:t>
      </w:r>
    </w:p>
    <w:p w:rsidR="005B4B7F" w:rsidRPr="00B47E72" w:rsidRDefault="005B4B7F" w:rsidP="00273851">
      <w:pPr>
        <w:widowControl/>
        <w:numPr>
          <w:ilvl w:val="0"/>
          <w:numId w:val="12"/>
        </w:numPr>
        <w:tabs>
          <w:tab w:val="left" w:pos="709"/>
        </w:tabs>
        <w:snapToGrid w:val="0"/>
        <w:spacing w:beforeLines="25" w:before="60" w:line="480" w:lineRule="exact"/>
        <w:ind w:left="669" w:hanging="669"/>
        <w:rPr>
          <w:rFonts w:ascii="微軟正黑體" w:eastAsia="微軟正黑體" w:hAnsi="微軟正黑體"/>
          <w:b/>
          <w:kern w:val="0"/>
          <w:sz w:val="28"/>
          <w:szCs w:val="30"/>
        </w:rPr>
      </w:pPr>
      <w:r w:rsidRPr="00B47E72">
        <w:rPr>
          <w:rFonts w:ascii="微軟正黑體" w:eastAsia="微軟正黑體" w:hAnsi="微軟正黑體" w:hint="eastAsia"/>
          <w:b/>
          <w:kern w:val="0"/>
          <w:sz w:val="28"/>
          <w:szCs w:val="30"/>
        </w:rPr>
        <w:t>人民幣存款</w:t>
      </w:r>
      <w:r w:rsidR="00C1042D">
        <w:rPr>
          <w:rFonts w:ascii="微軟正黑體" w:eastAsia="微軟正黑體" w:hAnsi="微軟正黑體" w:hint="eastAsia"/>
          <w:b/>
          <w:kern w:val="0"/>
          <w:sz w:val="28"/>
          <w:szCs w:val="30"/>
        </w:rPr>
        <w:t>成長加速</w:t>
      </w:r>
    </w:p>
    <w:p w:rsidR="005B4B7F" w:rsidRPr="00597C3F" w:rsidRDefault="005B4B7F" w:rsidP="005B4B7F">
      <w:pPr>
        <w:tabs>
          <w:tab w:val="left" w:pos="567"/>
        </w:tabs>
        <w:spacing w:beforeLines="50" w:before="120" w:line="480" w:lineRule="exact"/>
        <w:ind w:left="567" w:firstLineChars="202" w:firstLine="566"/>
        <w:jc w:val="both"/>
        <w:rPr>
          <w:rFonts w:ascii="微軟正黑體" w:eastAsia="微軟正黑體" w:hAnsi="微軟正黑體"/>
          <w:sz w:val="28"/>
          <w:szCs w:val="32"/>
        </w:rPr>
      </w:pPr>
      <w:r w:rsidRPr="00B47E72">
        <w:rPr>
          <w:rFonts w:ascii="微軟正黑體" w:eastAsia="微軟正黑體" w:hAnsi="微軟正黑體" w:hint="eastAsia"/>
          <w:sz w:val="28"/>
          <w:szCs w:val="32"/>
        </w:rPr>
        <w:t>2014年</w:t>
      </w:r>
      <w:r>
        <w:rPr>
          <w:rFonts w:ascii="微軟正黑體" w:eastAsia="微軟正黑體" w:hAnsi="微軟正黑體" w:hint="eastAsia"/>
          <w:sz w:val="28"/>
          <w:szCs w:val="32"/>
        </w:rPr>
        <w:t>中國</w:t>
      </w:r>
      <w:r w:rsidRPr="00B47E72">
        <w:rPr>
          <w:rFonts w:ascii="微軟正黑體" w:eastAsia="微軟正黑體" w:hAnsi="微軟正黑體" w:hint="eastAsia"/>
          <w:sz w:val="28"/>
          <w:szCs w:val="32"/>
        </w:rPr>
        <w:t>大陸經濟成長放緩，人民幣貶值壓力加大，香港離岸人民幣存款成長力道明顯衰退，但隨著「</w:t>
      </w:r>
      <w:proofErr w:type="gramStart"/>
      <w:r w:rsidRPr="00B47E72">
        <w:rPr>
          <w:rFonts w:ascii="微軟正黑體" w:eastAsia="微軟正黑體" w:hAnsi="微軟正黑體" w:hint="eastAsia"/>
          <w:sz w:val="28"/>
          <w:szCs w:val="32"/>
        </w:rPr>
        <w:t>滬港通</w:t>
      </w:r>
      <w:proofErr w:type="gramEnd"/>
      <w:r w:rsidRPr="00B47E72">
        <w:rPr>
          <w:rFonts w:ascii="微軟正黑體" w:eastAsia="微軟正黑體" w:hAnsi="微軟正黑體" w:hint="eastAsia"/>
          <w:sz w:val="28"/>
          <w:szCs w:val="32"/>
        </w:rPr>
        <w:t>」正式啟動，為香港離岸人民幣開拓了新的投資管道，強</w:t>
      </w:r>
      <w:r>
        <w:rPr>
          <w:rFonts w:ascii="微軟正黑體" w:eastAsia="微軟正黑體" w:hAnsi="微軟正黑體" w:hint="eastAsia"/>
          <w:sz w:val="28"/>
          <w:szCs w:val="32"/>
        </w:rPr>
        <w:t>化</w:t>
      </w:r>
      <w:r w:rsidRPr="00B47E72">
        <w:rPr>
          <w:rFonts w:ascii="微軟正黑體" w:eastAsia="微軟正黑體" w:hAnsi="微軟正黑體" w:hint="eastAsia"/>
          <w:sz w:val="28"/>
          <w:szCs w:val="32"/>
        </w:rPr>
        <w:t>流動性，使香港離岸人民幣存款衝破兆元大關，截至2014年底為1兆35億元</w:t>
      </w:r>
      <w:r>
        <w:rPr>
          <w:rFonts w:ascii="微軟正黑體" w:eastAsia="微軟正黑體" w:hAnsi="微軟正黑體" w:hint="eastAsia"/>
          <w:sz w:val="28"/>
          <w:szCs w:val="32"/>
        </w:rPr>
        <w:t>人民幣</w:t>
      </w:r>
      <w:r w:rsidRPr="00B47E72">
        <w:rPr>
          <w:rFonts w:ascii="微軟正黑體" w:eastAsia="微軟正黑體" w:hAnsi="微軟正黑體" w:hint="eastAsia"/>
          <w:sz w:val="28"/>
          <w:szCs w:val="32"/>
        </w:rPr>
        <w:t>，較上年成長16.5%，較上季成長6.</w:t>
      </w:r>
      <w:r>
        <w:rPr>
          <w:rFonts w:ascii="微軟正黑體" w:eastAsia="微軟正黑體" w:hAnsi="微軟正黑體" w:hint="eastAsia"/>
          <w:sz w:val="28"/>
          <w:szCs w:val="32"/>
        </w:rPr>
        <w:t>3</w:t>
      </w:r>
      <w:r w:rsidRPr="00B47E72">
        <w:rPr>
          <w:rFonts w:ascii="微軟正黑體" w:eastAsia="微軟正黑體" w:hAnsi="微軟正黑體" w:hint="eastAsia"/>
          <w:sz w:val="28"/>
          <w:szCs w:val="32"/>
        </w:rPr>
        <w:t>%。</w:t>
      </w:r>
      <w:r>
        <w:rPr>
          <w:rFonts w:ascii="微軟正黑體" w:eastAsia="微軟正黑體" w:hAnsi="微軟正黑體" w:hint="eastAsia"/>
          <w:sz w:val="28"/>
          <w:szCs w:val="32"/>
        </w:rPr>
        <w:t>展望未來</w:t>
      </w:r>
      <w:r w:rsidRPr="00B47E72">
        <w:rPr>
          <w:rFonts w:ascii="微軟正黑體" w:eastAsia="微軟正黑體" w:hAnsi="微軟正黑體" w:hint="eastAsia"/>
          <w:sz w:val="28"/>
          <w:szCs w:val="32"/>
        </w:rPr>
        <w:t>，隨著國際</w:t>
      </w:r>
      <w:r w:rsidRPr="00B47E72">
        <w:rPr>
          <w:rFonts w:ascii="微軟正黑體" w:eastAsia="微軟正黑體" w:hAnsi="微軟正黑體" w:hint="eastAsia"/>
          <w:sz w:val="28"/>
          <w:szCs w:val="32"/>
        </w:rPr>
        <w:lastRenderedPageBreak/>
        <w:t>間人民幣使用率日益頻繁，加速人民幣國際化進程，未來</w:t>
      </w:r>
      <w:r>
        <w:rPr>
          <w:rFonts w:ascii="微軟正黑體" w:eastAsia="微軟正黑體" w:hAnsi="微軟正黑體" w:hint="eastAsia"/>
          <w:sz w:val="28"/>
          <w:szCs w:val="32"/>
        </w:rPr>
        <w:t>香港離岸人民幣市場仍</w:t>
      </w:r>
      <w:r w:rsidRPr="00B47E72">
        <w:rPr>
          <w:rFonts w:ascii="微軟正黑體" w:eastAsia="微軟正黑體" w:hAnsi="微軟正黑體" w:hint="eastAsia"/>
          <w:sz w:val="28"/>
          <w:szCs w:val="32"/>
        </w:rPr>
        <w:t>有龐大的成長空間與潛力。</w:t>
      </w:r>
    </w:p>
    <w:p w:rsidR="005B4B7F" w:rsidRPr="00B47E72" w:rsidRDefault="005B4B7F" w:rsidP="005B4B7F">
      <w:pPr>
        <w:tabs>
          <w:tab w:val="left" w:pos="567"/>
        </w:tabs>
        <w:ind w:left="567"/>
        <w:jc w:val="both"/>
        <w:rPr>
          <w:rFonts w:ascii="文鼎中圓" w:eastAsia="文鼎中圓" w:hAnsi="標楷體"/>
          <w:kern w:val="0"/>
          <w:sz w:val="20"/>
          <w:szCs w:val="20"/>
        </w:rPr>
      </w:pPr>
      <w:r w:rsidRPr="00B47E72">
        <w:rPr>
          <w:noProof/>
        </w:rPr>
        <w:drawing>
          <wp:anchor distT="0" distB="0" distL="114300" distR="114300" simplePos="0" relativeHeight="251695104" behindDoc="0" locked="0" layoutInCell="1" allowOverlap="1" wp14:anchorId="55B4C011" wp14:editId="123928DD">
            <wp:simplePos x="0" y="0"/>
            <wp:positionH relativeFrom="column">
              <wp:posOffset>342900</wp:posOffset>
            </wp:positionH>
            <wp:positionV relativeFrom="paragraph">
              <wp:posOffset>128270</wp:posOffset>
            </wp:positionV>
            <wp:extent cx="5402580" cy="2552700"/>
            <wp:effectExtent l="0" t="0" r="7620" b="0"/>
            <wp:wrapTopAndBottom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7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資料來源：香港金融管理局（HKMA），經濟處彙整製</w:t>
      </w:r>
    </w:p>
    <w:p w:rsidR="005B4B7F" w:rsidRPr="00B47E72" w:rsidRDefault="005B4B7F" w:rsidP="005B4B7F">
      <w:pPr>
        <w:spacing w:beforeLines="50" w:before="120" w:line="480" w:lineRule="exact"/>
        <w:ind w:leftChars="236" w:left="566"/>
        <w:jc w:val="center"/>
        <w:rPr>
          <w:rFonts w:ascii="微軟正黑體" w:eastAsia="微軟正黑體" w:hAnsi="微軟正黑體" w:cs="新細明體"/>
          <w:kern w:val="0"/>
          <w:sz w:val="28"/>
          <w:szCs w:val="30"/>
        </w:rPr>
      </w:pPr>
      <w:r w:rsidRPr="00B47E72">
        <w:rPr>
          <w:rFonts w:ascii="微軟正黑體" w:eastAsia="微軟正黑體" w:hAnsi="微軟正黑體" w:cs="新細明體" w:hint="eastAsia"/>
          <w:kern w:val="0"/>
          <w:sz w:val="28"/>
          <w:szCs w:val="30"/>
        </w:rPr>
        <w:t>圖3-3  香港人民幣存款規模變化</w:t>
      </w:r>
    </w:p>
    <w:p w:rsidR="001F4DAB" w:rsidRPr="005B4B7F" w:rsidRDefault="001F4DAB" w:rsidP="005B4B7F">
      <w:pPr>
        <w:pStyle w:val="20"/>
        <w:spacing w:beforeLines="50" w:before="120" w:line="480" w:lineRule="exact"/>
        <w:rPr>
          <w:rFonts w:ascii="微軟正黑體" w:eastAsia="微軟正黑體" w:hAnsi="微軟正黑體"/>
          <w:b w:val="0"/>
          <w:bCs w:val="0"/>
          <w:kern w:val="0"/>
          <w:sz w:val="36"/>
          <w:szCs w:val="36"/>
        </w:rPr>
        <w:sectPr w:rsidR="001F4DAB" w:rsidRPr="005B4B7F" w:rsidSect="00A64728">
          <w:footerReference w:type="even" r:id="rId30"/>
          <w:pgSz w:w="11906" w:h="16838"/>
          <w:pgMar w:top="1440" w:right="1841" w:bottom="1440" w:left="1560" w:header="851" w:footer="992" w:gutter="0"/>
          <w:pgNumType w:start="1"/>
          <w:cols w:space="425"/>
          <w:docGrid w:linePitch="360"/>
        </w:sectPr>
      </w:pPr>
    </w:p>
    <w:p w:rsidR="005B4B7F" w:rsidRPr="008865CA" w:rsidRDefault="005B4B7F" w:rsidP="005B4B7F">
      <w:pPr>
        <w:pStyle w:val="11"/>
        <w:spacing w:before="0" w:after="0" w:line="240" w:lineRule="auto"/>
        <w:jc w:val="center"/>
        <w:rPr>
          <w:rFonts w:ascii="微軟正黑體" w:eastAsia="微軟正黑體" w:hAnsi="微軟正黑體"/>
          <w:sz w:val="22"/>
        </w:rPr>
      </w:pPr>
      <w:bookmarkStart w:id="12" w:name="_Toc413072673"/>
      <w:bookmarkEnd w:id="5"/>
      <w:r w:rsidRPr="008865CA">
        <w:rPr>
          <w:rFonts w:ascii="微軟正黑體" w:eastAsia="微軟正黑體" w:hAnsi="微軟正黑體" w:hint="eastAsia"/>
          <w:kern w:val="0"/>
          <w:sz w:val="28"/>
          <w:szCs w:val="32"/>
        </w:rPr>
        <w:lastRenderedPageBreak/>
        <w:t>附</w:t>
      </w:r>
      <w:r w:rsidRPr="008865CA">
        <w:rPr>
          <w:rFonts w:ascii="微軟正黑體" w:eastAsia="微軟正黑體" w:hAnsi="微軟正黑體"/>
          <w:kern w:val="0"/>
          <w:sz w:val="28"/>
          <w:szCs w:val="32"/>
        </w:rPr>
        <w:t>表</w:t>
      </w:r>
      <w:r w:rsidRPr="008865CA">
        <w:rPr>
          <w:rFonts w:ascii="微軟正黑體" w:eastAsia="微軟正黑體" w:hAnsi="微軟正黑體" w:hint="eastAsia"/>
          <w:kern w:val="0"/>
          <w:sz w:val="28"/>
          <w:szCs w:val="32"/>
        </w:rPr>
        <w:t xml:space="preserve">1  </w:t>
      </w:r>
      <w:r w:rsidRPr="008865CA">
        <w:rPr>
          <w:rFonts w:ascii="微軟正黑體" w:eastAsia="微軟正黑體" w:hAnsi="微軟正黑體"/>
          <w:kern w:val="0"/>
          <w:sz w:val="28"/>
          <w:szCs w:val="32"/>
        </w:rPr>
        <w:t>中國</w:t>
      </w:r>
      <w:r w:rsidRPr="008865CA">
        <w:rPr>
          <w:rFonts w:ascii="微軟正黑體" w:eastAsia="微軟正黑體" w:hAnsi="微軟正黑體" w:hint="eastAsia"/>
          <w:kern w:val="0"/>
          <w:sz w:val="28"/>
          <w:szCs w:val="32"/>
        </w:rPr>
        <w:t>大陸</w:t>
      </w:r>
      <w:r w:rsidRPr="008865CA">
        <w:rPr>
          <w:rFonts w:ascii="微軟正黑體" w:eastAsia="微軟正黑體" w:hAnsi="微軟正黑體"/>
          <w:kern w:val="0"/>
          <w:sz w:val="28"/>
          <w:szCs w:val="32"/>
        </w:rPr>
        <w:t>重要經濟指標</w:t>
      </w:r>
      <w:bookmarkEnd w:id="12"/>
    </w:p>
    <w:tbl>
      <w:tblPr>
        <w:tblW w:w="15944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1277"/>
        <w:gridCol w:w="870"/>
        <w:gridCol w:w="764"/>
        <w:gridCol w:w="900"/>
        <w:gridCol w:w="900"/>
        <w:gridCol w:w="720"/>
        <w:gridCol w:w="900"/>
        <w:gridCol w:w="1080"/>
        <w:gridCol w:w="1080"/>
        <w:gridCol w:w="900"/>
        <w:gridCol w:w="1080"/>
        <w:gridCol w:w="900"/>
        <w:gridCol w:w="981"/>
        <w:gridCol w:w="993"/>
        <w:gridCol w:w="822"/>
        <w:gridCol w:w="379"/>
      </w:tblGrid>
      <w:tr w:rsidR="005B4B7F" w:rsidRPr="00161792" w:rsidTr="005B4B7F">
        <w:trPr>
          <w:gridAfter w:val="1"/>
          <w:wAfter w:w="379" w:type="dxa"/>
          <w:trHeight w:val="925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年  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名目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國內生產毛額</w:t>
            </w:r>
          </w:p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（人民幣億元）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實質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國內生產毛額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成長率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名目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人均GDP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（美元）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一級產業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成長率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二級產業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成長率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工業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成長率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三級產業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成長率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pacing w:val="-8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spacing w:val="-8"/>
                <w:kern w:val="0"/>
                <w:sz w:val="18"/>
                <w:szCs w:val="20"/>
              </w:rPr>
              <w:t>M1貨幣供給</w:t>
            </w:r>
          </w:p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額增加率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pacing w:val="-8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（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期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底數）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pacing w:val="-8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spacing w:val="-8"/>
                <w:kern w:val="0"/>
                <w:sz w:val="18"/>
                <w:szCs w:val="20"/>
              </w:rPr>
              <w:t>M2貨幣供給</w:t>
            </w:r>
          </w:p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額增加率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pacing w:val="-8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（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期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底數）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外匯</w:t>
            </w:r>
          </w:p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（億美元）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（期底數）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人民幣兌美</w:t>
            </w:r>
          </w:p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元匯率</w:t>
            </w:r>
            <w:proofErr w:type="gramStart"/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（</w:t>
            </w:r>
            <w:proofErr w:type="gramEnd"/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人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民幣/美元</w:t>
            </w:r>
            <w:proofErr w:type="gramStart"/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）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名目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居民消費物價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上漲率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名目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固定資產投資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增加率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名目社會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消費品零售總額增加率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城鎮失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業率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2006年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216,314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12.7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2,070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16.9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10,663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7.8087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1.5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23.9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13.7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20"/>
              </w:rPr>
              <w:t>2007年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265,810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14.2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2,652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15.1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14.9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16.0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21.0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16.7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15,282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7.3046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4.8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24.8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16.8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4.0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2008年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314,045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9.6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3,412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17.8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19,460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6.8346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5.9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25.9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21.6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4.2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2009年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340,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3,749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9.9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32.4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23,992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6.8279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-0.7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30.1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15.5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4.3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20"/>
              </w:rPr>
              <w:t>2010年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401,513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10.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4,431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12.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15.7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21.2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19.7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28,473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6.6623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3.3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23.8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18.4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2011年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47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,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9.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5,415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10.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13.9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7.9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31,811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6.3281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5.4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23.8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17.1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84"/>
        </w:trPr>
        <w:tc>
          <w:tcPr>
            <w:tcW w:w="139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2012年</w:t>
            </w:r>
          </w:p>
        </w:tc>
        <w:tc>
          <w:tcPr>
            <w:tcW w:w="12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519,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7.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6,076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</w:t>
            </w: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13.8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33,116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6.3124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20.6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14.3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2013年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568,845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13.6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38,213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6.1957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19.6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13.1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第1季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118,862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11.9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15.7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34,426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6.2791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20.9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12.4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第2季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129,162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9.1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14.0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34,967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6.2053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19.3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13.0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第3季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139,076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8.2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8.6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8.9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14.2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36,627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6.1674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20.4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13.3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4.04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第4季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184,745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10.0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8.0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9.3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13.6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38,213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6.1308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17.8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13.7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4.05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2014年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636,463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EF01C3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8.3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38,430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6.1190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15.7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12.0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4.09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第1季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第2季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第3季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128,213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140,831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150,864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7.4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7.5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3.5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4.3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7.3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7.5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8.7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8.9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7.8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8.2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5.4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8.9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12.1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14.7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12.9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39,480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39,932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38,877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6.1521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6.1636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6.1525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2.3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2.3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1.9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17.6</w:t>
            </w:r>
          </w:p>
          <w:p w:rsidR="005B4B7F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17.0</w:t>
            </w:r>
          </w:p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13.7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12.0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12.2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11.8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4.08</w:t>
            </w:r>
          </w:p>
          <w:p w:rsidR="005B4B7F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4.08</w:t>
            </w:r>
          </w:p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4.07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第4季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216,555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7.0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7.6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38,430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6.1190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14.5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12.0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4.09</w:t>
            </w: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10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月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3A617B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3A617B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38,529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6.1461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14.1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065B1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11.5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11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月</w:t>
            </w:r>
          </w:p>
        </w:tc>
        <w:tc>
          <w:tcPr>
            <w:tcW w:w="12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0"/>
                <w:szCs w:val="20"/>
              </w:rPr>
            </w:pPr>
            <w:r w:rsidRPr="003A617B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3.1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0"/>
                <w:szCs w:val="20"/>
              </w:rPr>
            </w:pPr>
            <w:r w:rsidRPr="003A617B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11.9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38,473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8477A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6.1345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14.8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065B1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11.7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5B4B7F" w:rsidRPr="00161792" w:rsidTr="005B4B7F">
        <w:trPr>
          <w:gridAfter w:val="1"/>
          <w:wAfter w:w="379" w:type="dxa"/>
          <w:trHeight w:val="255"/>
        </w:trPr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18"/>
                <w:szCs w:val="19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12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9"/>
              </w:rPr>
              <w:t>月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8477A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8477A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38,430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8477A8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8477A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6.1190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065B1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14.8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B7F" w:rsidRPr="00065B1D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0"/>
                <w:szCs w:val="20"/>
              </w:rPr>
            </w:pPr>
            <w:r w:rsidRPr="00065B1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0"/>
                <w:szCs w:val="20"/>
              </w:rPr>
              <w:t>11.9</w:t>
            </w:r>
          </w:p>
        </w:tc>
        <w:tc>
          <w:tcPr>
            <w:tcW w:w="8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5B4B7F" w:rsidRPr="00161792" w:rsidTr="005B4B7F">
        <w:trPr>
          <w:trHeight w:val="170"/>
        </w:trPr>
        <w:tc>
          <w:tcPr>
            <w:tcW w:w="15944" w:type="dxa"/>
            <w:gridSpan w:val="17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B4B7F" w:rsidRPr="00161792" w:rsidRDefault="005B4B7F" w:rsidP="005B4B7F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8"/>
                <w:szCs w:val="16"/>
              </w:rPr>
            </w:pPr>
            <w:proofErr w:type="gramStart"/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6"/>
              </w:rPr>
              <w:t>註</w:t>
            </w:r>
            <w:proofErr w:type="gramEnd"/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6"/>
              </w:rPr>
              <w:t xml:space="preserve">：1. 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*中國的二級產業包括工業與建築業，但</w:t>
            </w:r>
            <w:r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臺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灣的二級產業就是指工業，而工業則包含建築業。</w:t>
            </w:r>
          </w:p>
          <w:p w:rsidR="005B4B7F" w:rsidRPr="00161792" w:rsidRDefault="005B4B7F" w:rsidP="005B4B7F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8"/>
                <w:szCs w:val="16"/>
              </w:rPr>
            </w:pP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6"/>
              </w:rPr>
              <w:t xml:space="preserve">    2. 工業成長率即全國規模以上工業增加值成長率。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人民幣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6"/>
              </w:rPr>
              <w:t>兌美元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匯率為平均數。</w:t>
            </w:r>
          </w:p>
          <w:p w:rsidR="005B4B7F" w:rsidRPr="00161792" w:rsidRDefault="005B4B7F" w:rsidP="005B4B7F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資料來源：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6"/>
              </w:rPr>
              <w:t>中國大陸國家統計局、</w:t>
            </w:r>
            <w:r w:rsidRPr="00161792">
              <w:rPr>
                <w:rFonts w:ascii="微軟正黑體" w:eastAsia="微軟正黑體" w:hAnsi="微軟正黑體"/>
                <w:kern w:val="0"/>
                <w:sz w:val="18"/>
                <w:szCs w:val="16"/>
              </w:rPr>
              <w:t>CEIC</w:t>
            </w:r>
            <w:r w:rsidRPr="00161792">
              <w:rPr>
                <w:rFonts w:ascii="微軟正黑體" w:eastAsia="微軟正黑體" w:hAnsi="微軟正黑體" w:hint="eastAsia"/>
                <w:kern w:val="0"/>
                <w:sz w:val="18"/>
                <w:szCs w:val="16"/>
              </w:rPr>
              <w:t>資料庫。</w:t>
            </w:r>
          </w:p>
        </w:tc>
      </w:tr>
    </w:tbl>
    <w:p w:rsidR="005B4B7F" w:rsidRPr="00161792" w:rsidRDefault="005B4B7F" w:rsidP="005B4B7F">
      <w:pPr>
        <w:rPr>
          <w:rFonts w:ascii="微軟正黑體" w:eastAsia="微軟正黑體" w:hAnsi="微軟正黑體"/>
        </w:rPr>
      </w:pPr>
    </w:p>
    <w:p w:rsidR="005B4B7F" w:rsidRPr="00161792" w:rsidRDefault="005B4B7F" w:rsidP="005B4B7F">
      <w:pPr>
        <w:tabs>
          <w:tab w:val="left" w:pos="1276"/>
        </w:tabs>
        <w:autoSpaceDE w:val="0"/>
        <w:spacing w:before="120" w:line="520" w:lineRule="exact"/>
        <w:jc w:val="both"/>
        <w:rPr>
          <w:rFonts w:ascii="微軟正黑體" w:eastAsia="微軟正黑體" w:hAnsi="微軟正黑體"/>
          <w:sz w:val="32"/>
          <w:szCs w:val="32"/>
        </w:rPr>
        <w:sectPr w:rsidR="005B4B7F" w:rsidRPr="00161792" w:rsidSect="00A64728">
          <w:pgSz w:w="16838" w:h="11906" w:orient="landscape"/>
          <w:pgMar w:top="567" w:right="1440" w:bottom="567" w:left="1440" w:header="851" w:footer="283" w:gutter="0"/>
          <w:cols w:space="425"/>
          <w:docGrid w:linePitch="360"/>
        </w:sectPr>
      </w:pPr>
    </w:p>
    <w:tbl>
      <w:tblPr>
        <w:tblW w:w="9612" w:type="dxa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2"/>
      </w:tblGrid>
      <w:tr w:rsidR="005B4B7F" w:rsidRPr="00161792" w:rsidTr="005B4B7F">
        <w:trPr>
          <w:trHeight w:val="540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2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1080"/>
              <w:gridCol w:w="1080"/>
              <w:gridCol w:w="1080"/>
              <w:gridCol w:w="1080"/>
              <w:gridCol w:w="1080"/>
              <w:gridCol w:w="1080"/>
              <w:gridCol w:w="1073"/>
              <w:gridCol w:w="127"/>
            </w:tblGrid>
            <w:tr w:rsidR="005B4B7F" w:rsidRPr="00161792" w:rsidTr="005B4B7F">
              <w:trPr>
                <w:gridAfter w:val="1"/>
                <w:wAfter w:w="127" w:type="dxa"/>
                <w:trHeight w:val="426"/>
                <w:jc w:val="center"/>
              </w:trPr>
              <w:tc>
                <w:tcPr>
                  <w:tcW w:w="91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75656B" w:rsidRDefault="005B4B7F" w:rsidP="005B4B7F">
                  <w:pPr>
                    <w:widowControl/>
                    <w:spacing w:beforeLines="50" w:before="180" w:line="480" w:lineRule="exact"/>
                    <w:ind w:leftChars="827" w:left="1985" w:firstLineChars="200" w:firstLine="560"/>
                    <w:rPr>
                      <w:rFonts w:ascii="微軟正黑體" w:eastAsia="微軟正黑體" w:hAnsi="微軟正黑體"/>
                      <w:kern w:val="0"/>
                      <w:sz w:val="32"/>
                      <w:szCs w:val="32"/>
                    </w:rPr>
                  </w:pPr>
                  <w:r w:rsidRPr="008865CA">
                    <w:rPr>
                      <w:rFonts w:ascii="微軟正黑體" w:eastAsia="微軟正黑體" w:hAnsi="微軟正黑體" w:hint="eastAsia"/>
                      <w:b/>
                      <w:kern w:val="0"/>
                      <w:sz w:val="28"/>
                      <w:szCs w:val="32"/>
                    </w:rPr>
                    <w:lastRenderedPageBreak/>
                    <w:t xml:space="preserve">附表2 </w:t>
                  </w:r>
                  <w:r w:rsidRPr="008865CA"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32"/>
                    </w:rPr>
                    <w:t xml:space="preserve"> 中國</w:t>
                  </w:r>
                  <w:r w:rsidRPr="008865CA">
                    <w:rPr>
                      <w:rFonts w:ascii="微軟正黑體" w:eastAsia="微軟正黑體" w:hAnsi="微軟正黑體" w:hint="eastAsia"/>
                      <w:b/>
                      <w:kern w:val="0"/>
                      <w:sz w:val="28"/>
                      <w:szCs w:val="32"/>
                    </w:rPr>
                    <w:t>大陸</w:t>
                  </w:r>
                  <w:r w:rsidRPr="008865CA"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32"/>
                    </w:rPr>
                    <w:t>對外貿易</w:t>
                  </w:r>
                </w:p>
              </w:tc>
            </w:tr>
            <w:tr w:rsidR="005B4B7F" w:rsidRPr="00161792" w:rsidTr="005B4B7F">
              <w:trPr>
                <w:gridAfter w:val="1"/>
                <w:wAfter w:w="127" w:type="dxa"/>
                <w:trHeight w:val="188"/>
                <w:jc w:val="center"/>
              </w:trPr>
              <w:tc>
                <w:tcPr>
                  <w:tcW w:w="91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line="260" w:lineRule="atLeast"/>
                    <w:jc w:val="right"/>
                    <w:rPr>
                      <w:rFonts w:ascii="微軟正黑體" w:eastAsia="微軟正黑體" w:hAnsi="微軟正黑體"/>
                      <w:kern w:val="0"/>
                      <w:sz w:val="20"/>
                      <w:szCs w:val="2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  <w:sz w:val="20"/>
                      <w:szCs w:val="20"/>
                    </w:rPr>
                    <w:t>單位：億美元</w:t>
                  </w:r>
                  <w:r w:rsidRPr="00161792">
                    <w:rPr>
                      <w:rFonts w:ascii="微軟正黑體" w:eastAsia="微軟正黑體" w:hAnsi="微軟正黑體" w:hint="eastAsia"/>
                      <w:kern w:val="0"/>
                      <w:sz w:val="20"/>
                      <w:szCs w:val="20"/>
                    </w:rPr>
                    <w:t>；</w:t>
                  </w:r>
                  <w:r w:rsidRPr="00161792">
                    <w:rPr>
                      <w:rFonts w:ascii="微軟正黑體" w:eastAsia="微軟正黑體" w:hAnsi="微軟正黑體"/>
                      <w:kern w:val="0"/>
                      <w:sz w:val="20"/>
                      <w:szCs w:val="20"/>
                    </w:rPr>
                    <w:t>%</w:t>
                  </w:r>
                </w:p>
              </w:tc>
            </w:tr>
            <w:tr w:rsidR="005B4B7F" w:rsidRPr="00161792" w:rsidTr="005B4B7F">
              <w:trPr>
                <w:trHeight w:val="480"/>
                <w:jc w:val="center"/>
              </w:trPr>
              <w:tc>
                <w:tcPr>
                  <w:tcW w:w="1587" w:type="dxa"/>
                  <w:vMerge w:val="restart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期間</w:t>
                  </w:r>
                </w:p>
              </w:tc>
              <w:tc>
                <w:tcPr>
                  <w:tcW w:w="2160" w:type="dxa"/>
                  <w:gridSpan w:val="2"/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貿易總額</w:t>
                  </w:r>
                </w:p>
              </w:tc>
              <w:tc>
                <w:tcPr>
                  <w:tcW w:w="2160" w:type="dxa"/>
                  <w:gridSpan w:val="2"/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出口</w:t>
                  </w:r>
                </w:p>
              </w:tc>
              <w:tc>
                <w:tcPr>
                  <w:tcW w:w="2160" w:type="dxa"/>
                  <w:gridSpan w:val="2"/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進口</w:t>
                  </w:r>
                </w:p>
              </w:tc>
              <w:tc>
                <w:tcPr>
                  <w:tcW w:w="120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ind w:firstLineChars="100" w:firstLine="24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出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（</w:t>
                  </w: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入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）</w:t>
                  </w: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超</w:t>
                  </w:r>
                </w:p>
              </w:tc>
            </w:tr>
            <w:tr w:rsidR="005B4B7F" w:rsidRPr="00161792" w:rsidTr="005B4B7F">
              <w:trPr>
                <w:trHeight w:val="398"/>
                <w:jc w:val="center"/>
              </w:trPr>
              <w:tc>
                <w:tcPr>
                  <w:tcW w:w="1587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金額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年增率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金額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年增率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金額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年增率</w:t>
                  </w:r>
                </w:p>
              </w:tc>
              <w:tc>
                <w:tcPr>
                  <w:tcW w:w="1200" w:type="dxa"/>
                  <w:gridSpan w:val="2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金  額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2004年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11,545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35.6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5,936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35.4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5,608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35.8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328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2005年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14,225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23.2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7,623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28.4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6,602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17.7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1,021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2006年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17,611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23.8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9,693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27.2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7,918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19.9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1,775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2007年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21,745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23.5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12,183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25.7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9,563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20.8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2,620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2008年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25,610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17.8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14,292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17.3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11,318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18.4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2,973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2009年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22,059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-13.9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12,020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-15.9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10,039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-11.3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1,982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2010年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29,724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34.7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15,784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31.3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13,939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38.9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1,845 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2011年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36,407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22.5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18,993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20.3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17,414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24.9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B4B7F" w:rsidRPr="00161792" w:rsidRDefault="005B4B7F" w:rsidP="005B4B7F">
                  <w:pPr>
                    <w:snapToGrid w:val="0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 1,579 </w:t>
                  </w:r>
                </w:p>
              </w:tc>
            </w:tr>
            <w:tr w:rsidR="005B4B7F" w:rsidRPr="00161792" w:rsidTr="005B4B7F">
              <w:trPr>
                <w:trHeight w:val="325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2012年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38,668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6.2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20,489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18,178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4.3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2,311</w:t>
                  </w:r>
                </w:p>
              </w:tc>
            </w:tr>
            <w:tr w:rsidR="005B4B7F" w:rsidRPr="00161792" w:rsidTr="005B4B7F">
              <w:trPr>
                <w:trHeight w:val="405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2013年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41,603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22,100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19,503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7.3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2,597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wordWrap w:val="0"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第１季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9,753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13.5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5,087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18.3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4,667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8.6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420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第２季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10,217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3.7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5,439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4,778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4.8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661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第3季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10,631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5,621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3.2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5,010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8.5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611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第4季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11,002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5,953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5,048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7.3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905</w:t>
                  </w:r>
                </w:p>
              </w:tc>
            </w:tr>
            <w:tr w:rsidR="005B4B7F" w:rsidRPr="00161792" w:rsidTr="005B4B7F">
              <w:trPr>
                <w:trHeight w:val="363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2014年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43,030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3.4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23,427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6.1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19,602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0.4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3,824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第1季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9,658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-1.0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4,913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-3.4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4,745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1.6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167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第2季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第3季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10,556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11,411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3.2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7.3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5,706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6,351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4.8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12.9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4,847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5,063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1.3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1.1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858</w:t>
                  </w:r>
                </w:p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1,290</w:t>
                  </w:r>
                </w:p>
              </w:tc>
            </w:tr>
            <w:tr w:rsidR="005B4B7F" w:rsidRPr="00161792" w:rsidTr="005B4B7F">
              <w:trPr>
                <w:trHeight w:val="247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第4季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11,405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3.7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6,457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8.5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4,947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-2.0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1,509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7月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3,784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6.9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2,128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14.5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1,655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-1.6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473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8月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3,670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4.0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2,084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9.4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1,586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-2.4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498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9月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3,964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2,136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15.3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1,827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7.0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309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10月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3,683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8.4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2,068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11.6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1,614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4.6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454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11月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3,688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-0.5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2,116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4.7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1,571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-6.7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544</w:t>
                  </w:r>
                </w:p>
              </w:tc>
            </w:tr>
            <w:tr w:rsidR="005B4B7F" w:rsidRPr="00161792" w:rsidTr="005B4B7F">
              <w:trPr>
                <w:trHeight w:val="284"/>
                <w:jc w:val="center"/>
              </w:trPr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12月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4,054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4.0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2,275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9.7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1,779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-2.4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Default="005B4B7F" w:rsidP="005B4B7F">
                  <w:pPr>
                    <w:widowControl/>
                    <w:snapToGrid w:val="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496</w:t>
                  </w:r>
                </w:p>
              </w:tc>
            </w:tr>
          </w:tbl>
          <w:p w:rsidR="005B4B7F" w:rsidRPr="00161792" w:rsidRDefault="005B4B7F" w:rsidP="005B4B7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161792">
              <w:rPr>
                <w:rFonts w:ascii="微軟正黑體" w:eastAsia="微軟正黑體" w:hAnsi="微軟正黑體" w:hint="eastAsia"/>
                <w:sz w:val="20"/>
              </w:rPr>
              <w:t>註</w:t>
            </w:r>
            <w:proofErr w:type="gramEnd"/>
            <w:r w:rsidRPr="00161792">
              <w:rPr>
                <w:rFonts w:ascii="微軟正黑體" w:eastAsia="微軟正黑體" w:hAnsi="微軟正黑體" w:hint="eastAsia"/>
                <w:sz w:val="20"/>
              </w:rPr>
              <w:t>：年</w:t>
            </w:r>
            <w:proofErr w:type="gramStart"/>
            <w:r w:rsidRPr="00161792">
              <w:rPr>
                <w:rFonts w:ascii="微軟正黑體" w:eastAsia="微軟正黑體" w:hAnsi="微軟正黑體" w:hint="eastAsia"/>
                <w:sz w:val="20"/>
              </w:rPr>
              <w:t>增率係指</w:t>
            </w:r>
            <w:proofErr w:type="gramEnd"/>
            <w:r w:rsidRPr="00161792">
              <w:rPr>
                <w:rFonts w:ascii="微軟正黑體" w:eastAsia="微軟正黑體" w:hAnsi="微軟正黑體" w:hint="eastAsia"/>
                <w:sz w:val="20"/>
              </w:rPr>
              <w:t>較上年或上年同期增減比率。</w:t>
            </w:r>
          </w:p>
          <w:p w:rsidR="005B4B7F" w:rsidRPr="00161792" w:rsidRDefault="005B4B7F" w:rsidP="005B4B7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 w:rsidRPr="00161792">
              <w:rPr>
                <w:rFonts w:ascii="微軟正黑體" w:eastAsia="微軟正黑體" w:hAnsi="微軟正黑體"/>
                <w:sz w:val="20"/>
              </w:rPr>
              <w:t>資料來源：中國大陸海關總署</w:t>
            </w:r>
            <w:r w:rsidRPr="00161792"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161792">
              <w:rPr>
                <w:rFonts w:ascii="微軟正黑體" w:eastAsia="微軟正黑體" w:hAnsi="微軟正黑體"/>
                <w:sz w:val="20"/>
              </w:rPr>
              <w:t>CEIC</w:t>
            </w:r>
            <w:r w:rsidRPr="00161792">
              <w:rPr>
                <w:rFonts w:ascii="微軟正黑體" w:eastAsia="微軟正黑體" w:hAnsi="微軟正黑體" w:hint="eastAsia"/>
                <w:sz w:val="20"/>
              </w:rPr>
              <w:t>資料庫</w:t>
            </w:r>
            <w:r w:rsidRPr="00161792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5B4B7F" w:rsidRDefault="005B4B7F" w:rsidP="005B4B7F">
            <w:pPr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  <w:sz w:val="28"/>
                <w:szCs w:val="32"/>
              </w:rPr>
            </w:pPr>
          </w:p>
          <w:p w:rsidR="005B4B7F" w:rsidRPr="008865CA" w:rsidRDefault="005B4B7F" w:rsidP="005B4B7F">
            <w:pPr>
              <w:widowControl/>
              <w:spacing w:beforeLines="50" w:before="180" w:line="480" w:lineRule="exact"/>
              <w:ind w:leftChars="827" w:left="1985" w:firstLineChars="200" w:firstLine="560"/>
              <w:rPr>
                <w:rFonts w:ascii="微軟正黑體" w:eastAsia="微軟正黑體" w:hAnsi="微軟正黑體"/>
                <w:b/>
                <w:kern w:val="0"/>
                <w:sz w:val="28"/>
                <w:szCs w:val="32"/>
              </w:rPr>
            </w:pPr>
            <w:r w:rsidRPr="008865CA">
              <w:rPr>
                <w:rFonts w:ascii="微軟正黑體" w:eastAsia="微軟正黑體" w:hAnsi="微軟正黑體" w:hint="eastAsia"/>
                <w:b/>
                <w:kern w:val="0"/>
                <w:sz w:val="28"/>
                <w:szCs w:val="32"/>
              </w:rPr>
              <w:lastRenderedPageBreak/>
              <w:t>附</w:t>
            </w:r>
            <w:r w:rsidRPr="008865CA">
              <w:rPr>
                <w:rFonts w:ascii="微軟正黑體" w:eastAsia="微軟正黑體" w:hAnsi="微軟正黑體"/>
                <w:b/>
                <w:kern w:val="0"/>
                <w:sz w:val="28"/>
                <w:szCs w:val="32"/>
              </w:rPr>
              <w:t>表</w:t>
            </w:r>
            <w:r w:rsidRPr="008865CA">
              <w:rPr>
                <w:rFonts w:ascii="微軟正黑體" w:eastAsia="微軟正黑體" w:hAnsi="微軟正黑體" w:hint="eastAsia"/>
                <w:b/>
                <w:kern w:val="0"/>
                <w:sz w:val="28"/>
                <w:szCs w:val="32"/>
              </w:rPr>
              <w:t xml:space="preserve">3  </w:t>
            </w:r>
            <w:r w:rsidRPr="008865CA">
              <w:rPr>
                <w:rFonts w:ascii="微軟正黑體" w:eastAsia="微軟正黑體" w:hAnsi="微軟正黑體"/>
                <w:b/>
                <w:kern w:val="0"/>
                <w:sz w:val="28"/>
                <w:szCs w:val="32"/>
              </w:rPr>
              <w:t>中國</w:t>
            </w:r>
            <w:r w:rsidRPr="008865CA">
              <w:rPr>
                <w:rFonts w:ascii="微軟正黑體" w:eastAsia="微軟正黑體" w:hAnsi="微軟正黑體" w:hint="eastAsia"/>
                <w:b/>
                <w:kern w:val="0"/>
                <w:sz w:val="28"/>
                <w:szCs w:val="32"/>
              </w:rPr>
              <w:t>大陸</w:t>
            </w:r>
            <w:r w:rsidRPr="008865CA">
              <w:rPr>
                <w:rFonts w:ascii="微軟正黑體" w:eastAsia="微軟正黑體" w:hAnsi="微軟正黑體"/>
                <w:b/>
                <w:kern w:val="0"/>
                <w:sz w:val="28"/>
                <w:szCs w:val="32"/>
              </w:rPr>
              <w:t>外商直接投資</w:t>
            </w:r>
          </w:p>
          <w:p w:rsidR="005B4B7F" w:rsidRPr="00161792" w:rsidRDefault="005B4B7F" w:rsidP="005B4B7F">
            <w:pPr>
              <w:snapToGrid w:val="0"/>
              <w:ind w:right="936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161792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161792">
              <w:rPr>
                <w:rFonts w:ascii="微軟正黑體" w:eastAsia="微軟正黑體" w:hAnsi="微軟正黑體" w:hint="eastAsia"/>
                <w:sz w:val="20"/>
              </w:rPr>
              <w:t>單位：</w:t>
            </w:r>
            <w:r w:rsidRPr="00161792">
              <w:rPr>
                <w:rFonts w:ascii="微軟正黑體" w:eastAsia="微軟正黑體" w:hAnsi="微軟正黑體"/>
                <w:sz w:val="20"/>
              </w:rPr>
              <w:t>百萬美元</w:t>
            </w:r>
            <w:r w:rsidRPr="00161792">
              <w:rPr>
                <w:rFonts w:ascii="微軟正黑體" w:eastAsia="微軟正黑體" w:hAnsi="微軟正黑體" w:hint="eastAsia"/>
                <w:sz w:val="20"/>
              </w:rPr>
              <w:t>；</w:t>
            </w:r>
            <w:r w:rsidRPr="00161792">
              <w:rPr>
                <w:rFonts w:ascii="微軟正黑體" w:eastAsia="微軟正黑體" w:hAnsi="微軟正黑體"/>
                <w:sz w:val="20"/>
              </w:rPr>
              <w:t>%</w:t>
            </w:r>
          </w:p>
          <w:tbl>
            <w:tblPr>
              <w:tblW w:w="7486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434"/>
              <w:gridCol w:w="1440"/>
              <w:gridCol w:w="1440"/>
              <w:gridCol w:w="1328"/>
              <w:gridCol w:w="44"/>
            </w:tblGrid>
            <w:tr w:rsidR="005B4B7F" w:rsidRPr="00161792" w:rsidTr="005B4B7F">
              <w:trPr>
                <w:gridAfter w:val="1"/>
                <w:wAfter w:w="44" w:type="dxa"/>
                <w:trHeight w:hRule="exact" w:val="396"/>
                <w:jc w:val="center"/>
              </w:trPr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spacing w:line="32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br w:type="page"/>
                  </w: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期間</w:t>
                  </w:r>
                </w:p>
              </w:tc>
              <w:tc>
                <w:tcPr>
                  <w:tcW w:w="2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協議投資</w:t>
                  </w:r>
                </w:p>
              </w:tc>
              <w:tc>
                <w:tcPr>
                  <w:tcW w:w="27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直接投資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hRule="exact" w:val="396"/>
                <w:jc w:val="center"/>
              </w:trPr>
              <w:tc>
                <w:tcPr>
                  <w:tcW w:w="180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金額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成長率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金額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成長率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12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1979-198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9</w:t>
                  </w: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3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5</w:t>
                  </w: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7</w:t>
                  </w: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5</w:t>
                  </w: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789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─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1990年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6,596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17.8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3,487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2.8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1991年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11,977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81.6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4,366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25.2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1992年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58,124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385.3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11,007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152.1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1993年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111,436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91.7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27,515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150.0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1994年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82,680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-25.8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33,767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22.7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1995年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91,282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10.4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37,521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11.1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1996年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73,276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-19.7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41,726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11.2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1997年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51,004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-30.4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45,257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8.5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1998年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52,102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2.2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45,463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0.5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1999年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41,223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-20.9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40,319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-11.3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2000年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62,380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51.3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40,715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1.0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2001年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69,195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10.9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46,878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15.1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2002年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82,768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19.6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52,743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12.5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2003年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115,070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39.0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53,505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1.4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2004年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153,479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33.4 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60,630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13.3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2005年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189,065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23.2 </w:t>
                  </w:r>
                </w:p>
              </w:tc>
              <w:tc>
                <w:tcPr>
                  <w:tcW w:w="1440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72,406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19.4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2006年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200,17</w:t>
                  </w:r>
                  <w:r w:rsidRPr="00161792">
                    <w:rPr>
                      <w:rFonts w:ascii="微軟正黑體" w:eastAsia="微軟正黑體" w:hAnsi="微軟正黑體" w:hint="eastAsia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>5.9</w:t>
                  </w:r>
                </w:p>
              </w:tc>
              <w:tc>
                <w:tcPr>
                  <w:tcW w:w="1440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69,468 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 w:cs="新細明體"/>
                    </w:rPr>
                  </w:pPr>
                  <w:r w:rsidRPr="00161792">
                    <w:rPr>
                      <w:rFonts w:ascii="微軟正黑體" w:eastAsia="微軟正黑體" w:hAnsi="微軟正黑體"/>
                    </w:rPr>
                    <w:t xml:space="preserve">-4.1 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</w:rPr>
                    <w:t>2007年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74,767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</w:rPr>
                    <w:t>13.6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2008年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92,395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23.5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2009年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90,033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-2.6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2010年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105,735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17.4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2011年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116,011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9.7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2012年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ind w:right="120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111,716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-3.7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2013年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117,586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5.3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2014年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119,561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1.6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 xml:space="preserve">     第1季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31,54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8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5.5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 xml:space="preserve">     第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</w:t>
                  </w: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季</w:t>
                  </w:r>
                </w:p>
              </w:tc>
              <w:tc>
                <w:tcPr>
                  <w:tcW w:w="1434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161792">
                    <w:rPr>
                      <w:rFonts w:ascii="微軟正黑體" w:eastAsia="微軟正黑體" w:hAnsi="微軟正黑體" w:hint="eastAsia"/>
                      <w:kern w:val="0"/>
                    </w:rPr>
                    <w:t>31,</w:t>
                  </w: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778</w:t>
                  </w:r>
                </w:p>
              </w:tc>
              <w:tc>
                <w:tcPr>
                  <w:tcW w:w="1328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-0.9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 xml:space="preserve">     第3季</w:t>
                  </w:r>
                </w:p>
              </w:tc>
              <w:tc>
                <w:tcPr>
                  <w:tcW w:w="1434" w:type="dxa"/>
                  <w:tcBorders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FFFFFF" w:themeColor="background1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FFFFFF" w:themeColor="background1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24,028</w:t>
                  </w:r>
                </w:p>
              </w:tc>
              <w:tc>
                <w:tcPr>
                  <w:tcW w:w="1328" w:type="dxa"/>
                  <w:tcBorders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-9.7</w:t>
                  </w:r>
                </w:p>
              </w:tc>
            </w:tr>
            <w:tr w:rsidR="005B4B7F" w:rsidRPr="00161792" w:rsidTr="005B4B7F">
              <w:trPr>
                <w:gridAfter w:val="1"/>
                <w:wAfter w:w="44" w:type="dxa"/>
                <w:trHeight w:val="360"/>
                <w:jc w:val="center"/>
              </w:trPr>
              <w:tc>
                <w:tcPr>
                  <w:tcW w:w="1800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Default="005B4B7F" w:rsidP="005B4B7F">
                  <w:pPr>
                    <w:widowControl/>
                    <w:spacing w:before="60" w:line="320" w:lineRule="exact"/>
                    <w:jc w:val="center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 xml:space="preserve">     第4季</w:t>
                  </w:r>
                </w:p>
              </w:tc>
              <w:tc>
                <w:tcPr>
                  <w:tcW w:w="1434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B4B7F" w:rsidRPr="00161792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FFFFFF" w:themeColor="background1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32,207</w:t>
                  </w:r>
                </w:p>
              </w:tc>
              <w:tc>
                <w:tcPr>
                  <w:tcW w:w="1328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4B7F" w:rsidRDefault="005B4B7F" w:rsidP="005B4B7F">
                  <w:pPr>
                    <w:widowControl/>
                    <w:spacing w:before="60" w:line="320" w:lineRule="exact"/>
                    <w:jc w:val="right"/>
                    <w:rPr>
                      <w:rFonts w:ascii="微軟正黑體" w:eastAsia="微軟正黑體" w:hAnsi="微軟正黑體"/>
                      <w:kern w:val="0"/>
                    </w:rPr>
                  </w:pPr>
                  <w:r>
                    <w:rPr>
                      <w:rFonts w:ascii="微軟正黑體" w:eastAsia="微軟正黑體" w:hAnsi="微軟正黑體" w:hint="eastAsia"/>
                      <w:kern w:val="0"/>
                    </w:rPr>
                    <w:t>11.1</w:t>
                  </w:r>
                </w:p>
              </w:tc>
            </w:tr>
            <w:tr w:rsidR="005B4B7F" w:rsidRPr="00161792" w:rsidTr="005B4B7F">
              <w:trPr>
                <w:trHeight w:val="169"/>
                <w:jc w:val="center"/>
              </w:trPr>
              <w:tc>
                <w:tcPr>
                  <w:tcW w:w="74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B4B7F" w:rsidRPr="00161792" w:rsidRDefault="005B4B7F" w:rsidP="005B4B7F">
                  <w:pPr>
                    <w:widowControl/>
                    <w:spacing w:line="240" w:lineRule="exact"/>
                    <w:jc w:val="both"/>
                    <w:rPr>
                      <w:rFonts w:ascii="微軟正黑體" w:eastAsia="微軟正黑體" w:hAnsi="微軟正黑體"/>
                      <w:kern w:val="0"/>
                      <w:sz w:val="20"/>
                    </w:rPr>
                  </w:pPr>
                  <w:proofErr w:type="gramStart"/>
                  <w:r w:rsidRPr="00161792">
                    <w:rPr>
                      <w:rFonts w:ascii="微軟正黑體" w:eastAsia="微軟正黑體" w:hAnsi="微軟正黑體" w:hint="eastAsia"/>
                      <w:kern w:val="0"/>
                      <w:sz w:val="20"/>
                    </w:rPr>
                    <w:t>註</w:t>
                  </w:r>
                  <w:proofErr w:type="gramEnd"/>
                  <w:r w:rsidRPr="00161792">
                    <w:rPr>
                      <w:rFonts w:ascii="微軟正黑體" w:eastAsia="微軟正黑體" w:hAnsi="微軟正黑體" w:hint="eastAsia"/>
                      <w:kern w:val="0"/>
                      <w:sz w:val="20"/>
                    </w:rPr>
                    <w:t>：數據未包括銀行、保險、證券領域吸收外商投資數據。</w:t>
                  </w:r>
                </w:p>
                <w:p w:rsidR="005B4B7F" w:rsidRPr="00161792" w:rsidRDefault="005B4B7F" w:rsidP="005B4B7F">
                  <w:pPr>
                    <w:widowControl/>
                    <w:spacing w:line="240" w:lineRule="exact"/>
                    <w:jc w:val="both"/>
                    <w:rPr>
                      <w:rFonts w:ascii="微軟正黑體" w:eastAsia="微軟正黑體" w:hAnsi="微軟正黑體"/>
                      <w:kern w:val="0"/>
                      <w:sz w:val="20"/>
                      <w:szCs w:val="20"/>
                    </w:rPr>
                  </w:pPr>
                  <w:r w:rsidRPr="00161792">
                    <w:rPr>
                      <w:rFonts w:ascii="微軟正黑體" w:eastAsia="微軟正黑體" w:hAnsi="微軟正黑體"/>
                      <w:kern w:val="0"/>
                      <w:sz w:val="20"/>
                    </w:rPr>
                    <w:t>資料來源：</w:t>
                  </w:r>
                  <w:r w:rsidRPr="00161792">
                    <w:rPr>
                      <w:rFonts w:ascii="微軟正黑體" w:eastAsia="微軟正黑體" w:hAnsi="微軟正黑體"/>
                      <w:sz w:val="20"/>
                    </w:rPr>
                    <w:t>中國大陸商務部</w:t>
                  </w:r>
                  <w:r w:rsidRPr="00161792">
                    <w:rPr>
                      <w:rFonts w:ascii="微軟正黑體" w:eastAsia="微軟正黑體" w:hAnsi="微軟正黑體" w:hint="eastAsia"/>
                      <w:sz w:val="20"/>
                    </w:rPr>
                    <w:t>、</w:t>
                  </w:r>
                  <w:r w:rsidRPr="00161792">
                    <w:rPr>
                      <w:rFonts w:ascii="微軟正黑體" w:eastAsia="微軟正黑體" w:hAnsi="微軟正黑體"/>
                      <w:sz w:val="20"/>
                    </w:rPr>
                    <w:t>CEIC</w:t>
                  </w:r>
                  <w:r w:rsidRPr="00161792">
                    <w:rPr>
                      <w:rFonts w:ascii="微軟正黑體" w:eastAsia="微軟正黑體" w:hAnsi="微軟正黑體" w:hint="eastAsia"/>
                      <w:sz w:val="20"/>
                    </w:rPr>
                    <w:t>資料庫</w:t>
                  </w:r>
                  <w:r w:rsidRPr="00161792">
                    <w:rPr>
                      <w:rFonts w:ascii="微軟正黑體" w:eastAsia="微軟正黑體" w:hAnsi="微軟正黑體"/>
                      <w:sz w:val="20"/>
                    </w:rPr>
                    <w:t>。</w:t>
                  </w:r>
                </w:p>
              </w:tc>
            </w:tr>
          </w:tbl>
          <w:p w:rsidR="005B4B7F" w:rsidRPr="00161792" w:rsidRDefault="005B4B7F" w:rsidP="005B4B7F">
            <w:pPr>
              <w:widowControl/>
              <w:spacing w:line="260" w:lineRule="atLeast"/>
              <w:jc w:val="center"/>
              <w:rPr>
                <w:rFonts w:ascii="微軟正黑體" w:eastAsia="微軟正黑體" w:hAnsi="微軟正黑體"/>
                <w:b/>
                <w:kern w:val="0"/>
                <w:sz w:val="32"/>
                <w:szCs w:val="32"/>
              </w:rPr>
            </w:pPr>
          </w:p>
        </w:tc>
      </w:tr>
    </w:tbl>
    <w:p w:rsidR="005B4B7F" w:rsidRPr="00A15B62" w:rsidRDefault="005B4B7F" w:rsidP="005B4B7F">
      <w:pPr>
        <w:widowControl/>
        <w:spacing w:beforeLines="50" w:before="180" w:line="480" w:lineRule="exact"/>
        <w:ind w:leftChars="827" w:left="1985" w:firstLineChars="200" w:firstLine="560"/>
        <w:rPr>
          <w:rFonts w:ascii="微軟正黑體" w:eastAsia="微軟正黑體" w:hAnsi="微軟正黑體"/>
          <w:b/>
          <w:kern w:val="0"/>
          <w:sz w:val="28"/>
          <w:szCs w:val="32"/>
        </w:rPr>
      </w:pPr>
      <w:r w:rsidRPr="005B4B7F">
        <w:rPr>
          <w:rFonts w:ascii="微軟正黑體" w:eastAsia="微軟正黑體" w:hAnsi="微軟正黑體" w:hint="eastAsia"/>
          <w:b/>
          <w:kern w:val="0"/>
          <w:sz w:val="28"/>
          <w:szCs w:val="32"/>
        </w:rPr>
        <w:lastRenderedPageBreak/>
        <w:t>附</w:t>
      </w:r>
      <w:r w:rsidRPr="005B4B7F">
        <w:rPr>
          <w:rFonts w:ascii="微軟正黑體" w:eastAsia="微軟正黑體" w:hAnsi="微軟正黑體"/>
          <w:b/>
          <w:kern w:val="0"/>
          <w:sz w:val="28"/>
          <w:szCs w:val="32"/>
        </w:rPr>
        <w:t>表</w:t>
      </w:r>
      <w:r w:rsidRPr="005B4B7F">
        <w:rPr>
          <w:rFonts w:ascii="微軟正黑體" w:eastAsia="微軟正黑體" w:hAnsi="微軟正黑體" w:hint="eastAsia"/>
          <w:b/>
          <w:kern w:val="0"/>
          <w:sz w:val="28"/>
          <w:szCs w:val="32"/>
        </w:rPr>
        <w:t>4</w:t>
      </w:r>
      <w:r>
        <w:rPr>
          <w:rFonts w:ascii="微軟正黑體" w:eastAsia="微軟正黑體" w:hAnsi="微軟正黑體" w:hint="eastAsia"/>
          <w:b/>
          <w:kern w:val="0"/>
          <w:sz w:val="28"/>
          <w:szCs w:val="32"/>
        </w:rPr>
        <w:t xml:space="preserve">  </w:t>
      </w:r>
      <w:r w:rsidRPr="005B4B7F">
        <w:rPr>
          <w:rFonts w:ascii="微軟正黑體" w:eastAsia="微軟正黑體" w:hAnsi="微軟正黑體"/>
          <w:b/>
          <w:kern w:val="0"/>
          <w:sz w:val="28"/>
          <w:szCs w:val="32"/>
        </w:rPr>
        <w:t>香港重要經濟指標</w:t>
      </w:r>
    </w:p>
    <w:tbl>
      <w:tblPr>
        <w:tblW w:w="9154" w:type="dxa"/>
        <w:jc w:val="center"/>
        <w:tblInd w:w="-5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961"/>
        <w:gridCol w:w="862"/>
        <w:gridCol w:w="1154"/>
        <w:gridCol w:w="1190"/>
        <w:gridCol w:w="896"/>
        <w:gridCol w:w="995"/>
        <w:gridCol w:w="802"/>
        <w:gridCol w:w="1078"/>
      </w:tblGrid>
      <w:tr w:rsidR="005B4B7F" w:rsidRPr="005E4692" w:rsidTr="005B4B7F">
        <w:trPr>
          <w:trHeight w:val="310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季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經濟成長率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%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失業率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%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消費者物價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年增率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%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出　　口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進　　口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出超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或入超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億美元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</w:tr>
      <w:tr w:rsidR="005B4B7F" w:rsidRPr="005E4692" w:rsidTr="005B4B7F">
        <w:trPr>
          <w:trHeight w:val="564"/>
          <w:jc w:val="center"/>
        </w:trPr>
        <w:tc>
          <w:tcPr>
            <w:tcW w:w="121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億美元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896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率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%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金額</w:t>
            </w:r>
          </w:p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億美元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年增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率  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（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%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）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2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5B4B7F" w:rsidRPr="005E4692" w:rsidTr="005B4B7F">
        <w:trPr>
          <w:jc w:val="center"/>
        </w:trPr>
        <w:tc>
          <w:tcPr>
            <w:tcW w:w="1216" w:type="dxa"/>
            <w:tcBorders>
              <w:top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2000年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862" w:type="dxa"/>
            <w:tcBorders>
              <w:top w:val="single" w:sz="6" w:space="0" w:color="auto"/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-3.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2,026.8 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16.2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2,140.4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18.4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-113.6 </w:t>
            </w:r>
          </w:p>
        </w:tc>
      </w:tr>
      <w:tr w:rsidR="005B4B7F" w:rsidRPr="005E4692" w:rsidTr="005B4B7F">
        <w:trPr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2001年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862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-1.6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1,910.7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-5.7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2,020.1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-5.6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-109.4 </w:t>
            </w:r>
          </w:p>
        </w:tc>
      </w:tr>
      <w:tr w:rsidR="005B4B7F" w:rsidRPr="005E4692" w:rsidTr="005B4B7F">
        <w:trPr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2002年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862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7.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-3.0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2,019.3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5.7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2,079.7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3.0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-60.4 </w:t>
            </w:r>
          </w:p>
        </w:tc>
      </w:tr>
      <w:tr w:rsidR="005B4B7F" w:rsidRPr="005E4692" w:rsidTr="005B4B7F">
        <w:trPr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2003年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862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7.9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-2.6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2,287.1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13.3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2,332.5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12.2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-45.4 </w:t>
            </w:r>
          </w:p>
        </w:tc>
      </w:tr>
      <w:tr w:rsidR="005B4B7F" w:rsidRPr="005E4692" w:rsidTr="005B4B7F">
        <w:trPr>
          <w:trHeight w:val="83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2004年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862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-0.4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2,655.4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16.1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2,728.9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17.0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-73.5 </w:t>
            </w:r>
          </w:p>
        </w:tc>
      </w:tr>
      <w:tr w:rsidR="005B4B7F" w:rsidRPr="005E4692" w:rsidTr="005B4B7F">
        <w:trPr>
          <w:trHeight w:val="83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2005年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862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1.0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2,921.2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10.0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3,001.6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10.0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-80.4 </w:t>
            </w:r>
          </w:p>
        </w:tc>
      </w:tr>
      <w:tr w:rsidR="005B4B7F" w:rsidRPr="005E4692" w:rsidTr="005B4B7F">
        <w:trPr>
          <w:trHeight w:val="83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2006年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7.0</w:t>
            </w:r>
          </w:p>
        </w:tc>
        <w:tc>
          <w:tcPr>
            <w:tcW w:w="862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4.8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2.0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3,226.7 </w:t>
            </w:r>
          </w:p>
        </w:tc>
        <w:tc>
          <w:tcPr>
            <w:tcW w:w="896" w:type="dxa"/>
            <w:tcBorders>
              <w:left w:val="nil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3,357.5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11.9</w:t>
            </w:r>
          </w:p>
        </w:tc>
        <w:tc>
          <w:tcPr>
            <w:tcW w:w="1078" w:type="dxa"/>
            <w:tcBorders>
              <w:left w:val="nil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-130.9 </w:t>
            </w:r>
          </w:p>
        </w:tc>
      </w:tr>
      <w:tr w:rsidR="005B4B7F" w:rsidRPr="005E4692" w:rsidTr="005B4B7F">
        <w:trPr>
          <w:trHeight w:val="295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2007年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862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4.0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2.0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3,493.9 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3,701.3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10.2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-207.5 </w:t>
            </w:r>
          </w:p>
        </w:tc>
      </w:tr>
      <w:tr w:rsidR="005B4B7F" w:rsidRPr="005E4692" w:rsidTr="005B4B7F">
        <w:trPr>
          <w:trHeight w:val="298"/>
          <w:jc w:val="center"/>
        </w:trPr>
        <w:tc>
          <w:tcPr>
            <w:tcW w:w="1216" w:type="dxa"/>
            <w:tcBorders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2008年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3,702.4 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6.0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3,929.6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-227.2 </w:t>
            </w:r>
          </w:p>
        </w:tc>
      </w:tr>
      <w:tr w:rsidR="005B4B7F" w:rsidRPr="005E4692" w:rsidTr="005B4B7F">
        <w:trPr>
          <w:trHeight w:val="298"/>
          <w:jc w:val="center"/>
        </w:trPr>
        <w:tc>
          <w:tcPr>
            <w:tcW w:w="1216" w:type="dxa"/>
            <w:tcBorders>
              <w:right w:val="single" w:sz="6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2009年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-2.5</w:t>
            </w: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3,294.2 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-11.0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3,522.4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-10.4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-228.2 </w:t>
            </w:r>
          </w:p>
        </w:tc>
      </w:tr>
      <w:tr w:rsidR="005B4B7F" w:rsidRPr="005E4692" w:rsidTr="005B4B7F">
        <w:trPr>
          <w:trHeight w:val="424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2010年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6.8</w:t>
            </w: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4,006.9 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21.6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4,413.7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25.3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-406.8 </w:t>
            </w:r>
          </w:p>
        </w:tc>
      </w:tr>
      <w:tr w:rsidR="005B4B7F" w:rsidRPr="005E4692" w:rsidTr="005B4B7F">
        <w:trPr>
          <w:trHeight w:val="424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2011年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4.9</w:t>
            </w: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5.3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4,555.7 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13.7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5,108.5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15.7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-552.8 </w:t>
            </w:r>
          </w:p>
        </w:tc>
      </w:tr>
      <w:tr w:rsidR="005B4B7F" w:rsidRPr="005E4692" w:rsidTr="005B4B7F">
        <w:trPr>
          <w:trHeight w:val="424"/>
          <w:jc w:val="center"/>
        </w:trPr>
        <w:tc>
          <w:tcPr>
            <w:tcW w:w="1216" w:type="dxa"/>
            <w:tcBorders>
              <w:righ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2012年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862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4.1</w:t>
            </w:r>
          </w:p>
        </w:tc>
        <w:tc>
          <w:tcPr>
            <w:tcW w:w="119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4,933.7 </w:t>
            </w:r>
          </w:p>
        </w:tc>
        <w:tc>
          <w:tcPr>
            <w:tcW w:w="896" w:type="dxa"/>
            <w:tcBorders>
              <w:left w:val="nil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5,542.2 </w:t>
            </w: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auto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-608.6 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leftChars="-2" w:left="-1" w:rightChars="50" w:right="120" w:hangingChars="2" w:hanging="4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 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2013年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2,560.9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2,956.2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13.2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-395.3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第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</w:t>
            </w: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1F4041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  <w:r w:rsidRPr="000B5EAC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3.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123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15.3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320</w:t>
            </w: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16.1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5E469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-161.3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第2季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1,197.5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6.6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1,418.0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-234.0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第3季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1,382.5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1,639.3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14.1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-256.8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第4季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1,308.6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-1.9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1,486.4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-0.4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-177.8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leftChars="91" w:left="218"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2014年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2.3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402ABA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color w:val="FF0000"/>
                <w:kern w:val="0"/>
                <w:sz w:val="20"/>
                <w:szCs w:val="20"/>
              </w:rPr>
            </w:pPr>
            <w:r w:rsidRPr="0053644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4,735.9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5,440.4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-704.4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第1季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1,053.3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1,213.1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-159.8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第2季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2B6D93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2B6D9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2B6D93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2B6D9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1,161.4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2B6D93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2B6D9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2B6D93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2B6D9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1,340.9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2B6D93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2B6D9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2B6D93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2B6D93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-179.6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第3季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2.7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402ABA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402ABA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4.8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1,270.1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1,428.7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5.7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B7F" w:rsidRPr="00402ABA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402ABA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-158.6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5B4B7F" w:rsidRPr="005E4692" w:rsidRDefault="005B4B7F" w:rsidP="005B4B7F">
            <w:pPr>
              <w:widowControl/>
              <w:spacing w:line="400" w:lineRule="exact"/>
              <w:ind w:rightChars="50" w:right="120" w:firstLineChars="50" w:firstLine="10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第4季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2.2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E166E9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E166E9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402ABA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b/>
                <w:color w:val="FF0000"/>
                <w:kern w:val="0"/>
                <w:sz w:val="20"/>
                <w:szCs w:val="20"/>
              </w:rPr>
            </w:pPr>
            <w:r w:rsidRPr="00536449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</w:rPr>
              <w:t>5.1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1,251.2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1,457.7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24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B7F" w:rsidRPr="007F5EF2" w:rsidRDefault="005B4B7F" w:rsidP="005B4B7F">
            <w:pPr>
              <w:widowControl/>
              <w:spacing w:line="400" w:lineRule="exact"/>
              <w:ind w:rightChars="50" w:right="120"/>
              <w:jc w:val="righ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7F5EF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-206.5</w:t>
            </w:r>
          </w:p>
        </w:tc>
      </w:tr>
      <w:tr w:rsidR="005B4B7F" w:rsidRPr="005E4692" w:rsidTr="005B4B7F">
        <w:trPr>
          <w:trHeight w:val="360"/>
          <w:jc w:val="center"/>
        </w:trPr>
        <w:tc>
          <w:tcPr>
            <w:tcW w:w="9154" w:type="dxa"/>
            <w:gridSpan w:val="9"/>
            <w:tcBorders>
              <w:top w:val="single" w:sz="4" w:space="0" w:color="auto"/>
            </w:tcBorders>
          </w:tcPr>
          <w:p w:rsidR="005B4B7F" w:rsidRDefault="005B4B7F" w:rsidP="005B4B7F">
            <w:pPr>
              <w:widowControl/>
              <w:spacing w:line="280" w:lineRule="exact"/>
              <w:ind w:leftChars="60" w:left="677" w:rightChars="-211" w:right="-506" w:hanging="533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proofErr w:type="gramStart"/>
            <w:r w:rsidRPr="00A15B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註</w:t>
            </w:r>
            <w:proofErr w:type="gramEnd"/>
            <w:r w:rsidRPr="00A15B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</w:t>
            </w:r>
            <w:r w:rsidRPr="00C052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有關港幣兌美元匯率，以我國中央銀行網站「我國與十六</w:t>
            </w:r>
            <w:proofErr w:type="gramStart"/>
            <w:r w:rsidRPr="00C052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個</w:t>
            </w:r>
            <w:proofErr w:type="gramEnd"/>
            <w:r w:rsidRPr="00C05299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主要貿易對手通貨對美元之匯率」中各年度匯率計算，季資料以3、6、9、12月份匯率計算。</w:t>
            </w:r>
          </w:p>
          <w:p w:rsidR="005B4B7F" w:rsidRPr="00A15B62" w:rsidRDefault="005B4B7F" w:rsidP="005B4B7F">
            <w:pPr>
              <w:widowControl/>
              <w:spacing w:line="280" w:lineRule="exact"/>
              <w:ind w:leftChars="21" w:left="50" w:rightChars="-211" w:right="-506" w:firstLine="485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2.</w:t>
            </w:r>
            <w:r w:rsidRPr="00A15B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年</w:t>
            </w:r>
            <w:proofErr w:type="gramStart"/>
            <w:r w:rsidRPr="00A15B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增率係指</w:t>
            </w:r>
            <w:proofErr w:type="gramEnd"/>
            <w:r w:rsidRPr="00A15B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較上年或上年同期增減比率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。</w:t>
            </w:r>
          </w:p>
          <w:p w:rsidR="005B4B7F" w:rsidRDefault="005B4B7F" w:rsidP="005B4B7F">
            <w:pPr>
              <w:widowControl/>
              <w:spacing w:line="280" w:lineRule="exact"/>
              <w:ind w:leftChars="21" w:left="50" w:rightChars="-211" w:right="-506" w:firstLine="59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A15B62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資料來源：香港政府統計處、WTO網站。</w:t>
            </w:r>
          </w:p>
        </w:tc>
      </w:tr>
    </w:tbl>
    <w:p w:rsidR="005B4B7F" w:rsidRPr="009D2538" w:rsidRDefault="005B4B7F" w:rsidP="005B4B7F">
      <w:pPr>
        <w:widowControl/>
        <w:rPr>
          <w:rFonts w:ascii="文鼎中圓" w:eastAsia="文鼎中圓" w:hAnsi="標楷體"/>
          <w:kern w:val="0"/>
          <w:sz w:val="20"/>
          <w:szCs w:val="20"/>
        </w:rPr>
      </w:pPr>
    </w:p>
    <w:p w:rsidR="00CD5969" w:rsidRDefault="00CD5969">
      <w:pPr>
        <w:widowControl/>
        <w:rPr>
          <w:rFonts w:ascii="文鼎中圓" w:eastAsia="文鼎中圓" w:hAnsi="標楷體"/>
          <w:kern w:val="0"/>
          <w:sz w:val="20"/>
          <w:szCs w:val="20"/>
        </w:rPr>
        <w:sectPr w:rsidR="00CD5969" w:rsidSect="00A64728">
          <w:footerReference w:type="even" r:id="rId31"/>
          <w:footerReference w:type="default" r:id="rId3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37CE6" w:rsidRPr="00A9203A" w:rsidRDefault="00337CE6" w:rsidP="00337CE6">
      <w:pPr>
        <w:pStyle w:val="11"/>
        <w:rPr>
          <w:rFonts w:ascii="微軟正黑體" w:eastAsia="微軟正黑體" w:hAnsi="微軟正黑體"/>
          <w:b w:val="0"/>
          <w:color w:val="000000" w:themeColor="text1"/>
          <w:sz w:val="36"/>
          <w:szCs w:val="36"/>
        </w:rPr>
      </w:pPr>
      <w:bookmarkStart w:id="13" w:name="_Toc413072674"/>
      <w:r w:rsidRPr="00A9203A">
        <w:rPr>
          <w:rFonts w:ascii="微軟正黑體" w:eastAsia="微軟正黑體" w:hAnsi="微軟正黑體"/>
          <w:color w:val="000000" w:themeColor="text1"/>
          <w:sz w:val="36"/>
          <w:szCs w:val="36"/>
        </w:rPr>
        <w:lastRenderedPageBreak/>
        <w:t>【附錄】專題分析</w:t>
      </w:r>
      <w:bookmarkEnd w:id="13"/>
    </w:p>
    <w:p w:rsidR="00337CE6" w:rsidRPr="00337CE6" w:rsidRDefault="00337CE6" w:rsidP="00337CE6">
      <w:pPr>
        <w:pStyle w:val="Web"/>
        <w:adjustRightInd w:val="0"/>
        <w:snapToGrid w:val="0"/>
        <w:spacing w:line="240" w:lineRule="atLeast"/>
        <w:jc w:val="center"/>
        <w:outlineLvl w:val="1"/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</w:pPr>
      <w:bookmarkStart w:id="14" w:name="_Toc413072675"/>
      <w:r w:rsidRPr="00337CE6">
        <w:rPr>
          <w:rFonts w:hint="eastAsia"/>
          <w:b/>
          <w:bCs/>
          <w:color w:val="000000" w:themeColor="text1"/>
          <w:sz w:val="32"/>
          <w:szCs w:val="32"/>
        </w:rPr>
        <w:t>◎</w:t>
      </w:r>
      <w:r w:rsidRPr="00337CE6">
        <w:rPr>
          <w:rFonts w:ascii="微軟正黑體" w:eastAsia="微軟正黑體" w:hAnsi="微軟正黑體" w:hint="eastAsia"/>
          <w:b/>
          <w:sz w:val="32"/>
          <w:szCs w:val="32"/>
        </w:rPr>
        <w:t>中國大陸推動「國家新型城鎮化規劃」重點</w:t>
      </w:r>
      <w:proofErr w:type="gramStart"/>
      <w:r w:rsidRPr="00337CE6">
        <w:rPr>
          <w:rFonts w:ascii="微軟正黑體" w:eastAsia="微軟正黑體" w:hAnsi="微軟正黑體" w:hint="eastAsia"/>
          <w:b/>
          <w:sz w:val="32"/>
          <w:szCs w:val="32"/>
        </w:rPr>
        <w:t>研</w:t>
      </w:r>
      <w:proofErr w:type="gramEnd"/>
      <w:r w:rsidRPr="00337CE6">
        <w:rPr>
          <w:rFonts w:ascii="微軟正黑體" w:eastAsia="微軟正黑體" w:hAnsi="微軟正黑體" w:hint="eastAsia"/>
          <w:b/>
          <w:sz w:val="32"/>
          <w:szCs w:val="32"/>
        </w:rPr>
        <w:t>析</w:t>
      </w:r>
      <w:bookmarkEnd w:id="14"/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color w:val="FF000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自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20"/>
        </w:rPr>
        <w:t>1996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年以來，</w:t>
      </w:r>
      <w:r w:rsidR="00A67E0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大陸城鎮化進入加速階段，每年新增城鎮人口約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20"/>
        </w:rPr>
        <w:t>2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千萬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人，2013年城鎮人口超過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20"/>
        </w:rPr>
        <w:t>7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億人，城鎮化率達到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20"/>
        </w:rPr>
        <w:t>5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3.7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20"/>
        </w:rPr>
        <w:t>%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。不過，以往盲目圈地的土地城市化模式，雖有助於</w:t>
      </w:r>
      <w:r w:rsidR="00A67E0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大陸工業化的形成，但卻產生更多收入分配不公、社會不穩定與環境汙染等弊端。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0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2014年3月16日中國大陸國務院頒布「國家新型城鎮化規劃(2014-2020年)」(以下簡稱「規劃」)，作為未來城鎮化健康發展的宏觀及基礎性的規劃。國務院總理李克強表示，城鎮化將是驅動</w:t>
      </w:r>
      <w:r w:rsidR="00A67E0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大陸經濟成長的巨大引擎。因此，本文除摘要說明「規劃」重點外，亦對此提出評析意見。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jc w:val="both"/>
        <w:rPr>
          <w:rFonts w:ascii="微軟正黑體" w:eastAsia="微軟正黑體" w:hAnsi="微軟正黑體"/>
          <w:b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sz w:val="28"/>
          <w:szCs w:val="20"/>
        </w:rPr>
        <w:t>一、「規劃」重點摘要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0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「規劃」中列出有序推動農業轉移人口市民化、優化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城鎮化布局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與型態，及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ab/>
        <w:t>提高城市可持續發展能力等五大推動重點（詳下表）。綜觀「規劃」全文，以及</w:t>
      </w:r>
      <w:r w:rsidR="00A67E0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大陸新領導人上任以來的多次談話中可發現，對於以人為本、城市群、農地流轉、戶籍改革、地方發債等問題，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其實均已透露出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端倪，但仍有以下的內容不同以往，值得關注：</w:t>
      </w:r>
    </w:p>
    <w:p w:rsidR="00CD5969" w:rsidRPr="00CD5969" w:rsidRDefault="00CD5969" w:rsidP="00273851">
      <w:pPr>
        <w:widowControl/>
        <w:numPr>
          <w:ilvl w:val="0"/>
          <w:numId w:val="21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hanging="36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基調較為務實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0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規劃提出，到2020年，常住人口城鎮化率達到60％左右的目標。以2013年城鎮化率53.7%來看，意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謂著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7年間只需把常住人口城鎮化率提高6.3個百分點，因此，年平均不到1個百分點，相較以往每年1.25個百分點，本次「規劃」的基調較謹慎而務實，並體現出習、李政府的執政風格。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jc w:val="center"/>
        <w:rPr>
          <w:rFonts w:ascii="微軟正黑體" w:eastAsia="微軟正黑體" w:hAnsi="微軟正黑體"/>
          <w:b/>
          <w:sz w:val="28"/>
          <w:szCs w:val="20"/>
        </w:rPr>
      </w:pPr>
      <w:r w:rsidRPr="00CD5969">
        <w:rPr>
          <w:rFonts w:ascii="微軟正黑體" w:eastAsia="微軟正黑體" w:hAnsi="微軟正黑體"/>
          <w:b/>
          <w:sz w:val="28"/>
          <w:szCs w:val="20"/>
        </w:rPr>
        <w:br w:type="page"/>
      </w:r>
      <w:r w:rsidRPr="00CD5969">
        <w:rPr>
          <w:rFonts w:ascii="微軟正黑體" w:eastAsia="微軟正黑體" w:hAnsi="微軟正黑體" w:hint="eastAsia"/>
          <w:b/>
          <w:sz w:val="28"/>
          <w:szCs w:val="20"/>
        </w:rPr>
        <w:lastRenderedPageBreak/>
        <w:t>「規劃」重大項目及措施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CD5969" w:rsidRPr="00CD5969" w:rsidTr="00BC1DAD">
        <w:tc>
          <w:tcPr>
            <w:tcW w:w="251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:rsidR="00CD5969" w:rsidRPr="00CD5969" w:rsidRDefault="00CD5969" w:rsidP="00CD5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hint="eastAsia"/>
                <w:sz w:val="28"/>
                <w:szCs w:val="20"/>
              </w:rPr>
              <w:t>項目</w:t>
            </w:r>
          </w:p>
        </w:tc>
        <w:tc>
          <w:tcPr>
            <w:tcW w:w="584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CD5969" w:rsidRPr="00CD5969" w:rsidRDefault="00CD5969" w:rsidP="00CD5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hint="eastAsia"/>
                <w:sz w:val="28"/>
                <w:szCs w:val="20"/>
              </w:rPr>
              <w:t>措施</w:t>
            </w:r>
          </w:p>
        </w:tc>
      </w:tr>
      <w:tr w:rsidR="00CD5969" w:rsidRPr="00CD5969" w:rsidTr="00BC1DAD">
        <w:tc>
          <w:tcPr>
            <w:tcW w:w="2518" w:type="dxa"/>
            <w:tcBorders>
              <w:top w:val="single" w:sz="4" w:space="0" w:color="auto"/>
              <w:lef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農業轉移人口市民化</w:t>
            </w:r>
          </w:p>
        </w:tc>
        <w:tc>
          <w:tcPr>
            <w:tcW w:w="5844" w:type="dxa"/>
            <w:tcBorders>
              <w:top w:val="single" w:sz="4" w:space="0" w:color="auto"/>
              <w:righ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推動符合條件農業轉移人口落戶城鎮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將農民工納入城鎮職工基本醫療保險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擴大住房保障，把進城農民納入城鎮住房保障範圍</w:t>
            </w:r>
          </w:p>
        </w:tc>
      </w:tr>
      <w:tr w:rsidR="00CD5969" w:rsidRPr="00CD5969" w:rsidTr="00BC1DAD">
        <w:tc>
          <w:tcPr>
            <w:tcW w:w="2518" w:type="dxa"/>
            <w:tcBorders>
              <w:lef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優化城鎮化佈局與型態</w:t>
            </w:r>
          </w:p>
        </w:tc>
        <w:tc>
          <w:tcPr>
            <w:tcW w:w="5844" w:type="dxa"/>
            <w:tcBorders>
              <w:righ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京</w:t>
            </w:r>
            <w:proofErr w:type="gramStart"/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津冀、</w:t>
            </w:r>
            <w:proofErr w:type="gramEnd"/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長三角、珠三角城市群，繼續推動制度創新、產業升級、綠色發展；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東部地區其他城市群，壯大先進設備製造業、戰略性新興產業及現代服務業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中西部城市群，承接國際及沿海地區產業轉移，發展特色產業，加快新型工業化</w:t>
            </w:r>
          </w:p>
        </w:tc>
      </w:tr>
      <w:tr w:rsidR="00CD5969" w:rsidRPr="00CD5969" w:rsidTr="00BC1DAD">
        <w:tc>
          <w:tcPr>
            <w:tcW w:w="2518" w:type="dxa"/>
            <w:tcBorders>
              <w:left w:val="nil"/>
              <w:bottom w:val="single" w:sz="4" w:space="0" w:color="auto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提高城市可持續發展能力</w:t>
            </w:r>
          </w:p>
        </w:tc>
        <w:tc>
          <w:tcPr>
            <w:tcW w:w="5844" w:type="dxa"/>
            <w:tcBorders>
              <w:bottom w:val="single" w:sz="4" w:space="0" w:color="auto"/>
              <w:righ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優化城市產業結構，增強創新力，強化城市產業就業支持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優先發展公共交通，加強市政設施建設，完善基本公共服務體系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加快綠色城市建設，推動智慧城市建設等</w:t>
            </w:r>
          </w:p>
        </w:tc>
      </w:tr>
      <w:tr w:rsidR="00CD5969" w:rsidRPr="00CD5969" w:rsidTr="00BC1DAD">
        <w:tc>
          <w:tcPr>
            <w:tcW w:w="2518" w:type="dxa"/>
            <w:tcBorders>
              <w:lef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推動城鄉發展一體化</w:t>
            </w:r>
          </w:p>
        </w:tc>
        <w:tc>
          <w:tcPr>
            <w:tcW w:w="5844" w:type="dxa"/>
            <w:tcBorders>
              <w:righ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推動城鄉勞動者同工同酬與公共資源均衡配置，加快消除城鄉二元結構體制障礙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加快轉變農業發展方式，提高農業生產力、市場競爭力及完善農產品流通體系</w:t>
            </w:r>
          </w:p>
        </w:tc>
      </w:tr>
      <w:tr w:rsidR="00CD5969" w:rsidRPr="00CD5969" w:rsidTr="00BC1DAD">
        <w:tc>
          <w:tcPr>
            <w:tcW w:w="2518" w:type="dxa"/>
            <w:tcBorders>
              <w:left w:val="nil"/>
              <w:bottom w:val="single" w:sz="12" w:space="0" w:color="auto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改革完善城鎮化發展體制</w:t>
            </w:r>
          </w:p>
        </w:tc>
        <w:tc>
          <w:tcPr>
            <w:tcW w:w="5844" w:type="dxa"/>
            <w:tcBorders>
              <w:bottom w:val="single" w:sz="12" w:space="0" w:color="auto"/>
              <w:right w:val="nil"/>
            </w:tcBorders>
          </w:tcPr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推動流動人口居住證制度，作為申請常住戶口之重要依據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有效控制特大城市新增建設用地規模，適度增加衛星城、中小城市建設用地供給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推進農村土地管理制度改革，賦予農民對承包地佔有、使用、流轉及經營權抵押等</w:t>
            </w:r>
          </w:p>
          <w:p w:rsidR="00CD5969" w:rsidRPr="00CD5969" w:rsidRDefault="00CD5969" w:rsidP="00273851">
            <w:pPr>
              <w:pStyle w:val="af9"/>
              <w:numPr>
                <w:ilvl w:val="0"/>
                <w:numId w:val="14"/>
              </w:numPr>
              <w:snapToGrid w:val="0"/>
              <w:spacing w:line="420" w:lineRule="exact"/>
              <w:ind w:leftChars="0" w:left="482" w:hanging="482"/>
              <w:jc w:val="both"/>
              <w:rPr>
                <w:rFonts w:ascii="微軟正黑體" w:eastAsia="微軟正黑體" w:hAnsi="微軟正黑體" w:cs="Times New Roman"/>
                <w:sz w:val="28"/>
                <w:szCs w:val="20"/>
              </w:rPr>
            </w:pPr>
            <w:r w:rsidRPr="00CD5969">
              <w:rPr>
                <w:rFonts w:ascii="微軟正黑體" w:eastAsia="微軟正黑體" w:hAnsi="微軟正黑體" w:cs="Times New Roman" w:hint="eastAsia"/>
                <w:sz w:val="28"/>
                <w:szCs w:val="20"/>
              </w:rPr>
              <w:t>提供保障性住房，大力發展二手房市場和住房租賃市場</w:t>
            </w:r>
          </w:p>
        </w:tc>
      </w:tr>
    </w:tbl>
    <w:p w:rsidR="00CD5969" w:rsidRDefault="00CD5969" w:rsidP="003C11D5">
      <w:p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6216"/>
        </w:tabs>
        <w:overflowPunct w:val="0"/>
        <w:autoSpaceDE w:val="0"/>
        <w:autoSpaceDN w:val="0"/>
        <w:adjustRightInd w:val="0"/>
        <w:spacing w:line="360" w:lineRule="auto"/>
        <w:ind w:leftChars="51" w:left="424" w:hangingChars="151" w:hanging="302"/>
        <w:jc w:val="both"/>
        <w:textAlignment w:val="center"/>
        <w:rPr>
          <w:rFonts w:ascii="微軟正黑體" w:eastAsia="微軟正黑體" w:hAnsi="微軟正黑體"/>
          <w:sz w:val="20"/>
          <w:szCs w:val="20"/>
        </w:rPr>
      </w:pPr>
      <w:r w:rsidRPr="00CD5969">
        <w:rPr>
          <w:rFonts w:ascii="微軟正黑體" w:eastAsia="微軟正黑體" w:hAnsi="微軟正黑體" w:hint="eastAsia"/>
          <w:sz w:val="20"/>
          <w:szCs w:val="20"/>
        </w:rPr>
        <w:t>資料來源：「國家新型城鎮化規劃(2014-2020年)</w:t>
      </w:r>
      <w:r w:rsidR="003C11D5" w:rsidRPr="003C11D5">
        <w:rPr>
          <w:rFonts w:ascii="微軟正黑體" w:eastAsia="微軟正黑體" w:hAnsi="微軟正黑體"/>
          <w:sz w:val="20"/>
          <w:szCs w:val="20"/>
        </w:rPr>
        <w:tab/>
      </w:r>
    </w:p>
    <w:p w:rsidR="003C11D5" w:rsidRPr="00CD5969" w:rsidRDefault="003C11D5" w:rsidP="003C11D5">
      <w:p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6216"/>
        </w:tabs>
        <w:overflowPunct w:val="0"/>
        <w:autoSpaceDE w:val="0"/>
        <w:autoSpaceDN w:val="0"/>
        <w:adjustRightInd w:val="0"/>
        <w:spacing w:line="360" w:lineRule="auto"/>
        <w:ind w:leftChars="51" w:left="424" w:hangingChars="151" w:hanging="302"/>
        <w:jc w:val="both"/>
        <w:textAlignment w:val="center"/>
        <w:rPr>
          <w:rFonts w:eastAsiaTheme="minorEastAsia" w:hAnsiTheme="minorHAnsi" w:cstheme="minorBidi"/>
          <w:b/>
          <w:bCs/>
          <w:sz w:val="20"/>
          <w:szCs w:val="20"/>
        </w:rPr>
      </w:pPr>
    </w:p>
    <w:p w:rsidR="00CD5969" w:rsidRPr="00CD5969" w:rsidRDefault="00CD5969" w:rsidP="00273851">
      <w:pPr>
        <w:widowControl/>
        <w:numPr>
          <w:ilvl w:val="0"/>
          <w:numId w:val="21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lastRenderedPageBreak/>
        <w:t>考核指標明確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0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「規劃」從城鎮化水準、基本公共服務、基礎設施、資源環境等四個領域中，提出了明確的城鎮化考核指標體系(詳下表)，這些指標既是未來新型城鎮化發展的評價標準，亦是中央試圖調整城鎮化發展方向的指揮棒，尤其是對地方政府，這些指標將成為評價政績的指標之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一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。</w:t>
      </w:r>
    </w:p>
    <w:tbl>
      <w:tblPr>
        <w:tblStyle w:val="180"/>
        <w:tblW w:w="8364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560"/>
      </w:tblGrid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指標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2012年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2020年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8364" w:type="dxa"/>
            <w:gridSpan w:val="3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城鎮化水準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常住人口城鎮化率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52.6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60%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戶籍人口城鎮化率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35.3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45%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CD5969" w:rsidRPr="00CD5969" w:rsidTr="00BC1DAD">
        <w:trPr>
          <w:trHeight w:hRule="exact" w:val="397"/>
        </w:trPr>
        <w:tc>
          <w:tcPr>
            <w:tcW w:w="8364" w:type="dxa"/>
            <w:gridSpan w:val="3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基本公共服務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CD5969">
              <w:rPr>
                <w:rFonts w:ascii="微軟正黑體" w:eastAsia="微軟正黑體" w:hAnsi="微軟正黑體" w:hint="eastAsia"/>
                <w:szCs w:val="28"/>
              </w:rPr>
              <w:t>農民工隨遷</w:t>
            </w:r>
            <w:proofErr w:type="gramEnd"/>
            <w:r w:rsidRPr="00CD5969">
              <w:rPr>
                <w:rFonts w:ascii="微軟正黑體" w:eastAsia="微軟正黑體" w:hAnsi="微軟正黑體" w:hint="eastAsia"/>
                <w:szCs w:val="28"/>
              </w:rPr>
              <w:t>子女接受義務教育比例(%)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SimSun" w:eastAsia="SimSun" w:hAnsi="SimSun" w:cs="SimSun"/>
                <w:szCs w:val="28"/>
              </w:rPr>
            </w:pPr>
            <w:r w:rsidRPr="00CD5969">
              <w:rPr>
                <w:rFonts w:ascii="SimSun" w:eastAsia="SimSun" w:hAnsi="SimSun" w:cs="SimSun" w:hint="eastAsia"/>
                <w:szCs w:val="28"/>
              </w:rPr>
              <w:t>≥</w:t>
            </w:r>
            <w:r w:rsidRPr="00CD5969">
              <w:rPr>
                <w:rFonts w:ascii="微軟正黑體" w:eastAsia="微軟正黑體" w:hAnsi="微軟正黑體"/>
                <w:szCs w:val="28"/>
              </w:rPr>
              <w:t>9</w:t>
            </w:r>
            <w:r w:rsidRPr="00CD5969">
              <w:rPr>
                <w:rFonts w:ascii="微軟正黑體" w:eastAsia="微軟正黑體" w:hAnsi="微軟正黑體" w:hint="eastAsia"/>
                <w:szCs w:val="28"/>
              </w:rPr>
              <w:t>9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失業人口、農民工技能培訓覆蓋率(%)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SimSun" w:eastAsia="SimSun" w:hAnsi="SimSun" w:cs="SimSun"/>
                <w:szCs w:val="28"/>
              </w:rPr>
            </w:pPr>
            <w:r w:rsidRPr="00CD5969">
              <w:rPr>
                <w:rFonts w:ascii="SimSun" w:eastAsia="SimSun" w:hAnsi="SimSun" w:cs="SimSun" w:hint="eastAsia"/>
                <w:szCs w:val="28"/>
              </w:rPr>
              <w:t>≥</w:t>
            </w:r>
            <w:r w:rsidRPr="00CD5969">
              <w:rPr>
                <w:rFonts w:ascii="微軟正黑體" w:eastAsia="微軟正黑體" w:hAnsi="微軟正黑體"/>
                <w:szCs w:val="28"/>
              </w:rPr>
              <w:t>9</w:t>
            </w:r>
            <w:r w:rsidRPr="00CD5969">
              <w:rPr>
                <w:rFonts w:ascii="微軟正黑體" w:eastAsia="微軟正黑體" w:hAnsi="微軟正黑體" w:hint="eastAsia"/>
                <w:szCs w:val="28"/>
              </w:rPr>
              <w:t>5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城鎮常住人口基本養老保險覆蓋率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66.9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SimSun" w:eastAsia="SimSun" w:hAnsi="SimSun" w:cs="SimSun" w:hint="eastAsia"/>
                <w:szCs w:val="28"/>
              </w:rPr>
              <w:t>≥</w:t>
            </w:r>
            <w:r w:rsidRPr="00CD5969">
              <w:rPr>
                <w:rFonts w:ascii="微軟正黑體" w:eastAsia="微軟正黑體" w:hAnsi="微軟正黑體"/>
                <w:szCs w:val="28"/>
              </w:rPr>
              <w:t>90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城鎮常住人口基本醫療保險覆蓋率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95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98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城鎮常住人口保障性住房覆蓋率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12.5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SimSun" w:eastAsia="SimSun" w:hAnsi="SimSun" w:cs="SimSun" w:hint="eastAsia"/>
                <w:szCs w:val="28"/>
              </w:rPr>
              <w:t>≥</w:t>
            </w:r>
            <w:r w:rsidRPr="00CD5969">
              <w:rPr>
                <w:rFonts w:ascii="微軟正黑體" w:eastAsia="微軟正黑體" w:hAnsi="微軟正黑體"/>
                <w:szCs w:val="28"/>
              </w:rPr>
              <w:t>23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8364" w:type="dxa"/>
            <w:gridSpan w:val="3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基礎設施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城鎮公共供水普及率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81.7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90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城市汙水處理率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87.3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95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城市生活垃圾無害化處理率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84.8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95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城市家庭</w:t>
            </w:r>
            <w:proofErr w:type="gramStart"/>
            <w:r w:rsidRPr="00CD5969">
              <w:rPr>
                <w:rFonts w:ascii="微軟正黑體" w:eastAsia="微軟正黑體" w:hAnsi="微軟正黑體" w:hint="eastAsia"/>
                <w:szCs w:val="28"/>
              </w:rPr>
              <w:t>寬帶接入</w:t>
            </w:r>
            <w:proofErr w:type="gramEnd"/>
            <w:r w:rsidRPr="00CD5969">
              <w:rPr>
                <w:rFonts w:ascii="微軟正黑體" w:eastAsia="微軟正黑體" w:hAnsi="微軟正黑體" w:hint="eastAsia"/>
                <w:szCs w:val="28"/>
              </w:rPr>
              <w:t>能力(Mbps)</w:t>
            </w:r>
          </w:p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SimSun" w:eastAsia="SimSun" w:hAnsi="SimSun" w:cs="SimSun" w:hint="eastAsia"/>
                <w:szCs w:val="28"/>
              </w:rPr>
              <w:t>≥</w:t>
            </w:r>
            <w:r w:rsidRPr="00CD5969">
              <w:rPr>
                <w:rFonts w:ascii="微軟正黑體" w:eastAsia="微軟正黑體" w:hAnsi="微軟正黑體" w:hint="eastAsia"/>
                <w:szCs w:val="28"/>
              </w:rPr>
              <w:t>5</w:t>
            </w:r>
            <w:r w:rsidRPr="00CD5969">
              <w:rPr>
                <w:rFonts w:ascii="微軟正黑體" w:eastAsia="微軟正黑體" w:hAnsi="微軟正黑體"/>
                <w:szCs w:val="28"/>
              </w:rPr>
              <w:t>0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城市社區綜合服務設施覆蓋率</w:t>
            </w:r>
            <w:r w:rsidRPr="00CD5969">
              <w:rPr>
                <w:rFonts w:ascii="微軟正黑體" w:eastAsia="微軟正黑體" w:hAnsi="微軟正黑體"/>
                <w:szCs w:val="28"/>
              </w:rPr>
              <w:t>(%)</w:t>
            </w:r>
          </w:p>
        </w:tc>
        <w:tc>
          <w:tcPr>
            <w:tcW w:w="1842" w:type="dxa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72.5</w:t>
            </w:r>
          </w:p>
        </w:tc>
        <w:tc>
          <w:tcPr>
            <w:tcW w:w="1560" w:type="dxa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100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8364" w:type="dxa"/>
            <w:gridSpan w:val="3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資源環境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人均城市建設用地(平方米)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Arial" w:eastAsia="微軟正黑體" w:hAnsi="Arial" w:cs="Arial"/>
                <w:szCs w:val="28"/>
              </w:rPr>
              <w:t>≤</w:t>
            </w:r>
            <w:r w:rsidRPr="00CD5969">
              <w:rPr>
                <w:rFonts w:ascii="微軟正黑體" w:eastAsia="微軟正黑體" w:hAnsi="微軟正黑體"/>
                <w:szCs w:val="28"/>
              </w:rPr>
              <w:t>100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城鎮再生能源消費比重(%)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8.7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13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綠色建築占新建建築比重(%)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50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城市建成區綠地率(%)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35.7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/>
                <w:szCs w:val="28"/>
              </w:rPr>
              <w:t>38.9</w:t>
            </w:r>
          </w:p>
        </w:tc>
      </w:tr>
      <w:tr w:rsidR="00CD5969" w:rsidRPr="00CD5969" w:rsidTr="00BC1DAD">
        <w:trPr>
          <w:trHeight w:hRule="exact" w:val="397"/>
        </w:trPr>
        <w:tc>
          <w:tcPr>
            <w:tcW w:w="496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空氣質量達標準之城市比例(%)</w:t>
            </w:r>
          </w:p>
        </w:tc>
        <w:tc>
          <w:tcPr>
            <w:tcW w:w="1842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41</w:t>
            </w:r>
          </w:p>
        </w:tc>
        <w:tc>
          <w:tcPr>
            <w:tcW w:w="1560" w:type="dxa"/>
            <w:vAlign w:val="center"/>
          </w:tcPr>
          <w:p w:rsidR="00CD5969" w:rsidRPr="00CD5969" w:rsidRDefault="00CD5969" w:rsidP="00CD596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szCs w:val="28"/>
              </w:rPr>
              <w:t>60</w:t>
            </w:r>
          </w:p>
        </w:tc>
      </w:tr>
    </w:tbl>
    <w:p w:rsidR="00CD5969" w:rsidRDefault="00CD5969" w:rsidP="00CD5969">
      <w:pPr>
        <w:snapToGrid w:val="0"/>
        <w:spacing w:beforeLines="100" w:before="360" w:afterLines="50" w:after="180" w:line="440" w:lineRule="atLeast"/>
        <w:jc w:val="both"/>
        <w:rPr>
          <w:rFonts w:ascii="微軟正黑體" w:eastAsia="微軟正黑體" w:hAnsi="微軟正黑體"/>
          <w:b/>
          <w:sz w:val="28"/>
          <w:szCs w:val="20"/>
        </w:rPr>
      </w:pPr>
    </w:p>
    <w:p w:rsidR="00371A60" w:rsidRPr="00CD5969" w:rsidRDefault="00371A60" w:rsidP="00CD5969">
      <w:pPr>
        <w:snapToGrid w:val="0"/>
        <w:spacing w:beforeLines="100" w:before="360" w:afterLines="50" w:after="180" w:line="440" w:lineRule="atLeast"/>
        <w:jc w:val="both"/>
        <w:rPr>
          <w:rFonts w:ascii="微軟正黑體" w:eastAsia="微軟正黑體" w:hAnsi="微軟正黑體"/>
          <w:b/>
          <w:sz w:val="28"/>
          <w:szCs w:val="20"/>
        </w:rPr>
      </w:pP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jc w:val="both"/>
        <w:rPr>
          <w:rFonts w:ascii="微軟正黑體" w:eastAsia="微軟正黑體" w:hAnsi="微軟正黑體"/>
          <w:b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sz w:val="28"/>
          <w:szCs w:val="20"/>
        </w:rPr>
        <w:lastRenderedPageBreak/>
        <w:t>二、</w:t>
      </w:r>
      <w:proofErr w:type="gramStart"/>
      <w:r w:rsidRPr="00CD5969">
        <w:rPr>
          <w:rFonts w:ascii="微軟正黑體" w:eastAsia="微軟正黑體" w:hAnsi="微軟正黑體" w:hint="eastAsia"/>
          <w:b/>
          <w:sz w:val="28"/>
          <w:szCs w:val="20"/>
        </w:rPr>
        <w:t>研</w:t>
      </w:r>
      <w:proofErr w:type="gramEnd"/>
      <w:r w:rsidRPr="00CD5969">
        <w:rPr>
          <w:rFonts w:ascii="微軟正黑體" w:eastAsia="微軟正黑體" w:hAnsi="微軟正黑體" w:hint="eastAsia"/>
          <w:b/>
          <w:sz w:val="28"/>
          <w:szCs w:val="20"/>
        </w:rPr>
        <w:t>析意見</w:t>
      </w:r>
    </w:p>
    <w:p w:rsidR="00CD5969" w:rsidRPr="00CD5969" w:rsidRDefault="00CD5969" w:rsidP="00273851">
      <w:pPr>
        <w:widowControl/>
        <w:numPr>
          <w:ilvl w:val="0"/>
          <w:numId w:val="22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城鎮化為提振內需的關鍵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0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綜合各項報告顯示，城鎮化蘊藏巨大需求潛力，成為擴大內需的重要平台支撐。首先，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城鎮化拉動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投資需求，城鎮化率每提高1～1.5個百分點，將有1,500～2,000萬人口移到城市，新增投資約在1.5～2兆元人民幣左右；其次，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城鎮化拉動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消費需求，目前</w:t>
      </w:r>
      <w:r w:rsidR="00A67E0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20"/>
        </w:rPr>
        <w:t>大陸城鎮與農村居民人均消費比約為3.3:1，當城鎮化率提高１個百分點，估計可創造新增消費5,000億元人民幣左右。</w:t>
      </w:r>
    </w:p>
    <w:p w:rsidR="00CD5969" w:rsidRPr="00CD5969" w:rsidRDefault="00CD5969" w:rsidP="00273851">
      <w:pPr>
        <w:widowControl/>
        <w:numPr>
          <w:ilvl w:val="0"/>
          <w:numId w:val="22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放寬戶籍限制是未來重點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0"/>
        </w:rPr>
      </w:pPr>
      <w:r w:rsidRPr="00CD5969">
        <w:rPr>
          <w:rFonts w:ascii="微軟正黑體" w:eastAsia="微軟正黑體" w:hAnsi="微軟正黑體" w:hint="eastAsia"/>
          <w:sz w:val="28"/>
          <w:szCs w:val="20"/>
        </w:rPr>
        <w:t>長期來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大陸所實施的</w:t>
      </w:r>
      <w:r w:rsidRPr="00CD5969">
        <w:rPr>
          <w:rFonts w:ascii="微軟正黑體" w:eastAsia="微軟正黑體" w:hAnsi="微軟正黑體" w:hint="eastAsia"/>
          <w:bCs/>
          <w:sz w:val="28"/>
          <w:szCs w:val="20"/>
        </w:rPr>
        <w:t>戶籍制度，</w:t>
      </w:r>
      <w:r w:rsidRPr="00CD5969">
        <w:rPr>
          <w:rFonts w:ascii="微軟正黑體" w:eastAsia="微軟正黑體" w:hAnsi="微軟正黑體"/>
          <w:bCs/>
          <w:sz w:val="28"/>
          <w:szCs w:val="20"/>
          <w:vertAlign w:val="superscript"/>
        </w:rPr>
        <w:footnoteReference w:id="8"/>
      </w:r>
      <w:r w:rsidRPr="00CD5969">
        <w:rPr>
          <w:rFonts w:ascii="微軟正黑體" w:eastAsia="微軟正黑體" w:hAnsi="微軟正黑體" w:hint="eastAsia"/>
          <w:bCs/>
          <w:sz w:val="28"/>
          <w:szCs w:val="20"/>
        </w:rPr>
        <w:t>除造成勞動價值扭曲，相應權利和福利分配不公外，也制約了消費成長。但本次「規劃」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官方首次公布常住人口及戶籍人口兩個城鎮化率指標，並將</w:t>
      </w:r>
      <w:r w:rsidRPr="00CD5969">
        <w:rPr>
          <w:rFonts w:ascii="微軟正黑體" w:eastAsia="微軟正黑體" w:hAnsi="微軟正黑體" w:hint="eastAsia"/>
          <w:bCs/>
          <w:sz w:val="28"/>
          <w:szCs w:val="20"/>
        </w:rPr>
        <w:t>首要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目標設在農業人口合理有序穩定地向城鎮集中，以縮短兩個城鎮化率差距。換句話說，擴大內需的最大潛力在城鎮化，但其前提須在戶籍制度做大幅度的放寬。因此，戶籍制度的改革將是為城鎮化成功與否的關鍵因素。</w:t>
      </w:r>
    </w:p>
    <w:p w:rsidR="00CD5969" w:rsidRPr="00CD5969" w:rsidRDefault="00CD5969" w:rsidP="00273851">
      <w:pPr>
        <w:widowControl/>
        <w:numPr>
          <w:ilvl w:val="0"/>
          <w:numId w:val="22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就業問題制約城鎮化發展</w:t>
      </w:r>
    </w:p>
    <w:p w:rsidR="00CD5969" w:rsidRPr="00CD5969" w:rsidRDefault="00CD5969" w:rsidP="00A67E09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0"/>
        </w:rPr>
      </w:pPr>
      <w:r w:rsidRPr="00CD5969">
        <w:rPr>
          <w:rFonts w:ascii="微軟正黑體" w:eastAsia="微軟正黑體" w:hAnsi="微軟正黑體" w:hint="eastAsia"/>
          <w:sz w:val="28"/>
          <w:szCs w:val="20"/>
        </w:rPr>
        <w:t>長期來，由於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大陸官方僅公布城鎮登計失業率，當中並不包括農村上億的剩餘勞動力，因此失業率大都穩定維持在4%至4.3%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之間，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惟一般認為實際失業率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恐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倍增於此。雖然城鎮化的本質在於農村剩餘勞動力轉到非農部門就業，不過其前提仍須有產業的搭配發展，以帶動城鎮化的成長空間，惟未來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在就業與產業之間仍存在幾個問題，首先，城鎮化雖可透過龐大的營建或交通基礎建設吸納勞動力，但為避免過往大肆濫建所引發的資源浪費弊端，本次「規劃」重點顯然在制度面的改革會重於硬體建設的推動；其次，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大陸產</w:t>
      </w:r>
      <w:r w:rsidRPr="00CD5969">
        <w:rPr>
          <w:rFonts w:ascii="微軟正黑體" w:eastAsia="微軟正黑體" w:hAnsi="微軟正黑體" w:hint="eastAsia"/>
          <w:sz w:val="28"/>
          <w:szCs w:val="20"/>
        </w:rPr>
        <w:lastRenderedPageBreak/>
        <w:t>業結構現正值調整期，製造業對勞動力的吸納未來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恐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有限；最後，服務業的發展對城鎮化有其必要，但目前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大陸服務業仍在發展階段，未來是否能取代製造業及營建業對勞動力的吸納，仍有待觀察。</w:t>
      </w:r>
    </w:p>
    <w:p w:rsidR="00CD5969" w:rsidRPr="00CD5969" w:rsidRDefault="00CD5969" w:rsidP="00273851">
      <w:pPr>
        <w:widowControl/>
        <w:numPr>
          <w:ilvl w:val="0"/>
          <w:numId w:val="22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地方政府的配合具決定性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0"/>
        </w:rPr>
      </w:pPr>
      <w:r w:rsidRPr="00CD5969">
        <w:rPr>
          <w:rFonts w:ascii="微軟正黑體" w:eastAsia="微軟正黑體" w:hAnsi="微軟正黑體" w:hint="eastAsia"/>
          <w:sz w:val="28"/>
          <w:szCs w:val="20"/>
        </w:rPr>
        <w:t>過往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大陸城鎮化的推動，常造成部分地方政府舉債投資、人工造城，在快速提升城鎮化率的同時，不但造成土地價格高漲、社會成本高昂、債務風險偏高的「三高」現象，相對的，許多地區也出現了房產入住率過低、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入城農民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待遇過低、被徵農村土地補償過低的「三低」現象。究其原因主要在於政府主導了城鎮化的過程，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把造城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當成是提高政績的重要甚至是主要手段。因此，未來是否能以「規劃」所示由市場主導，政府引導達到以人為核心的城鎮化目標，地方政府的配合與作法具決定性因素。</w:t>
      </w:r>
    </w:p>
    <w:p w:rsidR="00CD5969" w:rsidRPr="00CD5969" w:rsidRDefault="00CD5969" w:rsidP="00273851">
      <w:pPr>
        <w:widowControl/>
        <w:numPr>
          <w:ilvl w:val="0"/>
          <w:numId w:val="22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公共財政改革是關鍵</w:t>
      </w:r>
    </w:p>
    <w:p w:rsidR="00CD5969" w:rsidRPr="00CD5969" w:rsidRDefault="00CD5969" w:rsidP="00371A60">
      <w:pPr>
        <w:snapToGrid w:val="0"/>
        <w:spacing w:beforeLines="25" w:before="90" w:afterLines="25" w:after="90" w:line="48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0"/>
        </w:rPr>
      </w:pPr>
      <w:r w:rsidRPr="00CD5969">
        <w:rPr>
          <w:rFonts w:ascii="微軟正黑體" w:eastAsia="微軟正黑體" w:hAnsi="微軟正黑體" w:hint="eastAsia"/>
          <w:sz w:val="28"/>
          <w:szCs w:val="20"/>
        </w:rPr>
        <w:t>城鎮化的推動過程中，總離不開一個核心問題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──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錢，也就是新型城鎮化的融資機制如何創新。過去的城鎮化，主要依賴土地財政等非正式的制度安排，但因此引發的地方債務風險、徵地引發的社會矛盾等，都成為制約經濟社會發展的重要因素。雖「規劃」中已提出財稅體制和投融資機制改革，確屬不易，因改革過程勢必帶來一系列的連動改革，例如需修改「預算法」，改變地方政府不能成為舉債主體的規定；修正當前政府預算會計制度，以市場化的發行市政債券等。</w:t>
      </w:r>
      <w:proofErr w:type="gramStart"/>
      <w:r w:rsidRPr="00CD5969">
        <w:rPr>
          <w:rFonts w:ascii="微軟正黑體" w:eastAsia="微軟正黑體" w:hAnsi="微軟正黑體" w:hint="eastAsia"/>
          <w:sz w:val="28"/>
          <w:szCs w:val="20"/>
        </w:rPr>
        <w:t>惟</w:t>
      </w:r>
      <w:proofErr w:type="gramEnd"/>
      <w:r w:rsidRPr="00CD5969">
        <w:rPr>
          <w:rFonts w:ascii="微軟正黑體" w:eastAsia="微軟正黑體" w:hAnsi="微軟正黑體" w:hint="eastAsia"/>
          <w:sz w:val="28"/>
          <w:szCs w:val="20"/>
        </w:rPr>
        <w:t>前述改革涉及中央與地方政府的權力分配，這對</w:t>
      </w:r>
      <w:r w:rsidR="00A67E09">
        <w:rPr>
          <w:rFonts w:ascii="微軟正黑體" w:eastAsia="微軟正黑體" w:hAnsi="微軟正黑體" w:hint="eastAsia"/>
          <w:sz w:val="28"/>
          <w:szCs w:val="20"/>
        </w:rPr>
        <w:t>中國</w:t>
      </w:r>
      <w:r w:rsidRPr="00CD5969">
        <w:rPr>
          <w:rFonts w:ascii="微軟正黑體" w:eastAsia="微軟正黑體" w:hAnsi="微軟正黑體" w:hint="eastAsia"/>
          <w:sz w:val="28"/>
          <w:szCs w:val="20"/>
        </w:rPr>
        <w:t>大陸現有體制將存在一定的挑戰。</w:t>
      </w:r>
    </w:p>
    <w:p w:rsidR="00CD5969" w:rsidRPr="00CD5969" w:rsidRDefault="00CD5969" w:rsidP="00371A60">
      <w:pPr>
        <w:widowControl/>
        <w:spacing w:beforeLines="25" w:before="90" w:afterLines="25" w:after="90" w:line="480" w:lineRule="exact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r w:rsidRPr="00CD5969">
        <w:rPr>
          <w:rFonts w:ascii="微軟正黑體" w:eastAsia="微軟正黑體" w:hAnsi="微軟正黑體"/>
          <w:b/>
          <w:bCs/>
          <w:kern w:val="0"/>
          <w:sz w:val="32"/>
          <w:szCs w:val="32"/>
        </w:rPr>
        <w:br w:type="page"/>
      </w:r>
    </w:p>
    <w:p w:rsidR="00CD5969" w:rsidRPr="00CD5969" w:rsidRDefault="00CD5969" w:rsidP="00371A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pacing w:beforeLines="25" w:before="90" w:afterLines="25" w:after="90" w:line="480" w:lineRule="exact"/>
        <w:ind w:leftChars="119" w:left="929" w:hangingChars="201" w:hanging="643"/>
        <w:jc w:val="center"/>
        <w:textAlignment w:val="center"/>
        <w:rPr>
          <w:rFonts w:ascii="微軟正黑體" w:eastAsia="微軟正黑體" w:hAnsi="微軟正黑體"/>
          <w:b/>
          <w:spacing w:val="-6"/>
          <w:kern w:val="0"/>
          <w:sz w:val="27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參考文獻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 xml:space="preserve">宋國誠(2014),「希望？還是泡沫希望－中國大陸的新型城鎮化」 , 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 xml:space="preserve">http://140.119.184.164/taipeiforum/view/103.php 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德國之聲中文網(2014),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 xml:space="preserve"> 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 xml:space="preserve">「中國將推動城鎮化進程」, 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 xml:space="preserve">http://b5.secretchina.com/news/14/03/14/533769.html 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旺報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(2014),「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>“陸城鎮化出爐 扮成長火車頭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」, 2014年03月18日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新華社(2014),「國家新型城鎮化規劃（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－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>2020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年）」, 2014年03月16日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洪鳳儀(2013) ,「活服務大商機~新型城鎮化趨勢下台灣產業之契機與挑戰」, 工研院產業經濟與趨勢研究中心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吳敬璉(2013),「新型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城鎮化需改變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 xml:space="preserve">體制上的一些缺陷」, 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>http://opinion.haiwainet.cn/BIG5/n/2013/1126/c232601-19966018.html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徐紹史(2013),「國務院關於城鎮化建設工作情況的報告」,中國人大網,2013年6月27日</w:t>
      </w:r>
    </w:p>
    <w:p w:rsidR="00CD5969" w:rsidRPr="00CD5969" w:rsidRDefault="00CD5969" w:rsidP="00273851">
      <w:pPr>
        <w:numPr>
          <w:ilvl w:val="1"/>
          <w:numId w:val="16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Chars="58" w:left="562" w:hangingChars="151" w:hanging="423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張占斌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>(2013)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,「新型城鎮化的戰略意義和改革難題」,國家行政學院學報,2013年3月1日</w:t>
      </w:r>
    </w:p>
    <w:p w:rsidR="001A6161" w:rsidRDefault="001A6161" w:rsidP="00371A60">
      <w:pPr>
        <w:widowControl/>
        <w:spacing w:beforeLines="25" w:before="90" w:afterLines="25" w:after="90" w:line="480" w:lineRule="exact"/>
        <w:rPr>
          <w:rFonts w:eastAsiaTheme="minorEastAsia" w:hAnsiTheme="minorHAnsi" w:cstheme="minorBidi"/>
          <w:b/>
          <w:bCs/>
          <w:szCs w:val="22"/>
        </w:rPr>
      </w:pPr>
      <w:r>
        <w:rPr>
          <w:rFonts w:eastAsiaTheme="minorEastAsia" w:hAnsiTheme="minorHAnsi" w:cstheme="minorBidi"/>
          <w:b/>
          <w:bCs/>
          <w:szCs w:val="22"/>
        </w:rPr>
        <w:br w:type="page"/>
      </w:r>
    </w:p>
    <w:p w:rsidR="00337CE6" w:rsidRPr="00371A60" w:rsidRDefault="00337CE6" w:rsidP="00337CE6">
      <w:pPr>
        <w:pStyle w:val="Web"/>
        <w:adjustRightInd w:val="0"/>
        <w:snapToGrid w:val="0"/>
        <w:spacing w:line="240" w:lineRule="atLeast"/>
        <w:jc w:val="center"/>
        <w:outlineLvl w:val="1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15" w:name="_Toc413072676"/>
      <w:r w:rsidRPr="00337CE6">
        <w:rPr>
          <w:rFonts w:hint="eastAsia"/>
          <w:b/>
          <w:bCs/>
          <w:color w:val="000000" w:themeColor="text1"/>
          <w:sz w:val="32"/>
          <w:szCs w:val="32"/>
        </w:rPr>
        <w:lastRenderedPageBreak/>
        <w:t>◎</w:t>
      </w:r>
      <w:r w:rsidRPr="00371A60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中國大陸的經濟新常態</w:t>
      </w:r>
      <w:bookmarkEnd w:id="15"/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kern w:val="0"/>
          <w:sz w:val="28"/>
          <w:szCs w:val="20"/>
        </w:rPr>
        <w:t>一、前言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中國大陸2014年第3季經濟成長7.3%，創下5年來最低，經濟走緩成為全球關注的焦點。中國大陸目前為全球第二經濟體、第一大商品出口國和第二大進口國，對全球經濟具有重大影響力。外界關心中國大陸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>經濟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是否</w:t>
      </w:r>
      <w:r w:rsidRPr="00CD5969">
        <w:rPr>
          <w:rFonts w:ascii="微軟正黑體" w:eastAsia="微軟正黑體" w:hAnsi="微軟正黑體" w:hint="eastAsia"/>
          <w:bCs/>
          <w:color w:val="000000" w:themeColor="text1"/>
          <w:kern w:val="0"/>
          <w:sz w:val="28"/>
          <w:szCs w:val="20"/>
        </w:rPr>
        <w:t>再也無法回到金融海嘯前穩定的正常狀態，或是已經</w:t>
      </w:r>
      <w:r w:rsidRPr="00CD5969">
        <w:rPr>
          <w:rFonts w:ascii="微軟正黑體" w:eastAsia="微軟正黑體" w:hAnsi="微軟正黑體"/>
          <w:bCs/>
          <w:color w:val="000000" w:themeColor="text1"/>
          <w:kern w:val="0"/>
          <w:sz w:val="28"/>
          <w:szCs w:val="20"/>
        </w:rPr>
        <w:t>進入明顯</w:t>
      </w:r>
      <w:r w:rsidRPr="00CD5969">
        <w:rPr>
          <w:rFonts w:ascii="微軟正黑體" w:eastAsia="微軟正黑體" w:hAnsi="微軟正黑體" w:hint="eastAsia"/>
          <w:bCs/>
          <w:color w:val="000000" w:themeColor="text1"/>
          <w:kern w:val="0"/>
          <w:sz w:val="28"/>
          <w:szCs w:val="20"/>
        </w:rPr>
        <w:t>成長減速的全新正常狀態（簡稱新常態），本文將就中國大陸經濟所面臨新常態的特徵及風險進行分析。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kern w:val="0"/>
          <w:sz w:val="28"/>
          <w:szCs w:val="20"/>
        </w:rPr>
        <w:t>二、經濟新常態的特徵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119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依據中國大陸國家主席習近平出席2014年亞太經濟合作會議（APEC）企業領袖峰會指出，中國大陸經濟已進入新常態，並提出3個主要特徵為：從高速轉為中高速成長、經濟結構優化升級及創新驅動經濟成長等，茲分析如下：</w:t>
      </w:r>
      <w:r w:rsidRPr="00CD5969">
        <w:rPr>
          <w:rFonts w:ascii="微軟正黑體" w:eastAsia="微軟正黑體" w:hAnsi="微軟正黑體"/>
          <w:bCs/>
          <w:kern w:val="0"/>
          <w:sz w:val="28"/>
          <w:szCs w:val="20"/>
        </w:rPr>
        <w:t xml:space="preserve"> </w:t>
      </w:r>
    </w:p>
    <w:p w:rsidR="00CD5969" w:rsidRPr="00CD5969" w:rsidRDefault="00CD5969" w:rsidP="00273851">
      <w:pPr>
        <w:widowControl/>
        <w:numPr>
          <w:ilvl w:val="0"/>
          <w:numId w:val="23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經濟成長趨緩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2012至2013年中國大陸的經濟成長率連續兩年為7.7%，為2000年以來最低，世界銀行、IMF等機構更指出，未來5年中國大陸經濟成長率將持續走緩。</w:t>
      </w:r>
    </w:p>
    <w:p w:rsidR="00CD5969" w:rsidRPr="00E166E9" w:rsidRDefault="00CD5969" w:rsidP="00E166E9">
      <w:pPr>
        <w:numPr>
          <w:ilvl w:val="0"/>
          <w:numId w:val="17"/>
        </w:num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hanging="534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世界銀行</w:t>
      </w:r>
      <w:r w:rsidR="00562F78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年10月29日指出，中國大陸經濟成長趨緩不是暫時現象，而是結構因素。主要是受到勞動市場結構轉型、人口紅利和資本累積效用遞減，全球經貿環境改變等因素影響，未來經濟成長</w:t>
      </w:r>
      <w:proofErr w:type="gramStart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走緩將成為</w:t>
      </w:r>
      <w:proofErr w:type="gramEnd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經濟新常態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（詳附圖1），預估</w:t>
      </w:r>
      <w:r w:rsidRPr="00E166E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2015年經濟成長率為7.2%，低於</w:t>
      </w:r>
      <w:r w:rsidR="00E166E9" w:rsidRPr="00E166E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2014</w:t>
      </w:r>
      <w:r w:rsidRPr="00E166E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年的7.4%</w:t>
      </w:r>
      <w:r w:rsidRPr="00E166E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。中央研究院院士劉遵義亦指出，未來5到10年內，中國大陸經濟成長率將維持6-7%。</w:t>
      </w:r>
    </w:p>
    <w:p w:rsidR="00CD5969" w:rsidRPr="00CD5969" w:rsidRDefault="00CD5969" w:rsidP="00273851">
      <w:pPr>
        <w:numPr>
          <w:ilvl w:val="0"/>
          <w:numId w:val="17"/>
        </w:num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hanging="534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IMF在</w:t>
      </w:r>
      <w:r w:rsidR="00562F78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年7月發布的報告中指出，中國大陸經濟成長將逐步放緩，預計從</w:t>
      </w:r>
      <w:r w:rsidR="00E166E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年的7.4%下降到2016年的6.8%，2019年進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lastRenderedPageBreak/>
        <w:t>一步降至6.3%。IMF表示，如果中國大陸無法貫徹改革，2020年中國大陸GDP成長將降至3.5%，之後則維持在2.5%的水準。</w:t>
      </w:r>
    </w:p>
    <w:p w:rsidR="00CD5969" w:rsidRPr="00CD5969" w:rsidRDefault="00CD5969" w:rsidP="00273851">
      <w:pPr>
        <w:numPr>
          <w:ilvl w:val="0"/>
          <w:numId w:val="17"/>
        </w:num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hanging="534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 xml:space="preserve">美國前財政部長 Summers 和哈佛大學教授 Lant Pritchett </w:t>
      </w:r>
      <w:r w:rsidR="00C83D95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10月共同發表報告指出，歷史上大部分高速成長的經濟體，例如日本、臺灣、韓國及其他新興國家，到了一定的時間點其經濟成長就會與全球平均值趨於一致，中國大陸也不會例外，預估未來10年經濟成長可能下滑至平均5%。</w:t>
      </w:r>
    </w:p>
    <w:p w:rsidR="00CD5969" w:rsidRPr="00CD5969" w:rsidRDefault="00CD5969" w:rsidP="00273851">
      <w:pPr>
        <w:numPr>
          <w:ilvl w:val="0"/>
          <w:numId w:val="17"/>
        </w:numPr>
        <w:tabs>
          <w:tab w:val="left" w:pos="0"/>
          <w:tab w:val="left" w:pos="1920"/>
          <w:tab w:val="left" w:pos="2880"/>
          <w:tab w:val="left" w:pos="384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hanging="534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美國時代雜誌（TIME）</w:t>
      </w:r>
      <w:r w:rsidR="00C83D95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年11月3日登載《中國新常態》（China’s New Normal）指出，中國大陸經濟</w:t>
      </w:r>
      <w:proofErr w:type="gramStart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走緩不令人</w:t>
      </w:r>
      <w:proofErr w:type="gramEnd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 xml:space="preserve">驚訝，兩位數的成長可能成為過去式。美國 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>The Conference Board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 xml:space="preserve"> </w:t>
      </w:r>
      <w:r w:rsidR="00E166E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年10月預測，2015至2019年中國大陸經濟成長將放緩到5.5%，2020年後進一步放緩到3.9%。</w:t>
      </w:r>
    </w:p>
    <w:p w:rsidR="00CD5969" w:rsidRPr="00CD5969" w:rsidRDefault="00CD5969" w:rsidP="00273851">
      <w:pPr>
        <w:widowControl/>
        <w:numPr>
          <w:ilvl w:val="0"/>
          <w:numId w:val="23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結構調整加速</w:t>
      </w:r>
      <w:r w:rsidRPr="008F5D34">
        <w:rPr>
          <w:rStyle w:val="a8"/>
          <w:rFonts w:cstheme="minorBidi"/>
          <w:sz w:val="28"/>
          <w:szCs w:val="28"/>
        </w:rPr>
        <w:footnoteReference w:id="9"/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鑒於過去著重加工出口之經濟成長模式無法持續發展，中國大陸實施結構改革的壓力逐漸增加，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爰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2011年3月公布之「十二五規劃」提出：未來經濟結構將由“出口導向型”轉為擴大內需（特別是消費）、加快發展服務業並進行結構調整，以培育新的經濟成長引擎。</w:t>
      </w:r>
    </w:p>
    <w:p w:rsidR="00CD5969" w:rsidRPr="00CD5969" w:rsidRDefault="00CD5969" w:rsidP="00273851">
      <w:pPr>
        <w:numPr>
          <w:ilvl w:val="0"/>
          <w:numId w:val="18"/>
        </w:numPr>
        <w:tabs>
          <w:tab w:val="left" w:pos="0"/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="1015" w:hanging="533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spacing w:val="-6"/>
          <w:kern w:val="0"/>
          <w:sz w:val="28"/>
          <w:szCs w:val="20"/>
        </w:rPr>
        <w:t>消費逐步成為主力：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就需求面觀察，2013年消費及投資對GDP成長的貢獻率分別為50.0%、54.4%；</w:t>
      </w:r>
      <w:r w:rsidR="00E166E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前3季消費的貢獻率是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>48.5%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，較投資貢獻的41.5%，高出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>7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個百分點（詳附圖2）。世界銀行表示：中國大陸經濟成長減緩降低對投資的依賴，消費將成為驅動中國大陸經濟成長的動能，並預估明年7.2%的經濟成長率中，消費將貢獻4.2個百分點，高於投資的2.8個百分點。</w:t>
      </w:r>
    </w:p>
    <w:p w:rsidR="00CD5969" w:rsidRPr="00CD5969" w:rsidRDefault="00CD5969" w:rsidP="00273851">
      <w:pPr>
        <w:numPr>
          <w:ilvl w:val="0"/>
          <w:numId w:val="18"/>
        </w:numPr>
        <w:tabs>
          <w:tab w:val="left" w:pos="0"/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spacing w:val="-6"/>
          <w:kern w:val="0"/>
          <w:sz w:val="28"/>
          <w:szCs w:val="20"/>
        </w:rPr>
        <w:t>服務業成為主體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：在產業結構方面，2013年中國大陸服務業占GDP比重達46.1%，30年來首次超越製造業（詳附圖3）；</w:t>
      </w:r>
      <w:r w:rsidR="00E166E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lastRenderedPageBreak/>
        <w:t>年前3季，服務業對GDP成長的貢獻達3.6個百分點，超過工業的3.3個百分點。世界銀行表示，隨著中國大陸經濟成長結構繼續從工業向服務業轉變，未來中國大陸服務業尚有成長空間。</w:t>
      </w:r>
    </w:p>
    <w:p w:rsidR="00CD5969" w:rsidRPr="00CD5969" w:rsidRDefault="00CD5969" w:rsidP="00273851">
      <w:pPr>
        <w:widowControl/>
        <w:numPr>
          <w:ilvl w:val="0"/>
          <w:numId w:val="23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創新驅動經濟</w:t>
      </w:r>
    </w:p>
    <w:p w:rsidR="00CD5969" w:rsidRPr="00CD5969" w:rsidRDefault="00CD5969" w:rsidP="00371A60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="426" w:firstLineChars="211" w:firstLine="565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鑒於創新能力不足，產業處於全球產業</w:t>
      </w:r>
      <w:proofErr w:type="gramStart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價值鏈底端</w:t>
      </w:r>
      <w:proofErr w:type="gramEnd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，形成產能過剩等問題，中國大陸於2012年11月召開之十八大會議中提出實施創新驅動發展戰略，以強化創新能量，加快轉變經濟發展方式。</w:t>
      </w:r>
    </w:p>
    <w:p w:rsidR="00CD5969" w:rsidRPr="00CD5969" w:rsidRDefault="00CD5969" w:rsidP="00273851">
      <w:pPr>
        <w:numPr>
          <w:ilvl w:val="0"/>
          <w:numId w:val="19"/>
        </w:num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spacing w:val="-6"/>
          <w:kern w:val="0"/>
          <w:sz w:val="28"/>
          <w:szCs w:val="20"/>
        </w:rPr>
        <w:t>創新取代投資驅動：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 xml:space="preserve">以往中國大陸經濟發展模式主要依賴資本投入驅動，資本存量占GDP比例在2000年-2008年於230%附近，但金融危機後大幅上升，2013年已升至275%。與此同時，投資報酬率近年來卻不斷下降。根據 JP Morgan </w:t>
      </w:r>
      <w:r w:rsidR="00E166E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年8月報告顯示，衡量投資效率的增量資本產出率（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 xml:space="preserve">Incremental 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c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>apital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-o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 xml:space="preserve">utput 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r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>atio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）從2006年的2.9大幅上升至2013年的6.6（詳附圖4），顯示，2013年同等產出需要的投資量較2006年增加一倍；資本報酬率則從2008年的17%降至2013年的8%（詳附圖5）；全要素生產力（TFP）的貢獻率從2008年的3.2%降至2013年的1.1%（詳附圖6）。IMF、世界銀行均指出此發展模式不可持續且易生信貸泡沫，未來中國大陸經濟發展動力將由投資轉向創新和技術進步。</w:t>
      </w:r>
    </w:p>
    <w:p w:rsidR="00CD5969" w:rsidRDefault="00CD5969" w:rsidP="00273851">
      <w:pPr>
        <w:numPr>
          <w:ilvl w:val="0"/>
          <w:numId w:val="19"/>
        </w:num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 w:cs="新細明體"/>
          <w:color w:val="000000"/>
          <w:spacing w:val="-6"/>
          <w:kern w:val="0"/>
          <w:sz w:val="27"/>
        </w:rPr>
      </w:pPr>
      <w:r w:rsidRPr="00CD5969">
        <w:rPr>
          <w:rFonts w:ascii="微軟正黑體" w:eastAsia="微軟正黑體" w:hAnsi="微軟正黑體" w:hint="eastAsia"/>
          <w:b/>
          <w:bCs/>
          <w:spacing w:val="-6"/>
          <w:kern w:val="0"/>
          <w:sz w:val="28"/>
          <w:szCs w:val="20"/>
        </w:rPr>
        <w:t>產品技術能量提升：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過去中國大陸藉由加工貿易出口方式，創造鉅額貿易順差來源，而出口商品技術含量不高。近來隨著產業結構調整與升級，高新技術產品出口明顯成長，2012年及2013年分別為9.6%和9.8%（詳附表1），皆高於整體商品出口成長率7.9%</w:t>
      </w:r>
      <w:r w:rsidRPr="00CD5969"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  <w:t>。</w:t>
      </w: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IMF在「中國大陸 2030」報告指出，面對勞動成本不斷上漲，中國大陸應將政策重心放在鼓勵製造業快速提升價值鏈與技術水準。</w:t>
      </w:r>
      <w:r w:rsidRPr="00CD5969">
        <w:rPr>
          <w:rFonts w:ascii="微軟正黑體" w:eastAsia="微軟正黑體" w:hAnsi="微軟正黑體" w:cs="新細明體"/>
          <w:color w:val="000000"/>
          <w:spacing w:val="-6"/>
          <w:kern w:val="0"/>
          <w:sz w:val="27"/>
        </w:rPr>
        <w:t xml:space="preserve"> </w:t>
      </w:r>
    </w:p>
    <w:p w:rsidR="005245C0" w:rsidRPr="00CD5969" w:rsidRDefault="005245C0" w:rsidP="005245C0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left="960"/>
        <w:jc w:val="both"/>
        <w:textAlignment w:val="center"/>
        <w:rPr>
          <w:rFonts w:ascii="微軟正黑體" w:eastAsia="微軟正黑體" w:hAnsi="微軟正黑體" w:cs="新細明體"/>
          <w:color w:val="000000"/>
          <w:spacing w:val="-6"/>
          <w:kern w:val="0"/>
          <w:sz w:val="27"/>
        </w:rPr>
      </w:pP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/>
          <w:b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kern w:val="0"/>
          <w:sz w:val="28"/>
          <w:szCs w:val="20"/>
        </w:rPr>
        <w:lastRenderedPageBreak/>
        <w:t>三、經濟新常態所伴隨的風險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《金融時報》於</w:t>
      </w:r>
      <w:r w:rsidR="00C83D95">
        <w:rPr>
          <w:rFonts w:ascii="微軟正黑體" w:eastAsia="微軟正黑體" w:hAnsi="微軟正黑體" w:hint="eastAsia"/>
          <w:bCs/>
          <w:kern w:val="0"/>
          <w:sz w:val="28"/>
          <w:szCs w:val="20"/>
        </w:rPr>
        <w:t>2014</w:t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年10月社論指出，中國大陸在經濟新常態下，隨著經濟成長速度趨緩，許多原來被掩蓋的風險開始暴露出來，分析如下：</w:t>
      </w:r>
    </w:p>
    <w:p w:rsidR="00CD5969" w:rsidRPr="00CD5969" w:rsidRDefault="00CD5969" w:rsidP="00273851">
      <w:pPr>
        <w:widowControl/>
        <w:numPr>
          <w:ilvl w:val="0"/>
          <w:numId w:val="24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經濟走緩擴大債務風險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為維持高速經濟成長，中國大陸地方政府普遍透過舉債盲目投資。雖近來中央嚴格控管地方債務，償還比例亦逐年下降（詳附表2），但地方政府仍以債養債，未來經濟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走緩恐進一步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影響政府償債能力，擴大債務風險。國際評等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機構惠譽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（Fitch）指出，自全球金融危機以來，中國大陸債務總額成長近一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倍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，占GDP的240%左右；預計償還的債務利息即高達1.7兆美元</w:t>
      </w:r>
      <w:r w:rsidRPr="00C0290F">
        <w:rPr>
          <w:rStyle w:val="a8"/>
          <w:rFonts w:cstheme="minorBidi"/>
          <w:szCs w:val="28"/>
        </w:rPr>
        <w:footnoteReference w:id="10"/>
      </w: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，遠超過2013年韓國（1.3兆美元）、墨西哥（1.26兆美元）和印尼（8,700億美元）等國的GDP。</w:t>
      </w:r>
    </w:p>
    <w:p w:rsidR="00CD5969" w:rsidRPr="00CD5969" w:rsidRDefault="00CD5969" w:rsidP="00273851">
      <w:pPr>
        <w:widowControl/>
        <w:numPr>
          <w:ilvl w:val="0"/>
          <w:numId w:val="24"/>
        </w:numPr>
        <w:tabs>
          <w:tab w:val="left" w:pos="567"/>
        </w:tabs>
        <w:autoSpaceDE w:val="0"/>
        <w:snapToGrid w:val="0"/>
        <w:spacing w:beforeLines="25" w:before="90" w:afterLines="25" w:after="90" w:line="480" w:lineRule="exact"/>
        <w:ind w:left="363" w:hanging="482"/>
        <w:jc w:val="both"/>
        <w:rPr>
          <w:rFonts w:ascii="微軟正黑體" w:eastAsia="微軟正黑體" w:hAnsi="微軟正黑體"/>
          <w:b/>
          <w:sz w:val="28"/>
          <w:szCs w:val="30"/>
        </w:rPr>
      </w:pP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結構</w:t>
      </w:r>
      <w:r w:rsidR="00353FEE">
        <w:rPr>
          <w:rFonts w:ascii="微軟正黑體" w:eastAsia="微軟正黑體" w:hAnsi="微軟正黑體" w:hint="eastAsia"/>
          <w:b/>
          <w:sz w:val="28"/>
          <w:szCs w:val="30"/>
        </w:rPr>
        <w:t>調整</w:t>
      </w:r>
      <w:r w:rsidRPr="00CD5969">
        <w:rPr>
          <w:rFonts w:ascii="微軟正黑體" w:eastAsia="微軟正黑體" w:hAnsi="微軟正黑體" w:hint="eastAsia"/>
          <w:b/>
          <w:sz w:val="28"/>
          <w:szCs w:val="30"/>
        </w:rPr>
        <w:t>加速房地產失速風險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房地產行業是中國大陸經濟成長的重要引擎，以2013年為例，房地產投資占GDP比重20.2%，占總投資25.8%，對GDP成長貢獻為14.0%，拉動GDP 1.08個百分點，而近期中國大陸經濟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走緩主因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之一，就是房地產市場的調整。面對經濟走緩的新常態，中國大陸持續推動消費做為驅動經濟成長的主要引擎，以擺脫對投資（特別是房地產）的依賴，此舉也將促使房地產市場持續走弱。IMF 2014年評估報告指出，房地產投資下降會嚴重影響中國大陸金融和實體活動，房地產投資下降10%將導致GDP成長下降1個百分點，顯示結構轉變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恐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加速房地產失速風險。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/>
          <w:b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cstheme="minorBidi"/>
          <w:bCs/>
          <w:sz w:val="28"/>
          <w:szCs w:val="22"/>
        </w:rPr>
        <w:br w:type="page"/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jc w:val="both"/>
        <w:textAlignment w:val="center"/>
        <w:rPr>
          <w:rFonts w:ascii="微軟正黑體" w:eastAsia="微軟正黑體" w:hAnsi="微軟正黑體"/>
          <w:spacing w:val="-6"/>
          <w:kern w:val="0"/>
          <w:sz w:val="27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kern w:val="0"/>
          <w:sz w:val="28"/>
          <w:szCs w:val="20"/>
        </w:rPr>
        <w:lastRenderedPageBreak/>
        <w:t>四、結語</w:t>
      </w:r>
    </w:p>
    <w:p w:rsidR="00CD5969" w:rsidRPr="00CD5969" w:rsidRDefault="00CD5969" w:rsidP="00371A60">
      <w:pPr>
        <w:tabs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25" w:before="90" w:afterLines="25" w:after="90" w:line="480" w:lineRule="exact"/>
        <w:ind w:firstLineChars="200" w:firstLine="560"/>
        <w:textAlignment w:val="center"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IMF在「中國大陸2030」報告指出，中國大陸經濟成長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放緩主因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是生產力成長增幅與投資效率越來越低，這是結構性因素。在經濟新常態下，消費為主力、服務業成為經濟主體的結構轉變、創新取代投資成為驅動經濟的主要動能，都將成為必然趨勢，債務及房地產風險也將陸續浮現。當然中國大陸經濟減速的新常態下，對全球經濟勢必產生衝擊。IMF於2014年4月報告中指出，中國大陸經濟成長率下降1個百分點，亞洲經濟體經濟成長將下降0.3%，非亞洲經濟體下降0.15%。鑒於兩岸經貿往來密切，中國大陸是臺灣第一大貿易地區，中國大陸此波經濟成長「</w:t>
      </w:r>
      <w:proofErr w:type="gramStart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降速增質</w:t>
      </w:r>
      <w:proofErr w:type="gramEnd"/>
      <w:r w:rsidRPr="00CD5969">
        <w:rPr>
          <w:rFonts w:ascii="微軟正黑體" w:eastAsia="微軟正黑體" w:hAnsi="微軟正黑體" w:hint="eastAsia"/>
          <w:bCs/>
          <w:kern w:val="0"/>
          <w:sz w:val="28"/>
          <w:szCs w:val="20"/>
        </w:rPr>
        <w:t>」的趨勢勢必影響臺灣經濟，將密切觀察後續發展。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/>
          <w:bCs/>
          <w:kern w:val="0"/>
          <w:sz w:val="28"/>
          <w:szCs w:val="20"/>
        </w:rPr>
      </w:pPr>
      <w:r w:rsidRPr="00CD5969">
        <w:rPr>
          <w:rFonts w:ascii="微軟正黑體" w:eastAsia="微軟正黑體" w:hAnsi="微軟正黑體" w:cstheme="minorBidi"/>
          <w:b/>
          <w:bCs/>
          <w:sz w:val="28"/>
          <w:szCs w:val="22"/>
        </w:rPr>
        <w:br w:type="page"/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/>
          <w:b/>
          <w:bCs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20410" wp14:editId="29C2C544">
                <wp:simplePos x="0" y="0"/>
                <wp:positionH relativeFrom="column">
                  <wp:posOffset>-1270</wp:posOffset>
                </wp:positionH>
                <wp:positionV relativeFrom="paragraph">
                  <wp:posOffset>186690</wp:posOffset>
                </wp:positionV>
                <wp:extent cx="304800" cy="1403985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E8015E" w:rsidRDefault="00B34435" w:rsidP="00CD59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01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1pt;margin-top:14.7pt;width:2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4GNQIAACAEAAAOAAAAZHJzL2Uyb0RvYy54bWysU12O0zAQfkfiDpbfadJuC23UdLV0KUJa&#10;fqSFA7iO01jYHmO7TcoFkDjA8swBOAAH2j0HY6fbLfCGyIM1k5n5/M034/l5pxXZCeclmJIOBzkl&#10;wnCopNmU9MP71ZMpJT4wUzEFRpR0Lzw9Xzx+NG9tIUbQgKqEIwhifNHakjYh2CLLPG+EZn4AVhgM&#10;1uA0C+i6TVY51iK6Vtkoz59mLbjKOuDCe/x72QfpIuHXteDhbV17EYgqKXIL6XTpXMczW8xZsXHM&#10;NpIfaLB/YKGZNHjpEeqSBUa2Tv4FpSV34KEOAw46g7qWXKQesJth/kc31w2zIvWC4nh7lMn/P1j+&#10;ZvfOEVnh7CaUGKZxRnc3X25/fLu7+Xn7/SsZRYla6wvMvLaYG7rn0GF6atfbK+AfPTGwbJjZiAvn&#10;oG0Eq5DiMFZmJ6U9jo8g6/Y1VHgV2wZIQF3tdNQPFSGIjqPaH8cjukA4/jzLx9McIxxDw3F+NptO&#10;0hWsuK+2zoeXAjSJRkkdjj+hs92VD5ENK+5T4mUelKxWUqnkuM16qRzZMVyVVfoO6L+lKUPaks4m&#10;o0lCNhDr0xZpGXCVldQlRZr4xXJWRDVemCrZgUnV28hEmYM8UZFem9CtO0yMmq2h2qNQDvqVxSeG&#10;RgPuMyUtrmtJ/actc4IS9cqg2LPheBz3OznjybMROu40sj6NMMMRqqSBkt5chvQmkg72Aoeykkmv&#10;ByYHrriGScbDk4l7fuqnrIeHvfgFAAD//wMAUEsDBBQABgAIAAAAIQDmgpuO2wAAAAcBAAAPAAAA&#10;ZHJzL2Rvd25yZXYueG1sTI/NTsMwEITvSLyDtUjcWoeogRLiVBUVFw5IFCR6dONNHOE/2W4a3p7l&#10;RI+jGc1802xma9iEMY3eCbhbFsDQdV6NbhDw+fGyWANLWToljXco4AcTbNrrq0bWyp/dO077PDAq&#10;camWAnTOoeY8dRqtTEsf0JHX+2hlJhkHrqI8U7k1vCyKe27l6GhBy4DPGrvv/ckK+LJ6VLv4duiV&#10;mXav/bYKcwxC3N7M2ydgGef8H4Y/fEKHlpiO/uRUYkbAoqSggPJxBYzs1QMdOZKuigp42/BL/vYX&#10;AAD//wMAUEsBAi0AFAAGAAgAAAAhALaDOJL+AAAA4QEAABMAAAAAAAAAAAAAAAAAAAAAAFtDb250&#10;ZW50X1R5cGVzXS54bWxQSwECLQAUAAYACAAAACEAOP0h/9YAAACUAQAACwAAAAAAAAAAAAAAAAAv&#10;AQAAX3JlbHMvLnJlbHNQSwECLQAUAAYACAAAACEA4NyOBjUCAAAgBAAADgAAAAAAAAAAAAAAAAAu&#10;AgAAZHJzL2Uyb0RvYy54bWxQSwECLQAUAAYACAAAACEA5oKbjtsAAAAHAQAADwAAAAAAAAAAAAAA&#10;AACPBAAAZHJzL2Rvd25yZXYueG1sUEsFBgAAAAAEAAQA8wAAAJcFAAAAAA==&#10;" stroked="f">
                <v:textbox style="mso-fit-shape-to-text:t">
                  <w:txbxContent>
                    <w:p w:rsidR="00B34435" w:rsidRPr="00E8015E" w:rsidRDefault="00B34435" w:rsidP="00CD5969">
                      <w:pPr>
                        <w:rPr>
                          <w:sz w:val="20"/>
                          <w:szCs w:val="20"/>
                        </w:rPr>
                      </w:pPr>
                      <w:r w:rsidRPr="00E8015E">
                        <w:rPr>
                          <w:rFonts w:hint="eastAsia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CD5969">
        <w:rPr>
          <w:rFonts w:ascii="微軟正黑體" w:eastAsia="微軟正黑體" w:hAnsi="微軟正黑體" w:cstheme="min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1677E1" wp14:editId="6901B2BA">
                <wp:simplePos x="0" y="0"/>
                <wp:positionH relativeFrom="column">
                  <wp:posOffset>5361305</wp:posOffset>
                </wp:positionH>
                <wp:positionV relativeFrom="paragraph">
                  <wp:posOffset>1699260</wp:posOffset>
                </wp:positionV>
                <wp:extent cx="54102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6E0E6A" w:rsidRDefault="00B34435" w:rsidP="00CD596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0E6A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8.0%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2.15pt;margin-top:133.8pt;width:42.6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sYJQIAAP8DAAAOAAAAZHJzL2Uyb0RvYy54bWysU11uEzEQfkfiDpbfye6mCU1W2VSlJQip&#10;/EiFAzheb9bC9hjbyW65ABIHKM8cgANwoPYcjL1pGsEbYh8se8fzzXzffF6c9VqRnXBegqloMcop&#10;EYZDLc2moh8/rJ7NKPGBmZopMKKiN8LTs+XTJ4vOlmIMLahaOIIgxpedrWgbgi2zzPNWaOZHYIXB&#10;YANOs4BHt8lqxzpE1yob5/nzrANXWwdceI9/L4cgXSb8phE8vGsaLwJRFcXeQlpdWtdxzZYLVm4c&#10;s63k+zbYP3ShmTRY9AB1yQIjWyf/gtKSO/DQhBEHnUHTSC4SB2RT5H+wuW6ZFYkLiuPtQSb//2D5&#10;2917R2Rd0ZP8lBLDNA7p/vbr3c/v97e/7n58I+OoUWd9iVevLV4O/QvocdaJr7dXwD95YuCiZWYj&#10;zp2DrhWsxh6LmJkdpQ44PoKsuzdQYym2DZCA+sbpKCBKQhAdZ3VzmI/oA+H4czop8jFGOIaKSX4y&#10;n01TCVY+ZFvnwysBmsRNRR3OP6Gz3ZUPsRtWPlyJxQyspFLJA8qQrqLz6XiaEo4iWga0qJK6orM8&#10;foNpIsmXpk7JgUk17LGAMnvWkehAOfTrPomcJImKrKG+QRkcDI7EF4SbFtwXSjp0Y0X95y1zghL1&#10;2qCU82IyifZNh8n0NKrgjiPr4wgzHKEqGigZthchWT5S9vYcJV/JpMZjJ/uW0WVJpP2LiDY+Pqdb&#10;j+92+RsAAP//AwBQSwMEFAAGAAgAAAAhAB0oIIrgAAAACwEAAA8AAABkcnMvZG93bnJldi54bWxM&#10;j01Pg0AURfcm/ofJM3FnBxGBUh5NY9q6rFbS9ZR5ApH5CDOl+O8dV7p8uSf3nleuZzWwiUbXG43w&#10;uIiAkW6M7HWLUH/sHnJgzgstxWA0IXyTg3V1e1OKQpqrfqfp6FsWSrQrBELnvS04d01HSriFsaRD&#10;9mlGJXw4x5bLUVxDuRp4HEUpV6LXYaETll46ar6OF4Vgvd1nr+PhbbPdTVF92tdx324R7+/mzQqY&#10;p9n/wfCrH9ShCk5nc9HSsQEhT5KngCLEaZYCC8QyXj4DOyMkeZ4Br0r+/4fqBwAA//8DAFBLAQIt&#10;ABQABgAIAAAAIQC2gziS/gAAAOEBAAATAAAAAAAAAAAAAAAAAAAAAABbQ29udGVudF9UeXBlc10u&#10;eG1sUEsBAi0AFAAGAAgAAAAhADj9If/WAAAAlAEAAAsAAAAAAAAAAAAAAAAALwEAAF9yZWxzLy5y&#10;ZWxzUEsBAi0AFAAGAAgAAAAhAIbxSxglAgAA/wMAAA4AAAAAAAAAAAAAAAAALgIAAGRycy9lMm9E&#10;b2MueG1sUEsBAi0AFAAGAAgAAAAhAB0oIIrgAAAACwEAAA8AAAAAAAAAAAAAAAAAfwQAAGRycy9k&#10;b3ducmV2LnhtbFBLBQYAAAAABAAEAPMAAACMBQAAAAA=&#10;" filled="f" stroked="f">
                <v:textbox style="mso-fit-shape-to-text:t">
                  <w:txbxContent>
                    <w:p w:rsidR="00B34435" w:rsidRPr="006E0E6A" w:rsidRDefault="00B34435" w:rsidP="00CD5969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E0E6A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8.0%</w:t>
                      </w:r>
                    </w:p>
                  </w:txbxContent>
                </v:textbox>
              </v:shape>
            </w:pict>
          </mc:Fallback>
        </mc:AlternateContent>
      </w:r>
      <w:r w:rsidRPr="00CD5969">
        <w:rPr>
          <w:rFonts w:ascii="微軟正黑體" w:eastAsia="微軟正黑體" w:hAnsi="微軟正黑體" w:cstheme="minorBidi" w:hint="eastAsia"/>
          <w:bCs/>
          <w:noProof/>
          <w:sz w:val="32"/>
          <w:szCs w:val="32"/>
        </w:rPr>
        <w:drawing>
          <wp:inline distT="0" distB="0" distL="0" distR="0" wp14:anchorId="0132680F" wp14:editId="05CEBCCD">
            <wp:extent cx="5585460" cy="3078480"/>
            <wp:effectExtent l="0" t="0" r="0" b="0"/>
            <wp:docPr id="31" name="圖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D5969" w:rsidRPr="00CD5969" w:rsidRDefault="00CD5969" w:rsidP="00CD5969">
      <w:pPr>
        <w:widowControl/>
        <w:jc w:val="center"/>
        <w:rPr>
          <w:rFonts w:ascii="微軟正黑體" w:eastAsia="微軟正黑體" w:hAnsi="微軟正黑體" w:cstheme="minorBidi"/>
          <w:bCs/>
          <w:sz w:val="28"/>
          <w:szCs w:val="28"/>
        </w:rPr>
      </w:pPr>
      <w:r w:rsidRPr="00CD5969">
        <w:rPr>
          <w:rFonts w:ascii="微軟正黑體" w:eastAsia="微軟正黑體" w:hAnsi="微軟正黑體" w:cstheme="minorBidi" w:hint="eastAsia"/>
          <w:bCs/>
          <w:sz w:val="28"/>
          <w:szCs w:val="28"/>
        </w:rPr>
        <w:t>附圖1 中國大陸各年GDP成長率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20"/>
          <w:szCs w:val="22"/>
        </w:rPr>
      </w:pPr>
      <w:r w:rsidRPr="00CD5969">
        <w:rPr>
          <w:rFonts w:ascii="微軟正黑體" w:eastAsia="微軟正黑體" w:hAnsi="微軟正黑體" w:cstheme="minorBidi" w:hint="eastAsia"/>
          <w:bCs/>
          <w:sz w:val="20"/>
          <w:szCs w:val="22"/>
        </w:rPr>
        <w:t>資料來源：中國大陸國家統計局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/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2DC489" wp14:editId="61D9ACB9">
                <wp:simplePos x="0" y="0"/>
                <wp:positionH relativeFrom="column">
                  <wp:posOffset>236220</wp:posOffset>
                </wp:positionH>
                <wp:positionV relativeFrom="paragraph">
                  <wp:posOffset>140970</wp:posOffset>
                </wp:positionV>
                <wp:extent cx="320040" cy="1403985"/>
                <wp:effectExtent l="0" t="0" r="381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473C1D" w:rsidRDefault="00B34435" w:rsidP="00CD59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7" o:spid="_x0000_s1028" type="#_x0000_t202" style="position:absolute;margin-left:18.6pt;margin-top:11.1pt;width:25.2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HMOAIAACgEAAAOAAAAZHJzL2Uyb0RvYy54bWysU11uEzEQfkfiDpbfySZpQpNVNlVJCUIq&#10;P1LhAF6vN2the4ztZLdcoBIHKM8cgANwoPYcjL1pGuAN4QdrxjPzeeabmcVZpxXZCeclmIKOBkNK&#10;hOFQSbMp6McP62czSnxgpmIKjCjotfD0bPn0yaK1uRhDA6oSjiCI8XlrC9qEYPMs87wRmvkBWGHQ&#10;WIPTLKDqNlnlWIvoWmXj4fB51oKrrAMuvMfXi95Ilwm/rgUP7+rai0BUQTG3kG6X7jLe2XLB8o1j&#10;tpF8nwb7hyw0kwY/PUBdsMDI1sm/oLTkDjzUYcBBZ1DXkotUA1YzGv5RzVXDrEi1IDneHmjy/w+W&#10;v929d0RWBR2fUmKYxh7d397c/fh2f/vz7vtXgs/IUWt9jq5XFp1D9wI67HWq19tL4J88MbBqmNmI&#10;c+egbQSrMMdRjMyOQnscH0HK9g1U+BfbBkhAXe10JBApIYiOvbo+9Ed0gXB8PMGOT9DC0TSaDE/m&#10;s2n6guUP0db58EqAJlEoqMP+J3S2u/QhZsPyB5f4mQclq7VUKiluU66UIzuGs7JOZ4/+m5sypC3o&#10;fDqeJmQDMT6NkZYBZ1lJXdDZMJ4YzvLIxktTJTkwqXoZM1FmT09kpOcmdGXXdyPGRupKqK6RLwf9&#10;6OKqodCA+0JJi2NbUP95y5ygRL02yPl8NIkMhaRMpqdjVNyxpTy2MMMRqqCBkl5chbQbiQ57jr1Z&#10;y0TbYyb7lHEcE5v71Ynzfqwnr8cFX/4CAAD//wMAUEsDBBQABgAIAAAAIQATkkF43QAAAAgBAAAP&#10;AAAAZHJzL2Rvd25yZXYueG1sTI/BTsMwEETvSPyDtUjcqEMCbZXGqSoqLhyQKEj06MZOHGGvLdtN&#10;w9+znOC0Gs1o9k2znZ1lk45p9CjgflEA09h5NeIg4OP9+W4NLGWJSlqPWsC3TrBtr68aWSt/wTc9&#10;HfLAqARTLQWYnEPNeeqMdjItfNBIXu+jk5lkHLiK8kLlzvKyKJbcyRHpg5FBPxndfR3OTsCnM6Pa&#10;x9djr+y0f+l3j2GOQYjbm3m3AZb1nP/C8ItP6NAS08mfUSVmBVSrkpICypIu+evVEtiJ9ENVAW8b&#10;/n9A+wMAAP//AwBQSwECLQAUAAYACAAAACEAtoM4kv4AAADhAQAAEwAAAAAAAAAAAAAAAAAAAAAA&#10;W0NvbnRlbnRfVHlwZXNdLnhtbFBLAQItABQABgAIAAAAIQA4/SH/1gAAAJQBAAALAAAAAAAAAAAA&#10;AAAAAC8BAABfcmVscy8ucmVsc1BLAQItABQABgAIAAAAIQDB0DHMOAIAACgEAAAOAAAAAAAAAAAA&#10;AAAAAC4CAABkcnMvZTJvRG9jLnhtbFBLAQItABQABgAIAAAAIQATkkF43QAAAAgBAAAPAAAAAAAA&#10;AAAAAAAAAJIEAABkcnMvZG93bnJldi54bWxQSwUGAAAAAAQABADzAAAAnAUAAAAA&#10;" stroked="f">
                <v:textbox style="mso-fit-shape-to-text:t">
                  <w:txbxContent>
                    <w:p w:rsidR="00B34435" w:rsidRPr="00473C1D" w:rsidRDefault="00B34435" w:rsidP="00CD59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/>
          <w:noProof/>
          <w:szCs w:val="22"/>
        </w:rPr>
        <w:drawing>
          <wp:anchor distT="0" distB="0" distL="114300" distR="114300" simplePos="0" relativeHeight="251703296" behindDoc="1" locked="0" layoutInCell="1" allowOverlap="1" wp14:anchorId="76C41B7B" wp14:editId="5C5F3B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72100" cy="3451860"/>
            <wp:effectExtent l="0" t="0" r="0" b="0"/>
            <wp:wrapTight wrapText="bothSides">
              <wp:wrapPolygon edited="0">
                <wp:start x="536" y="596"/>
                <wp:lineTo x="536" y="2503"/>
                <wp:lineTo x="1072" y="2742"/>
                <wp:lineTo x="4213" y="2742"/>
                <wp:lineTo x="919" y="3576"/>
                <wp:lineTo x="919" y="4172"/>
                <wp:lineTo x="4596" y="4649"/>
                <wp:lineTo x="1149" y="5007"/>
                <wp:lineTo x="843" y="5126"/>
                <wp:lineTo x="843" y="8344"/>
                <wp:lineTo x="996" y="8464"/>
                <wp:lineTo x="2528" y="8464"/>
                <wp:lineTo x="843" y="9536"/>
                <wp:lineTo x="843" y="9775"/>
                <wp:lineTo x="2528" y="10371"/>
                <wp:lineTo x="996" y="10728"/>
                <wp:lineTo x="843" y="10848"/>
                <wp:lineTo x="843" y="14066"/>
                <wp:lineTo x="996" y="14185"/>
                <wp:lineTo x="2528" y="14185"/>
                <wp:lineTo x="1149" y="15139"/>
                <wp:lineTo x="1149" y="15616"/>
                <wp:lineTo x="2681" y="16093"/>
                <wp:lineTo x="2221" y="16450"/>
                <wp:lineTo x="1685" y="17762"/>
                <wp:lineTo x="1762" y="18238"/>
                <wp:lineTo x="18383" y="19430"/>
                <wp:lineTo x="18766" y="19430"/>
                <wp:lineTo x="18843" y="19192"/>
                <wp:lineTo x="19685" y="18000"/>
                <wp:lineTo x="20528" y="16331"/>
                <wp:lineTo x="20451" y="10371"/>
                <wp:lineTo x="21447" y="9179"/>
                <wp:lineTo x="21447" y="8821"/>
                <wp:lineTo x="20451" y="8464"/>
                <wp:lineTo x="20987" y="7272"/>
                <wp:lineTo x="3217" y="6556"/>
                <wp:lineTo x="5898" y="4649"/>
                <wp:lineTo x="6051" y="2384"/>
                <wp:lineTo x="5438" y="2026"/>
                <wp:lineTo x="1991" y="596"/>
                <wp:lineTo x="536" y="596"/>
              </wp:wrapPolygon>
            </wp:wrapTight>
            <wp:docPr id="288" name="圖表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360" w:lineRule="auto"/>
        <w:ind w:left="284" w:firstLineChars="2" w:firstLine="5"/>
        <w:jc w:val="center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附圖2 中國大陸消費和投資對GDP成長貢獻率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 w:hint="eastAsia"/>
          <w:bCs/>
          <w:sz w:val="20"/>
          <w:szCs w:val="22"/>
        </w:rPr>
        <w:t>資料來源：中國大陸國家統計局</w:t>
      </w:r>
    </w:p>
    <w:p w:rsidR="00C0290F" w:rsidRDefault="00C0290F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/>
          <w:b/>
          <w:bCs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F4B157" wp14:editId="78443E3A">
                <wp:simplePos x="0" y="0"/>
                <wp:positionH relativeFrom="column">
                  <wp:posOffset>-1270</wp:posOffset>
                </wp:positionH>
                <wp:positionV relativeFrom="paragraph">
                  <wp:posOffset>426720</wp:posOffset>
                </wp:positionV>
                <wp:extent cx="304800" cy="1403985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E8015E" w:rsidRDefault="00B34435" w:rsidP="00CD59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01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.1pt;margin-top:33.6pt;width:24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UROQIAACcEAAAOAAAAZHJzL2Uyb0RvYy54bWysU12O0zAQfkfiDpbfadK/pY2arpYuRUjL&#10;j7RwAMdxGgvHY2y3SbnAShxgeeYAHIAD7Z6DsdPtFnhD5MGaycx8/uab8eK8axTZCesk6JwOBykl&#10;QnMopd7k9OOH9bMZJc4zXTIFWuR0Lxw9Xz59smhNJkZQgyqFJQiiXdaanNbemyxJHK9Fw9wAjNAY&#10;rMA2zKNrN0lpWYvojUpGaXqWtGBLY4EL5/DvZR+ky4hfVYL7d1XlhCcqp8jNx9PGswhnslywbGOZ&#10;qSU/0GD/wKJhUuOlR6hL5hnZWvkXVCO5BQeVH3BoEqgqyUXsAbsZpn90c10zI2IvKI4zR5nc/4Pl&#10;b3fvLZElzu6MEs0anNH97c3dj2/3tz/vvn8loyBRa1yGmdcGc333AjpMj+06cwX8kyMaVjXTG3Fh&#10;LbS1YCVSHIbK5KS0x3EBpGjfQIlXsa2HCNRVtgn6oSIE0XFU++N4ROcJx5/jdDJLMcIxNJyk4/ls&#10;Gq9g2UO1sc6/EtCQYOTU4vgjOttdOR/YsOwhJVzmQMlyLZWKjt0UK2XJjuGqrON3QP8tTWnS5nQ+&#10;HU0jsoZQH7eokR5XWckmp0gTv1DOsqDGS11G2zOpehuZKH2QJyjSa+O7oovDGIfaIF0B5R71stBv&#10;Lr40NGqwXyhpcWtz6j5vmRWUqNcaNZ8PJ5Ow5tGZTJ+P0LGnkeI0wjRHqJx6Snpz5ePTiHKYC5zN&#10;WkbZHpkcKOM2RjUPLyes+6kfsx7f9/IXAAAA//8DAFBLAwQUAAYACAAAACEAHQhZ3N0AAAAHAQAA&#10;DwAAAGRycy9kb3ducmV2LnhtbEyPzU7DMBCE70i8g7VI3FqHAG2UZlNVVFw4IFGQ6NGNnTjCf7Ld&#10;NLw9ywlOo9WMZr5ttrM1bFIxjd4h3C0LYMp1Xo5uQPh4f15UwFIWTgrjnUL4Vgm27fVVI2rpL+5N&#10;TYc8MCpxqRYIOudQc546raxISx+UI6/30YpMZxy4jOJC5dbwsihW3IrR0YIWQT1p1X0dzhbh0+pR&#10;7uPrsZdm2r/0u8cwx4B4ezPvNsCymvNfGH7xCR1aYjr5s5OJGYRFSUGE1ZqU7Ic1PXJCKKvqHnjb&#10;8P/87Q8AAAD//wMAUEsBAi0AFAAGAAgAAAAhALaDOJL+AAAA4QEAABMAAAAAAAAAAAAAAAAAAAAA&#10;AFtDb250ZW50X1R5cGVzXS54bWxQSwECLQAUAAYACAAAACEAOP0h/9YAAACUAQAACwAAAAAAAAAA&#10;AAAAAAAvAQAAX3JlbHMvLnJlbHNQSwECLQAUAAYACAAAACEAe98FETkCAAAnBAAADgAAAAAAAAAA&#10;AAAAAAAuAgAAZHJzL2Uyb0RvYy54bWxQSwECLQAUAAYACAAAACEAHQhZ3N0AAAAHAQAADwAAAAAA&#10;AAAAAAAAAACTBAAAZHJzL2Rvd25yZXYueG1sUEsFBgAAAAAEAAQA8wAAAJ0FAAAAAA==&#10;" stroked="f">
                <v:textbox style="mso-fit-shape-to-text:t">
                  <w:txbxContent>
                    <w:p w:rsidR="00B34435" w:rsidRPr="00E8015E" w:rsidRDefault="00B34435" w:rsidP="00CD5969">
                      <w:pPr>
                        <w:rPr>
                          <w:sz w:val="20"/>
                          <w:szCs w:val="20"/>
                        </w:rPr>
                      </w:pPr>
                      <w:r w:rsidRPr="00E8015E">
                        <w:rPr>
                          <w:rFonts w:hint="eastAsia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3E12BF" wp14:editId="046215A9">
                <wp:simplePos x="0" y="0"/>
                <wp:positionH relativeFrom="column">
                  <wp:posOffset>2448560</wp:posOffset>
                </wp:positionH>
                <wp:positionV relativeFrom="paragraph">
                  <wp:posOffset>1691005</wp:posOffset>
                </wp:positionV>
                <wp:extent cx="707390" cy="14039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822C3E" w:rsidRDefault="00B34435" w:rsidP="00CD5969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 w:rsidRPr="00822C3E">
                              <w:rPr>
                                <w:rFonts w:hint="eastAsia"/>
                                <w:b/>
                                <w:color w:val="548DD4" w:themeColor="text2" w:themeTint="99"/>
                              </w:rPr>
                              <w:t>農業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2.8pt;margin-top:133.15pt;width:55.7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NJgIAAP4DAAAOAAAAZHJzL2Uyb0RvYy54bWysU12O0zAQfkfiDpbfadJuy7ZR09WySxHS&#10;8iMtHMB1nMbC9hjbbVIusBIHWJ45AAfgQLvnYOy0pYI3RB4sO+P5Zr5vPs8vOq3IVjgvwZR0OMgp&#10;EYZDJc26pB8/LJ9NKfGBmYopMKKkO+HpxeLpk3lrCzGCBlQlHEEQ44vWlrQJwRZZ5nkjNPMDsMJg&#10;sAanWcCjW2eVYy2ia5WN8vx51oKrrAMuvMe/132QLhJ+XQse3tW1F4GokmJvIa0urau4Zos5K9aO&#10;2UbyfRvsH7rQTBoseoS6ZoGRjZN/QWnJHXiow4CDzqCuJReJA7IZ5n+wuW2YFYkLiuPtUSb//2D5&#10;2+17R2RV0hFOyjCNM3q8v3v48e3x/ufD969kFCVqrS/w5q3Fu6F7AR2OOtH19gb4J08MXDXMrMWl&#10;c9A2glXY4jBmZiepPY6PIKv2DVRYim0CJKCudjrqh4oQRMdR7Y7jEV0gHH+e5+dnM4xwDA3H+dls&#10;OkklWHHIts6HVwI0iZuSOhx/QmfbGx9iN6w4XInFDCylUskCypC2pLPJaJISTiJaBnSokrqk0zx+&#10;vWciyZemSsmBSdXvsYAye9aRaE85dKsuaTw+iLmCaocyOOgNiQ8INw24L5S0aMaS+s8b5gQl6rVB&#10;KWfD8Ti6Nx3Gk/MRHtxpZHUaYYYjVEkDJf32KiTHR8reXqLkS5nUiLPpO9m3jCZLIu0fRHTx6Tnd&#10;+v1sF78AAAD//wMAUEsDBBQABgAIAAAAIQDBeS0p4AAAAAsBAAAPAAAAZHJzL2Rvd25yZXYueG1s&#10;TI/LTsMwEEX3SPyDNUjsqENakhDiVBVqy7JQItZuPCQR8UO2m4a/Z1jBbkZzdOfcaj3rkU3ow2CN&#10;gPtFAgxNa9VgOgHN++6uABaiNEqO1qCAbwywrq+vKlkqezFvOB1jxyjEhFIK6GN0Jeeh7VHLsLAO&#10;Dd0+rdcy0uo7rry8ULgeeZokGddyMPShlw6fe2y/jmctwEW3z1/84XWz3U1J87Fv0qHbCnF7M2+e&#10;gEWc4x8Mv/qkDjU5nezZqMBGAcviISNUQJplS2BErB5zaneiochXwOuK/+9Q/wAAAP//AwBQSwEC&#10;LQAUAAYACAAAACEAtoM4kv4AAADhAQAAEwAAAAAAAAAAAAAAAAAAAAAAW0NvbnRlbnRfVHlwZXNd&#10;LnhtbFBLAQItABQABgAIAAAAIQA4/SH/1gAAAJQBAAALAAAAAAAAAAAAAAAAAC8BAABfcmVscy8u&#10;cmVsc1BLAQItABQABgAIAAAAIQCiLgINJgIAAP4DAAAOAAAAAAAAAAAAAAAAAC4CAABkcnMvZTJv&#10;RG9jLnhtbFBLAQItABQABgAIAAAAIQDBeS0p4AAAAAsBAAAPAAAAAAAAAAAAAAAAAIAEAABkcnMv&#10;ZG93bnJldi54bWxQSwUGAAAAAAQABADzAAAAjQUAAAAA&#10;" filled="f" stroked="f">
                <v:textbox style="mso-fit-shape-to-text:t">
                  <w:txbxContent>
                    <w:p w:rsidR="00B34435" w:rsidRPr="00822C3E" w:rsidRDefault="00B34435" w:rsidP="00CD5969">
                      <w:pPr>
                        <w:rPr>
                          <w:b/>
                          <w:color w:val="548DD4" w:themeColor="text2" w:themeTint="99"/>
                        </w:rPr>
                      </w:pPr>
                      <w:r w:rsidRPr="00822C3E">
                        <w:rPr>
                          <w:rFonts w:hint="eastAsia"/>
                          <w:b/>
                          <w:color w:val="548DD4" w:themeColor="text2" w:themeTint="99"/>
                        </w:rPr>
                        <w:t>農業</w:t>
                      </w:r>
                    </w:p>
                  </w:txbxContent>
                </v:textbox>
              </v:shape>
            </w:pict>
          </mc:Fallback>
        </mc:AlternateContent>
      </w:r>
      <w:r w:rsidRPr="00CD5969">
        <w:rPr>
          <w:rFonts w:ascii="微軟正黑體" w:eastAsia="微軟正黑體" w:hAnsi="微軟正黑體" w:cstheme="min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E5B9EE" wp14:editId="251AA885">
                <wp:simplePos x="0" y="0"/>
                <wp:positionH relativeFrom="column">
                  <wp:posOffset>2395855</wp:posOffset>
                </wp:positionH>
                <wp:positionV relativeFrom="paragraph">
                  <wp:posOffset>1186452</wp:posOffset>
                </wp:positionV>
                <wp:extent cx="707390" cy="1403985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822C3E" w:rsidRDefault="00B34435" w:rsidP="00CD5969">
                            <w:pPr>
                              <w:rPr>
                                <w:b/>
                                <w:color w:val="006600"/>
                              </w:rPr>
                            </w:pPr>
                            <w:r w:rsidRPr="00822C3E">
                              <w:rPr>
                                <w:rFonts w:hint="eastAsia"/>
                                <w:b/>
                                <w:color w:val="006600"/>
                              </w:rPr>
                              <w:t>服務業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88.65pt;margin-top:93.4pt;width:55.7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+/JQIAAP4DAAAOAAAAZHJzL2Uyb0RvYy54bWysU12O0zAQfkfiDpbfadJuS9uo6WrZpQhp&#10;+ZEWDuA6TmNhe4ztNikXQOIAyzMH4AAcaPccjJ1ut4I3RB4sO+P5Zr5vPi/OO63ITjgvwZR0OMgp&#10;EYZDJc2mpB8/rJ7NKPGBmYopMKKke+Hp+fLpk0VrCzGCBlQlHEEQ44vWlrQJwRZZ5nkjNPMDsMJg&#10;sAanWcCj22SVYy2ia5WN8vx51oKrrAMuvMe/V32QLhN+XQse3tW1F4GokmJvIa0ureu4ZssFKzaO&#10;2UbyQxvsH7rQTBoseoS6YoGRrZN/QWnJHXiow4CDzqCuJReJA7IZ5n+wuWmYFYkLiuPtUSb//2D5&#10;2917R2RV0tGcEsM0zuj+9uvdz+/3t7/ufnwjoyhRa32BN28s3g3dC+hw1Imut9fAP3li4LJhZiMu&#10;nIO2EazCFocxMztJ7XF8BFm3b6DCUmwbIAF1tdNRP1SEIDqOan8cj+gC4fhzmk/P5hjhGBqO87P5&#10;bJJKsOIh2zofXgnQJG5K6nD8CZ3trn2I3bDi4UosZmAllUoWUIa0JZ1PRpOUcBLRMqBDldQlneXx&#10;6z0TSb40VUoOTKp+jwWUObCORHvKoVt3SePUb1RkDdUeZXDQGxIfEG4acF8oadGMJfWft8wJStRr&#10;g1LOh+NxdG86jCfTER7caWR9GmGGI1RJAyX99jIkx0fK3l6g5CuZ1Hjs5NAymiyJdHgQ0cWn53Tr&#10;8dkufwMAAP//AwBQSwMEFAAGAAgAAAAhAId1R5nfAAAACwEAAA8AAABkcnMvZG93bnJldi54bWxM&#10;j8FOwzAQRO9I/IO1SNyoTYvqkMapKtSWI6VEnN3YTSLitRW7afh7lhPcdjRPszPFenI9G+0QO48K&#10;HmcCmMXamw4bBdXH7iEDFpNGo3uPVsG3jbAub28KnRt/xXc7HlPDKARjrhW0KYWc81i31uk488Ei&#10;eWc/OJ1IDg03g75SuOv5XIgld7pD+tDqYF9aW38dL05BSGEvX4e3w2a7G0X1ua/mXbNV6v5u2qyA&#10;JTulPxh+61N1KKnTyV/QRNYrWEi5IJSMbEkbiHjKMgnsRIeQz8DLgv/fUP4AAAD//wMAUEsBAi0A&#10;FAAGAAgAAAAhALaDOJL+AAAA4QEAABMAAAAAAAAAAAAAAAAAAAAAAFtDb250ZW50X1R5cGVzXS54&#10;bWxQSwECLQAUAAYACAAAACEAOP0h/9YAAACUAQAACwAAAAAAAAAAAAAAAAAvAQAAX3JlbHMvLnJl&#10;bHNQSwECLQAUAAYACAAAACEAqFwvvyUCAAD+AwAADgAAAAAAAAAAAAAAAAAuAgAAZHJzL2Uyb0Rv&#10;Yy54bWxQSwECLQAUAAYACAAAACEAh3VHmd8AAAALAQAADwAAAAAAAAAAAAAAAAB/BAAAZHJzL2Rv&#10;d25yZXYueG1sUEsFBgAAAAAEAAQA8wAAAIsFAAAAAA==&#10;" filled="f" stroked="f">
                <v:textbox style="mso-fit-shape-to-text:t">
                  <w:txbxContent>
                    <w:p w:rsidR="00B34435" w:rsidRPr="00822C3E" w:rsidRDefault="00B34435" w:rsidP="00CD5969">
                      <w:pPr>
                        <w:rPr>
                          <w:b/>
                          <w:color w:val="006600"/>
                        </w:rPr>
                      </w:pPr>
                      <w:r w:rsidRPr="00822C3E">
                        <w:rPr>
                          <w:rFonts w:hint="eastAsia"/>
                          <w:b/>
                          <w:color w:val="006600"/>
                        </w:rPr>
                        <w:t>服務業</w:t>
                      </w:r>
                    </w:p>
                  </w:txbxContent>
                </v:textbox>
              </v:shape>
            </w:pict>
          </mc:Fallback>
        </mc:AlternateContent>
      </w:r>
      <w:r w:rsidRPr="00CD5969">
        <w:rPr>
          <w:rFonts w:ascii="微軟正黑體" w:eastAsia="微軟正黑體" w:hAnsi="微軟正黑體" w:cstheme="minorBid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FAD9E" wp14:editId="76743BD2">
                <wp:simplePos x="0" y="0"/>
                <wp:positionH relativeFrom="column">
                  <wp:posOffset>2378075</wp:posOffset>
                </wp:positionH>
                <wp:positionV relativeFrom="paragraph">
                  <wp:posOffset>613682</wp:posOffset>
                </wp:positionV>
                <wp:extent cx="707571" cy="1403985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7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35" w:rsidRPr="00822C3E" w:rsidRDefault="00B34435" w:rsidP="00CD5969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822C3E">
                              <w:rPr>
                                <w:rFonts w:hint="eastAsia"/>
                                <w:b/>
                                <w:color w:val="C00000"/>
                              </w:rPr>
                              <w:t>製造業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87.25pt;margin-top:48.3pt;width:55.7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OqJwIAAP4DAAAOAAAAZHJzL2Uyb0RvYy54bWysU12O0zAQfkfiDpbfadJuu91GTVfLLkVI&#10;y4+0cADXcRoL22Nst0m5ABIHWJ45AAfgQLvnYOy0pYI3RB4sO+P5Zr5vPs8vO63IVjgvwZR0OMgp&#10;EYZDJc26pB/eL59dUOIDMxVTYERJd8LTy8XTJ/PWFmIEDahKOIIgxhetLWkTgi2yzPNGaOYHYIXB&#10;YA1Os4BHt84qx1pE1yob5fl51oKrrAMuvMe/N32QLhJ+XQse3ta1F4GokmJvIa0urau4Zos5K9aO&#10;2UbyfRvsH7rQTBoseoS6YYGRjZN/QWnJHXiow4CDzqCuJReJA7IZ5n+wuWuYFYkLiuPtUSb//2D5&#10;m+07R2RV0jOUxzCNM3q8//Lw49vj/c+H71/JKErUWl/gzTuLd0P3HDocdaLr7S3wj54YuG6YWYsr&#10;56BtBKuwxWHMzE5SexwfQVbta6iwFNsESEBd7XTUDxUhiI697I7jEV0gHH9O8+lkOqSEY2g4zs9m&#10;F5NUghWHbOt8eClAk7gpqcPxJ3S2vfUhdsOKw5VYzMBSKpUsoAxpSzqbjCYp4SSiZUCHKqlLepHH&#10;r/dMJPnCVCk5MKn6PRZQZs86Eu0ph27VJY3PD2KuoNqhDA56Q+IDwk0D7jMlLZqxpP7ThjlBiXpl&#10;UMrZcDyO7k2H8WQ6woM7jaxOI8xwhCppoKTfXofk+EjZ2yuUfCmTGnE2fSf7ltFkSaT9g4guPj2n&#10;W7+f7eIXAAAA//8DAFBLAwQUAAYACAAAACEAKYJH2+AAAAAKAQAADwAAAGRycy9kb3ducmV2Lnht&#10;bEyPwW7CMBBE75X6D9ZW6q04UEggxEGoAnqkpRFnE2+TqPHask1I/77uqT2u5mnmbbEZdc8GdL4z&#10;JGA6SYAh1UZ11AioPvZPS2A+SFKyN4QCvtHDpry/K2SuzI3ecTiFhsUS8rkU0IZgc8593aKWfmIs&#10;Usw+jdMyxNM1XDl5i+W657MkSbmWHcWFVlp8abH+Ol21ABvsIXt1x7ftbj8k1flQzbpmJ8Tjw7hd&#10;Aws4hj8YfvWjOpTR6WKupDzrBTxn80VEBazSFFgE5svFCtglJtMsA14W/P8L5Q8AAAD//wMAUEsB&#10;Ai0AFAAGAAgAAAAhALaDOJL+AAAA4QEAABMAAAAAAAAAAAAAAAAAAAAAAFtDb250ZW50X1R5cGVz&#10;XS54bWxQSwECLQAUAAYACAAAACEAOP0h/9YAAACUAQAACwAAAAAAAAAAAAAAAAAvAQAAX3JlbHMv&#10;LnJlbHNQSwECLQAUAAYACAAAACEArSpjqicCAAD+AwAADgAAAAAAAAAAAAAAAAAuAgAAZHJzL2Uy&#10;b0RvYy54bWxQSwECLQAUAAYACAAAACEAKYJH2+AAAAAKAQAADwAAAAAAAAAAAAAAAACBBAAAZHJz&#10;L2Rvd25yZXYueG1sUEsFBgAAAAAEAAQA8wAAAI4FAAAAAA==&#10;" filled="f" stroked="f">
                <v:textbox style="mso-fit-shape-to-text:t">
                  <w:txbxContent>
                    <w:p w:rsidR="00B34435" w:rsidRPr="00822C3E" w:rsidRDefault="00B34435" w:rsidP="00CD5969">
                      <w:pPr>
                        <w:rPr>
                          <w:b/>
                          <w:color w:val="C00000"/>
                        </w:rPr>
                      </w:pPr>
                      <w:r w:rsidRPr="00822C3E">
                        <w:rPr>
                          <w:rFonts w:hint="eastAsia"/>
                          <w:b/>
                          <w:color w:val="C00000"/>
                        </w:rPr>
                        <w:t>製造業</w:t>
                      </w:r>
                    </w:p>
                  </w:txbxContent>
                </v:textbox>
              </v:shape>
            </w:pict>
          </mc:Fallback>
        </mc:AlternateContent>
      </w:r>
      <w:r w:rsidRPr="00CD5969">
        <w:rPr>
          <w:rFonts w:ascii="微軟正黑體" w:eastAsia="微軟正黑體" w:hAnsi="微軟正黑體" w:cstheme="minorBidi" w:hint="eastAsia"/>
          <w:bCs/>
          <w:noProof/>
          <w:color w:val="006600"/>
          <w:sz w:val="32"/>
          <w:szCs w:val="32"/>
        </w:rPr>
        <w:drawing>
          <wp:inline distT="0" distB="0" distL="0" distR="0" wp14:anchorId="6427D4AF" wp14:editId="67171EE7">
            <wp:extent cx="5274310" cy="3076575"/>
            <wp:effectExtent l="0" t="0" r="2540" b="0"/>
            <wp:docPr id="289" name="圖表 2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360" w:lineRule="auto"/>
        <w:ind w:left="284" w:firstLineChars="2" w:firstLine="5"/>
        <w:jc w:val="center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附圖3 中國大陸製造業、服務業及農業占GDP比重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 w:hint="eastAsia"/>
          <w:bCs/>
          <w:sz w:val="20"/>
          <w:szCs w:val="22"/>
        </w:rPr>
        <w:t>資料來源：中國大陸國家統計局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 w:hint="eastAsia"/>
          <w:bCs/>
          <w:noProof/>
          <w:sz w:val="32"/>
          <w:szCs w:val="32"/>
        </w:rPr>
        <w:drawing>
          <wp:inline distT="0" distB="0" distL="0" distR="0" wp14:anchorId="7D09823E" wp14:editId="70D68E2A">
            <wp:extent cx="5172075" cy="3152775"/>
            <wp:effectExtent l="0" t="0" r="9525" b="9525"/>
            <wp:docPr id="290" name="圖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4-1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969" w:rsidRPr="00CD5969" w:rsidRDefault="00CD5969" w:rsidP="00CD5969">
      <w:pPr>
        <w:widowControl/>
        <w:jc w:val="center"/>
        <w:rPr>
          <w:rFonts w:ascii="微軟正黑體" w:eastAsia="微軟正黑體" w:hAnsi="微軟正黑體" w:cstheme="minorBidi"/>
          <w:bCs/>
          <w:sz w:val="28"/>
          <w:szCs w:val="28"/>
        </w:rPr>
      </w:pPr>
      <w:r w:rsidRPr="00CD5969">
        <w:rPr>
          <w:rFonts w:ascii="微軟正黑體" w:eastAsia="微軟正黑體" w:hAnsi="微軟正黑體" w:cstheme="minorBidi" w:hint="eastAsia"/>
          <w:bCs/>
          <w:sz w:val="28"/>
          <w:szCs w:val="28"/>
        </w:rPr>
        <w:t>附圖4 中國大陸增量資本產出率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 w:hint="eastAsia"/>
          <w:bCs/>
          <w:noProof/>
          <w:sz w:val="32"/>
          <w:szCs w:val="32"/>
        </w:rPr>
        <w:lastRenderedPageBreak/>
        <w:drawing>
          <wp:inline distT="0" distB="0" distL="0" distR="0" wp14:anchorId="7218D505" wp14:editId="3DB11315">
            <wp:extent cx="4943475" cy="3209925"/>
            <wp:effectExtent l="0" t="0" r="9525" b="9525"/>
            <wp:docPr id="291" name="圖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4-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969" w:rsidRPr="00CD5969" w:rsidRDefault="00CD5969" w:rsidP="00CD5969">
      <w:pPr>
        <w:widowControl/>
        <w:jc w:val="center"/>
        <w:rPr>
          <w:rFonts w:ascii="微軟正黑體" w:eastAsia="微軟正黑體" w:hAnsi="微軟正黑體" w:cstheme="minorBidi"/>
          <w:bCs/>
          <w:sz w:val="28"/>
          <w:szCs w:val="28"/>
        </w:rPr>
      </w:pPr>
      <w:r w:rsidRPr="00CD5969">
        <w:rPr>
          <w:rFonts w:ascii="微軟正黑體" w:eastAsia="微軟正黑體" w:hAnsi="微軟正黑體" w:cstheme="minorBidi" w:hint="eastAsia"/>
          <w:bCs/>
          <w:sz w:val="28"/>
          <w:szCs w:val="28"/>
        </w:rPr>
        <w:t>附圖5 中國大陸資本報酬率</w:t>
      </w: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</w:p>
    <w:p w:rsidR="00CD5969" w:rsidRPr="00CD5969" w:rsidRDefault="00CD5969" w:rsidP="00CD5969">
      <w:pPr>
        <w:widowControl/>
        <w:rPr>
          <w:rFonts w:ascii="微軟正黑體" w:eastAsia="微軟正黑體" w:hAnsi="微軟正黑體" w:cstheme="minorBidi"/>
          <w:bCs/>
          <w:sz w:val="32"/>
          <w:szCs w:val="32"/>
        </w:rPr>
      </w:pPr>
      <w:r w:rsidRPr="00CD5969">
        <w:rPr>
          <w:rFonts w:ascii="微軟正黑體" w:eastAsia="微軟正黑體" w:hAnsi="微軟正黑體" w:cstheme="minorBidi" w:hint="eastAsia"/>
          <w:bCs/>
          <w:noProof/>
          <w:sz w:val="32"/>
          <w:szCs w:val="32"/>
        </w:rPr>
        <w:drawing>
          <wp:inline distT="0" distB="0" distL="0" distR="0" wp14:anchorId="4D35E69E" wp14:editId="27DD1B02">
            <wp:extent cx="5029200" cy="3162300"/>
            <wp:effectExtent l="0" t="0" r="0" b="0"/>
            <wp:docPr id="292" name="圖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4-3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969" w:rsidRPr="00CD5969" w:rsidRDefault="00CD5969" w:rsidP="00CD5969">
      <w:pPr>
        <w:widowControl/>
        <w:jc w:val="center"/>
        <w:rPr>
          <w:rFonts w:ascii="微軟正黑體" w:eastAsia="微軟正黑體" w:hAnsi="微軟正黑體" w:cstheme="minorBidi"/>
          <w:bCs/>
          <w:sz w:val="28"/>
          <w:szCs w:val="28"/>
        </w:rPr>
      </w:pPr>
      <w:r w:rsidRPr="00CD5969">
        <w:rPr>
          <w:rFonts w:ascii="微軟正黑體" w:eastAsia="微軟正黑體" w:hAnsi="微軟正黑體" w:cstheme="minorBidi" w:hint="eastAsia"/>
          <w:bCs/>
          <w:sz w:val="28"/>
          <w:szCs w:val="28"/>
        </w:rPr>
        <w:t>附圖6 中國大陸全要素生產力</w:t>
      </w:r>
    </w:p>
    <w:p w:rsidR="00CD5969" w:rsidRPr="00CD5969" w:rsidRDefault="00CD5969" w:rsidP="00CD5969">
      <w:pPr>
        <w:widowControl/>
        <w:jc w:val="center"/>
        <w:rPr>
          <w:rFonts w:ascii="微軟正黑體" w:eastAsia="微軟正黑體" w:hAnsi="微軟正黑體" w:cstheme="minorBidi"/>
          <w:bCs/>
          <w:sz w:val="28"/>
          <w:szCs w:val="28"/>
        </w:rPr>
      </w:pP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360" w:lineRule="auto"/>
        <w:ind w:left="284" w:firstLineChars="2" w:firstLine="5"/>
        <w:jc w:val="center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附表1 中國大陸高新技術產品與整體商品出口成長率</w:t>
      </w: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360" w:lineRule="auto"/>
        <w:ind w:left="284" w:firstLineChars="2" w:firstLine="4"/>
        <w:jc w:val="right"/>
        <w:textAlignment w:val="center"/>
        <w:rPr>
          <w:rFonts w:ascii="微軟正黑體" w:eastAsia="微軟正黑體" w:hAnsi="微軟正黑體"/>
          <w:bCs/>
          <w:spacing w:val="-6"/>
          <w:kern w:val="0"/>
          <w:sz w:val="20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0"/>
          <w:szCs w:val="20"/>
        </w:rPr>
        <w:t>單位：%</w:t>
      </w:r>
    </w:p>
    <w:tbl>
      <w:tblPr>
        <w:tblStyle w:val="190"/>
        <w:tblW w:w="0" w:type="auto"/>
        <w:tblInd w:w="284" w:type="dxa"/>
        <w:tblLook w:val="04A0" w:firstRow="1" w:lastRow="0" w:firstColumn="1" w:lastColumn="0" w:noHBand="0" w:noVBand="1"/>
      </w:tblPr>
      <w:tblGrid>
        <w:gridCol w:w="876"/>
        <w:gridCol w:w="919"/>
        <w:gridCol w:w="920"/>
        <w:gridCol w:w="920"/>
        <w:gridCol w:w="922"/>
        <w:gridCol w:w="920"/>
        <w:gridCol w:w="920"/>
        <w:gridCol w:w="920"/>
        <w:gridCol w:w="921"/>
      </w:tblGrid>
      <w:tr w:rsidR="00CD5969" w:rsidRPr="00CD5969" w:rsidTr="00BC1DAD">
        <w:tc>
          <w:tcPr>
            <w:tcW w:w="929" w:type="dxa"/>
            <w:tcBorders>
              <w:lef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</w:rPr>
            </w:pPr>
          </w:p>
        </w:tc>
        <w:tc>
          <w:tcPr>
            <w:tcW w:w="929" w:type="dxa"/>
            <w:tcBorders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2006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2007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2008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2009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2010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2011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2012</w:t>
            </w:r>
          </w:p>
        </w:tc>
        <w:tc>
          <w:tcPr>
            <w:tcW w:w="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2013</w:t>
            </w:r>
          </w:p>
        </w:tc>
      </w:tr>
      <w:tr w:rsidR="00CD5969" w:rsidRPr="00CD5969" w:rsidTr="00BC1DAD">
        <w:tc>
          <w:tcPr>
            <w:tcW w:w="929" w:type="dxa"/>
            <w:tcBorders>
              <w:lef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</w:rPr>
              <w:t>高新技術產品</w:t>
            </w:r>
          </w:p>
        </w:tc>
        <w:tc>
          <w:tcPr>
            <w:tcW w:w="929" w:type="dxa"/>
            <w:tcBorders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29.0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23.6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13.1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-9.3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31.3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12.2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9.6</w:t>
            </w:r>
          </w:p>
        </w:tc>
        <w:tc>
          <w:tcPr>
            <w:tcW w:w="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9.8</w:t>
            </w:r>
          </w:p>
        </w:tc>
      </w:tr>
      <w:tr w:rsidR="00CD5969" w:rsidRPr="00CD5969" w:rsidTr="00BC1DAD">
        <w:tc>
          <w:tcPr>
            <w:tcW w:w="929" w:type="dxa"/>
            <w:tcBorders>
              <w:lef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</w:rPr>
              <w:t>整體商品出口</w:t>
            </w:r>
          </w:p>
        </w:tc>
        <w:tc>
          <w:tcPr>
            <w:tcW w:w="929" w:type="dxa"/>
            <w:tcBorders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27.2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25.7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17.2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-16.0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30.7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20.3</w:t>
            </w:r>
          </w:p>
        </w:tc>
        <w:tc>
          <w:tcPr>
            <w:tcW w:w="9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7.9</w:t>
            </w:r>
          </w:p>
        </w:tc>
        <w:tc>
          <w:tcPr>
            <w:tcW w:w="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7.9</w:t>
            </w:r>
          </w:p>
        </w:tc>
      </w:tr>
    </w:tbl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360" w:lineRule="auto"/>
        <w:ind w:left="284" w:firstLineChars="2" w:firstLine="4"/>
        <w:textAlignment w:val="center"/>
        <w:rPr>
          <w:rFonts w:ascii="微軟正黑體" w:eastAsia="微軟正黑體" w:hAnsi="微軟正黑體"/>
          <w:bCs/>
          <w:spacing w:val="-6"/>
          <w:kern w:val="0"/>
          <w:sz w:val="20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0"/>
          <w:szCs w:val="20"/>
        </w:rPr>
        <w:t>資料來源：中國大陸海關總署</w:t>
      </w: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360" w:lineRule="auto"/>
        <w:ind w:left="284" w:firstLineChars="2" w:firstLine="5"/>
        <w:jc w:val="center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360" w:lineRule="auto"/>
        <w:ind w:left="284" w:firstLineChars="2" w:firstLine="5"/>
        <w:jc w:val="center"/>
        <w:textAlignment w:val="center"/>
        <w:rPr>
          <w:rFonts w:ascii="微軟正黑體" w:eastAsia="微軟正黑體" w:hAnsi="微軟正黑體"/>
          <w:bCs/>
          <w:spacing w:val="-6"/>
          <w:kern w:val="0"/>
          <w:sz w:val="28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8"/>
          <w:szCs w:val="20"/>
        </w:rPr>
        <w:t>附表2 地方政府債務餘額未來償還情況表</w:t>
      </w: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50" w:before="180" w:line="360" w:lineRule="auto"/>
        <w:ind w:left="284" w:firstLineChars="2" w:firstLine="4"/>
        <w:jc w:val="right"/>
        <w:textAlignment w:val="center"/>
        <w:rPr>
          <w:rFonts w:ascii="微軟正黑體" w:eastAsia="微軟正黑體" w:hAnsi="微軟正黑體"/>
          <w:bCs/>
          <w:spacing w:val="-6"/>
          <w:kern w:val="0"/>
          <w:sz w:val="20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0"/>
          <w:szCs w:val="20"/>
        </w:rPr>
        <w:t>單位：千億元人民幣；%</w:t>
      </w:r>
    </w:p>
    <w:tbl>
      <w:tblPr>
        <w:tblStyle w:val="190"/>
        <w:tblW w:w="8505" w:type="dxa"/>
        <w:tblInd w:w="108" w:type="dxa"/>
        <w:tblLook w:val="04A0" w:firstRow="1" w:lastRow="0" w:firstColumn="1" w:lastColumn="0" w:noHBand="0" w:noVBand="1"/>
      </w:tblPr>
      <w:tblGrid>
        <w:gridCol w:w="1134"/>
        <w:gridCol w:w="1004"/>
        <w:gridCol w:w="1194"/>
        <w:gridCol w:w="1195"/>
        <w:gridCol w:w="1195"/>
        <w:gridCol w:w="1195"/>
        <w:gridCol w:w="1588"/>
      </w:tblGrid>
      <w:tr w:rsidR="00CD5969" w:rsidRPr="00CD5969" w:rsidTr="00BC1DAD"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CD5969" w:rsidRPr="00CD5969" w:rsidRDefault="00CD5969" w:rsidP="00CD5969">
            <w:pPr>
              <w:widowControl/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2013</w:t>
            </w:r>
          </w:p>
        </w:tc>
        <w:tc>
          <w:tcPr>
            <w:tcW w:w="11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2014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2015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2016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2017</w:t>
            </w:r>
          </w:p>
        </w:tc>
        <w:tc>
          <w:tcPr>
            <w:tcW w:w="1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2018以後</w:t>
            </w:r>
          </w:p>
        </w:tc>
      </w:tr>
      <w:tr w:rsidR="00CD5969" w:rsidRPr="00CD5969" w:rsidTr="00BC1DAD"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</w:rPr>
              <w:t>償還金額</w:t>
            </w:r>
          </w:p>
        </w:tc>
        <w:tc>
          <w:tcPr>
            <w:tcW w:w="1004" w:type="dxa"/>
            <w:tcBorders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24.9</w:t>
            </w:r>
          </w:p>
        </w:tc>
        <w:tc>
          <w:tcPr>
            <w:tcW w:w="11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23.8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18.5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12.6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0.8</w:t>
            </w:r>
          </w:p>
        </w:tc>
        <w:tc>
          <w:tcPr>
            <w:tcW w:w="1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20.4</w:t>
            </w:r>
          </w:p>
        </w:tc>
      </w:tr>
      <w:tr w:rsidR="00CD5969" w:rsidRPr="00CD5969" w:rsidTr="00BC1DAD">
        <w:tc>
          <w:tcPr>
            <w:tcW w:w="1134" w:type="dxa"/>
            <w:tcBorders>
              <w:left w:val="single" w:sz="4" w:space="0" w:color="FFFFFF" w:themeColor="background1"/>
            </w:tcBorders>
            <w:vAlign w:val="center"/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</w:rPr>
              <w:t>償還比重</w:t>
            </w:r>
          </w:p>
        </w:tc>
        <w:tc>
          <w:tcPr>
            <w:tcW w:w="1004" w:type="dxa"/>
            <w:tcBorders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22.9</w:t>
            </w:r>
          </w:p>
        </w:tc>
        <w:tc>
          <w:tcPr>
            <w:tcW w:w="11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21.9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17.1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11.6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7.8</w:t>
            </w:r>
          </w:p>
        </w:tc>
        <w:tc>
          <w:tcPr>
            <w:tcW w:w="15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D5969" w:rsidRPr="00CD5969" w:rsidRDefault="00CD5969" w:rsidP="00CD5969">
            <w:pPr>
              <w:tabs>
                <w:tab w:val="left" w:pos="24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overflowPunct w:val="0"/>
              <w:autoSpaceDE w:val="0"/>
              <w:autoSpaceDN w:val="0"/>
              <w:adjustRightInd w:val="0"/>
              <w:snapToGrid w:val="0"/>
              <w:spacing w:beforeLines="50" w:before="180" w:line="360" w:lineRule="auto"/>
              <w:jc w:val="center"/>
              <w:textAlignment w:val="center"/>
              <w:rPr>
                <w:rFonts w:ascii="微軟正黑體" w:eastAsia="微軟正黑體" w:hAnsi="微軟正黑體"/>
                <w:bCs/>
                <w:spacing w:val="-6"/>
                <w:kern w:val="0"/>
                <w:sz w:val="28"/>
                <w:szCs w:val="28"/>
              </w:rPr>
            </w:pPr>
            <w:r w:rsidRPr="00CD5969">
              <w:rPr>
                <w:rFonts w:ascii="微軟正黑體" w:eastAsia="微軟正黑體" w:hAnsi="微軟正黑體" w:hint="eastAsia"/>
                <w:bCs/>
                <w:spacing w:val="-6"/>
                <w:kern w:val="0"/>
                <w:sz w:val="28"/>
                <w:szCs w:val="28"/>
              </w:rPr>
              <w:t>18.6</w:t>
            </w:r>
          </w:p>
        </w:tc>
      </w:tr>
    </w:tbl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400" w:lineRule="exact"/>
        <w:ind w:left="284" w:firstLineChars="2" w:firstLine="4"/>
        <w:textAlignment w:val="center"/>
        <w:rPr>
          <w:rFonts w:ascii="微軟正黑體" w:eastAsia="微軟正黑體" w:hAnsi="微軟正黑體"/>
          <w:bCs/>
          <w:spacing w:val="-6"/>
          <w:kern w:val="0"/>
          <w:sz w:val="20"/>
          <w:szCs w:val="20"/>
        </w:rPr>
      </w:pPr>
      <w:r w:rsidRPr="00CD5969">
        <w:rPr>
          <w:rFonts w:ascii="微軟正黑體" w:eastAsia="微軟正黑體" w:hAnsi="微軟正黑體" w:hint="eastAsia"/>
          <w:bCs/>
          <w:spacing w:val="-6"/>
          <w:kern w:val="0"/>
          <w:sz w:val="20"/>
          <w:szCs w:val="20"/>
        </w:rPr>
        <w:t>資料來源：中國大陸審計署2013年第32號公告</w:t>
      </w:r>
    </w:p>
    <w:p w:rsidR="00CD5969" w:rsidRPr="00CD5969" w:rsidRDefault="00CD5969" w:rsidP="00CD5969">
      <w:pPr>
        <w:tabs>
          <w:tab w:val="left" w:pos="24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400" w:lineRule="exact"/>
        <w:ind w:left="284" w:firstLineChars="2" w:firstLine="4"/>
        <w:textAlignment w:val="center"/>
        <w:rPr>
          <w:rFonts w:ascii="微軟正黑體" w:eastAsia="微軟正黑體" w:hAnsi="微軟正黑體"/>
          <w:bCs/>
          <w:spacing w:val="-6"/>
          <w:kern w:val="0"/>
          <w:sz w:val="32"/>
          <w:szCs w:val="32"/>
        </w:rPr>
      </w:pPr>
      <w:proofErr w:type="gramStart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0"/>
          <w:szCs w:val="20"/>
        </w:rPr>
        <w:t>註</w:t>
      </w:r>
      <w:proofErr w:type="gramEnd"/>
      <w:r w:rsidRPr="00CD5969">
        <w:rPr>
          <w:rFonts w:ascii="微軟正黑體" w:eastAsia="微軟正黑體" w:hAnsi="微軟正黑體" w:hint="eastAsia"/>
          <w:bCs/>
          <w:spacing w:val="-6"/>
          <w:kern w:val="0"/>
          <w:sz w:val="20"/>
          <w:szCs w:val="20"/>
        </w:rPr>
        <w:t>：本表資料為截至2013年6月底資料，其中，2013年應償還金額及比重為7月至12月資料。</w:t>
      </w:r>
      <w:r w:rsidRPr="00CD5969">
        <w:rPr>
          <w:rFonts w:ascii="微軟正黑體" w:eastAsia="微軟正黑體" w:hAnsi="微軟正黑體"/>
          <w:b/>
          <w:bCs/>
          <w:spacing w:val="-6"/>
          <w:kern w:val="0"/>
          <w:sz w:val="32"/>
          <w:szCs w:val="32"/>
        </w:rPr>
        <w:br w:type="page"/>
      </w:r>
    </w:p>
    <w:p w:rsidR="00CD5969" w:rsidRPr="00CD5969" w:rsidRDefault="00CD5969" w:rsidP="001A61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pacing w:before="120" w:after="120" w:line="460" w:lineRule="exact"/>
        <w:ind w:leftChars="119" w:left="929" w:hangingChars="201" w:hanging="643"/>
        <w:jc w:val="center"/>
        <w:textAlignment w:val="center"/>
        <w:rPr>
          <w:rFonts w:ascii="微軟正黑體" w:eastAsia="微軟正黑體" w:hAnsi="微軟正黑體"/>
          <w:b/>
          <w:spacing w:val="-6"/>
          <w:kern w:val="0"/>
          <w:sz w:val="27"/>
          <w:szCs w:val="20"/>
        </w:rPr>
      </w:pPr>
      <w:r w:rsidRPr="00CD5969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參考資料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「經濟形勢閃耀新亮點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—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 xml:space="preserve"> 新常態下的中國經濟（上、中、下）」，人民日報社論，2014年8月5日、6日、7日報導。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厲以寧，2014，「新常態下GDP可適當減速」，北大金融國際論壇上發言內容，10月24日新浪網報導。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「中國轉向『新常態』之痛」，FT(金融時報)中文網社論，2014年10月23日報導。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徐立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凡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，2014，「上半場GDP註解中國經濟新常態」，北京新浪網，7月17日報導。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中國大陸國家統計局，2014，「2014年前三季度國民經濟運行情況答記者問」，10月21日網站資料。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呂佩憶，2014，「中國2020年GDP恐降至4%」，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鉅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亨網新聞中心，10月21日報導。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「保就業 穩增長 不因一時波動推刺激政策」，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鉅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亨網新聞中心轉載香港文匯報，4月11日報導。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馬駿，2014，「中國無需大規模經濟刺激」，北京青年報，10月１3日報導。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32"/>
        </w:rPr>
        <w:t>地方政府融资平台现状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李稻葵，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2014，「什麼是中國與世界的新常態」，8.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ab/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李稻葵博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客網站，9月12日上網。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「習近平明確經濟新常態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三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特徵 數百項改革措施正落實」，每經網，11月10日報導。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世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行經濟學家：中國下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一個增常引擎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是研發和創新」，人民網，9月11日報導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「</w:t>
      </w:r>
      <w:proofErr w:type="gramStart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【</w:t>
      </w:r>
      <w:proofErr w:type="gramEnd"/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另眼看中国】摩根大通：中國生產力大幅下滑」，Wind資訊，8月28日報導。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ind w:left="357" w:hanging="357"/>
        <w:rPr>
          <w:rFonts w:ascii="微軟正黑體" w:eastAsia="微軟正黑體" w:hAnsi="微軟正黑體"/>
          <w:color w:val="000000" w:themeColor="text1"/>
          <w:sz w:val="28"/>
          <w:szCs w:val="32"/>
        </w:rPr>
      </w:pP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lastRenderedPageBreak/>
        <w:t xml:space="preserve">IMF 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32"/>
        </w:rPr>
        <w:t>, “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China 2030 Building a Modern ,Harmonious,and Creative High-income Society”,Feb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,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32"/>
        </w:rPr>
        <w:t>201</w:t>
      </w:r>
      <w:r w:rsidRPr="00CD5969">
        <w:rPr>
          <w:rFonts w:ascii="微軟正黑體" w:eastAsia="微軟正黑體" w:hAnsi="微軟正黑體" w:hint="eastAsia"/>
          <w:color w:val="000000" w:themeColor="text1"/>
          <w:sz w:val="28"/>
          <w:szCs w:val="32"/>
        </w:rPr>
        <w:t>1</w:t>
      </w:r>
      <w:r w:rsidRPr="00CD5969">
        <w:rPr>
          <w:rFonts w:ascii="微軟正黑體" w:eastAsia="微軟正黑體" w:hAnsi="微軟正黑體"/>
          <w:color w:val="000000" w:themeColor="text1"/>
          <w:sz w:val="28"/>
          <w:szCs w:val="32"/>
        </w:rPr>
        <w:t xml:space="preserve"> 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rPr>
          <w:rFonts w:ascii="微軟正黑體" w:eastAsia="微軟正黑體" w:hAnsi="微軟正黑體" w:cstheme="minorBidi"/>
          <w:sz w:val="28"/>
          <w:szCs w:val="28"/>
        </w:rPr>
      </w:pPr>
      <w:r w:rsidRPr="00CD5969">
        <w:rPr>
          <w:rFonts w:ascii="微軟正黑體" w:eastAsia="微軟正黑體" w:hAnsi="微軟正黑體" w:cstheme="minorBidi"/>
          <w:sz w:val="28"/>
          <w:szCs w:val="28"/>
        </w:rPr>
        <w:t>IMF , “Regional Economic Outlook: Asia and Pacific”,April ,2014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rPr>
          <w:rFonts w:ascii="微軟正黑體" w:eastAsia="微軟正黑體" w:hAnsi="微軟正黑體" w:cstheme="minorBidi"/>
          <w:sz w:val="28"/>
          <w:szCs w:val="28"/>
        </w:rPr>
      </w:pPr>
      <w:r w:rsidRPr="00CD5969">
        <w:rPr>
          <w:rFonts w:ascii="微軟正黑體" w:eastAsia="微軟正黑體" w:hAnsi="微軟正黑體" w:cstheme="minorBidi"/>
          <w:sz w:val="28"/>
          <w:szCs w:val="28"/>
        </w:rPr>
        <w:t>IMF, “Executive Board Concludes 2014 Article IV Consultation with the People’s Republic of China Press Release No. 14/369”, July 30, 2014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rPr>
          <w:rFonts w:ascii="微軟正黑體" w:eastAsia="微軟正黑體" w:hAnsi="微軟正黑體" w:cstheme="minorBidi"/>
          <w:sz w:val="28"/>
          <w:szCs w:val="28"/>
        </w:rPr>
      </w:pPr>
      <w:r w:rsidRPr="00CD5969">
        <w:rPr>
          <w:rFonts w:ascii="微軟正黑體" w:eastAsia="微軟正黑體" w:hAnsi="微軟正黑體" w:cstheme="minorBidi"/>
          <w:sz w:val="28"/>
          <w:szCs w:val="28"/>
        </w:rPr>
        <w:t>Lant Pritchett, Lawrence Summers(2014), “Asiaphoria Meet Regression to the Mean ”,“NBER WORKING PAPER SERIES ”,NBER,October,2014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rPr>
          <w:rFonts w:ascii="微軟正黑體" w:eastAsia="微軟正黑體" w:hAnsi="微軟正黑體" w:cstheme="minorBidi"/>
          <w:sz w:val="28"/>
          <w:szCs w:val="28"/>
        </w:rPr>
      </w:pPr>
      <w:proofErr w:type="gramStart"/>
      <w:r w:rsidRPr="00CD5969">
        <w:rPr>
          <w:rFonts w:ascii="微軟正黑體" w:eastAsia="微軟正黑體" w:hAnsi="微軟正黑體" w:cstheme="minorBidi"/>
          <w:sz w:val="28"/>
          <w:szCs w:val="28"/>
        </w:rPr>
        <w:t>TIME ,</w:t>
      </w:r>
      <w:proofErr w:type="gramEnd"/>
      <w:r w:rsidRPr="00CD5969">
        <w:rPr>
          <w:rFonts w:ascii="微軟正黑體" w:eastAsia="微軟正黑體" w:hAnsi="微軟正黑體" w:cstheme="minorBidi"/>
          <w:sz w:val="28"/>
          <w:szCs w:val="28"/>
        </w:rPr>
        <w:t xml:space="preserve"> “China’s New Normal Michael Schuman”,November. 3, 2014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rPr>
          <w:rFonts w:ascii="微軟正黑體" w:eastAsia="微軟正黑體" w:hAnsi="微軟正黑體" w:cstheme="minorBidi"/>
          <w:sz w:val="28"/>
          <w:szCs w:val="28"/>
        </w:rPr>
      </w:pPr>
      <w:r w:rsidRPr="00CD5969">
        <w:rPr>
          <w:rFonts w:ascii="微軟正黑體" w:eastAsia="微軟正黑體" w:hAnsi="微軟正黑體" w:cstheme="minorBidi"/>
          <w:sz w:val="28"/>
          <w:szCs w:val="28"/>
        </w:rPr>
        <w:t>World Bank , “</w:t>
      </w:r>
      <w:r w:rsidRPr="00CD5969">
        <w:rPr>
          <w:rFonts w:ascii="微軟正黑體" w:eastAsia="微軟正黑體" w:hAnsi="微軟正黑體" w:cstheme="minorBidi" w:hint="eastAsia"/>
          <w:sz w:val="28"/>
          <w:szCs w:val="28"/>
        </w:rPr>
        <w:t>China Economic Update-October 2014</w:t>
      </w:r>
      <w:r w:rsidRPr="00CD5969">
        <w:rPr>
          <w:rFonts w:ascii="微軟正黑體" w:eastAsia="微軟正黑體" w:hAnsi="微軟正黑體" w:cstheme="minorBidi"/>
          <w:sz w:val="28"/>
          <w:szCs w:val="28"/>
        </w:rPr>
        <w:t>”,</w:t>
      </w:r>
      <w:r w:rsidRPr="00CD5969">
        <w:rPr>
          <w:rFonts w:ascii="微軟正黑體" w:eastAsia="微軟正黑體" w:hAnsi="微軟正黑體" w:cstheme="minorBidi"/>
          <w:szCs w:val="22"/>
        </w:rPr>
        <w:t xml:space="preserve"> </w:t>
      </w:r>
      <w:r w:rsidRPr="00CD5969">
        <w:rPr>
          <w:rFonts w:ascii="微軟正黑體" w:eastAsia="微軟正黑體" w:hAnsi="微軟正黑體" w:cstheme="minorBidi"/>
          <w:sz w:val="28"/>
          <w:szCs w:val="28"/>
        </w:rPr>
        <w:t>October.2</w:t>
      </w:r>
      <w:r w:rsidRPr="00CD5969">
        <w:rPr>
          <w:rFonts w:ascii="微軟正黑體" w:eastAsia="微軟正黑體" w:hAnsi="微軟正黑體" w:cstheme="minorBidi" w:hint="eastAsia"/>
          <w:sz w:val="28"/>
          <w:szCs w:val="28"/>
        </w:rPr>
        <w:t>9</w:t>
      </w:r>
      <w:r w:rsidRPr="00CD5969">
        <w:rPr>
          <w:rFonts w:ascii="微軟正黑體" w:eastAsia="微軟正黑體" w:hAnsi="微軟正黑體" w:cstheme="minorBidi"/>
          <w:sz w:val="28"/>
          <w:szCs w:val="28"/>
        </w:rPr>
        <w:t>,2014</w:t>
      </w:r>
    </w:p>
    <w:p w:rsidR="00CD5969" w:rsidRPr="00CD5969" w:rsidRDefault="00CD5969" w:rsidP="00273851">
      <w:pPr>
        <w:widowControl/>
        <w:numPr>
          <w:ilvl w:val="0"/>
          <w:numId w:val="20"/>
        </w:numPr>
        <w:spacing w:beforeLines="25" w:before="90" w:line="480" w:lineRule="exact"/>
        <w:rPr>
          <w:rFonts w:ascii="微軟正黑體" w:eastAsia="微軟正黑體" w:hAnsi="微軟正黑體" w:cstheme="minorBidi"/>
          <w:sz w:val="28"/>
          <w:szCs w:val="28"/>
        </w:rPr>
      </w:pPr>
      <w:r w:rsidRPr="00CD5969">
        <w:rPr>
          <w:rFonts w:ascii="微軟正黑體" w:eastAsia="微軟正黑體" w:hAnsi="微軟正黑體" w:cstheme="minorBidi"/>
          <w:sz w:val="28"/>
          <w:szCs w:val="28"/>
        </w:rPr>
        <w:t>The Conference Board, “China Growth Seen Slowing Sharply Over Decade</w:t>
      </w:r>
      <w:r w:rsidRPr="00CD5969">
        <w:rPr>
          <w:rFonts w:ascii="微軟正黑體" w:eastAsia="微軟正黑體" w:hAnsi="微軟正黑體" w:cstheme="minorBidi" w:hint="eastAsia"/>
          <w:sz w:val="28"/>
          <w:szCs w:val="28"/>
        </w:rPr>
        <w:t>”</w:t>
      </w:r>
      <w:r w:rsidRPr="00CD5969">
        <w:rPr>
          <w:rFonts w:ascii="微軟正黑體" w:eastAsia="微軟正黑體" w:hAnsi="微軟正黑體" w:cstheme="minorBidi"/>
          <w:sz w:val="28"/>
          <w:szCs w:val="28"/>
        </w:rPr>
        <w:t>,</w:t>
      </w:r>
      <w:r w:rsidRPr="00CD5969">
        <w:rPr>
          <w:rFonts w:ascii="微軟正黑體" w:eastAsia="微軟正黑體" w:hAnsi="微軟正黑體" w:cstheme="minorBidi" w:hint="eastAsia"/>
          <w:sz w:val="28"/>
          <w:szCs w:val="28"/>
        </w:rPr>
        <w:t xml:space="preserve"> </w:t>
      </w:r>
      <w:r w:rsidRPr="00CD5969">
        <w:rPr>
          <w:rFonts w:ascii="微軟正黑體" w:eastAsia="微軟正黑體" w:hAnsi="微軟正黑體" w:cstheme="minorBidi"/>
          <w:sz w:val="28"/>
          <w:szCs w:val="28"/>
        </w:rPr>
        <w:t>October</w:t>
      </w:r>
      <w:r w:rsidRPr="00CD5969">
        <w:rPr>
          <w:rFonts w:ascii="微軟正黑體" w:eastAsia="微軟正黑體" w:hAnsi="微軟正黑體" w:cstheme="minorBidi" w:hint="eastAsia"/>
          <w:sz w:val="28"/>
          <w:szCs w:val="28"/>
        </w:rPr>
        <w:t>.20</w:t>
      </w:r>
      <w:r w:rsidRPr="00CD5969">
        <w:rPr>
          <w:rFonts w:ascii="微軟正黑體" w:eastAsia="微軟正黑體" w:hAnsi="微軟正黑體" w:cstheme="minorBidi"/>
          <w:sz w:val="28"/>
          <w:szCs w:val="28"/>
        </w:rPr>
        <w:t>,201</w:t>
      </w:r>
      <w:r w:rsidRPr="00CD5969">
        <w:rPr>
          <w:rFonts w:ascii="微軟正黑體" w:eastAsia="微軟正黑體" w:hAnsi="微軟正黑體" w:cstheme="minorBidi" w:hint="eastAsia"/>
          <w:sz w:val="28"/>
          <w:szCs w:val="28"/>
        </w:rPr>
        <w:t>4</w:t>
      </w:r>
    </w:p>
    <w:p w:rsidR="00B8312D" w:rsidRPr="001A6161" w:rsidRDefault="00B8312D" w:rsidP="003C11D5">
      <w:pPr>
        <w:pStyle w:val="k1a"/>
        <w:snapToGrid w:val="0"/>
        <w:spacing w:beforeLines="25" w:before="90" w:afterLines="50" w:after="180" w:line="480" w:lineRule="exact"/>
        <w:ind w:left="0" w:firstLine="0"/>
        <w:rPr>
          <w:rFonts w:ascii="微軟正黑體" w:eastAsia="微軟正黑體" w:hAnsi="微軟正黑體"/>
          <w:sz w:val="20"/>
        </w:rPr>
      </w:pPr>
    </w:p>
    <w:sectPr w:rsidR="00B8312D" w:rsidRPr="001A6161" w:rsidSect="00A647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35" w:rsidRDefault="00B34435">
      <w:r>
        <w:separator/>
      </w:r>
    </w:p>
  </w:endnote>
  <w:endnote w:type="continuationSeparator" w:id="0">
    <w:p w:rsidR="00B34435" w:rsidRDefault="00B3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楷">
    <w:altName w:val="細明體"/>
    <w:charset w:val="88"/>
    <w:family w:val="modern"/>
    <w:pitch w:val="fixed"/>
    <w:sig w:usb0="00000003" w:usb1="28880000" w:usb2="00000016" w:usb3="00000000" w:csb0="0010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6586"/>
      <w:docPartObj>
        <w:docPartGallery w:val="Page Numbers (Bottom of Page)"/>
        <w:docPartUnique/>
      </w:docPartObj>
    </w:sdtPr>
    <w:sdtEndPr/>
    <w:sdtContent>
      <w:p w:rsidR="00B34435" w:rsidRDefault="00B34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D3" w:rsidRPr="00D127D3">
          <w:rPr>
            <w:noProof/>
            <w:lang w:val="zh-TW"/>
          </w:rPr>
          <w:t>v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9123"/>
      <w:docPartObj>
        <w:docPartGallery w:val="Page Numbers (Bottom of Page)"/>
        <w:docPartUnique/>
      </w:docPartObj>
    </w:sdtPr>
    <w:sdtEndPr/>
    <w:sdtContent>
      <w:p w:rsidR="00B34435" w:rsidRDefault="00B34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D3" w:rsidRPr="00D127D3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  <w:p w:rsidR="00B34435" w:rsidRDefault="00B34435"/>
  <w:p w:rsidR="00B34435" w:rsidRDefault="00B34435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8D7B1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  <w:p w:rsidR="00B34435" w:rsidRDefault="00B34435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8D7B1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27D3">
      <w:rPr>
        <w:rStyle w:val="ab"/>
        <w:noProof/>
      </w:rPr>
      <w:t>25</w:t>
    </w:r>
    <w:r>
      <w:rPr>
        <w:rStyle w:val="ab"/>
      </w:rPr>
      <w:fldChar w:fldCharType="end"/>
    </w:r>
  </w:p>
  <w:p w:rsidR="00B34435" w:rsidRDefault="00B34435">
    <w:pPr>
      <w:pStyle w:val="a9"/>
    </w:pPr>
  </w:p>
  <w:p w:rsidR="00B34435" w:rsidRDefault="00B344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378431"/>
      <w:docPartObj>
        <w:docPartGallery w:val="Page Numbers (Bottom of Page)"/>
        <w:docPartUnique/>
      </w:docPartObj>
    </w:sdtPr>
    <w:sdtEndPr/>
    <w:sdtContent>
      <w:p w:rsidR="00B34435" w:rsidRDefault="00B34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731">
          <w:rPr>
            <w:noProof/>
            <w:lang w:val="zh-TW"/>
          </w:rPr>
          <w:t>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926653"/>
      <w:docPartObj>
        <w:docPartGallery w:val="Page Numbers (Bottom of Page)"/>
        <w:docPartUnique/>
      </w:docPartObj>
    </w:sdtPr>
    <w:sdtEndPr/>
    <w:sdtContent>
      <w:p w:rsidR="00B34435" w:rsidRDefault="00B34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731">
          <w:rPr>
            <w:noProof/>
            <w:lang w:val="zh-TW"/>
          </w:rPr>
          <w:t>ii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088881"/>
      <w:docPartObj>
        <w:docPartGallery w:val="Page Numbers (Bottom of Page)"/>
        <w:docPartUnique/>
      </w:docPartObj>
    </w:sdtPr>
    <w:sdtEndPr/>
    <w:sdtContent>
      <w:p w:rsidR="00B34435" w:rsidRDefault="00B34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731">
          <w:rPr>
            <w:noProof/>
            <w:lang w:val="zh-TW"/>
          </w:rPr>
          <w:t>ii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04998"/>
      <w:docPartObj>
        <w:docPartGallery w:val="Page Numbers (Bottom of Page)"/>
        <w:docPartUnique/>
      </w:docPartObj>
    </w:sdtPr>
    <w:sdtEndPr/>
    <w:sdtContent>
      <w:p w:rsidR="00B34435" w:rsidRDefault="00B344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4731">
          <w:rPr>
            <w:noProof/>
            <w:lang w:val="zh-TW"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5" w:rsidRDefault="00B34435" w:rsidP="00BB50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435" w:rsidRDefault="00B344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35" w:rsidRDefault="00B34435">
      <w:r>
        <w:separator/>
      </w:r>
    </w:p>
  </w:footnote>
  <w:footnote w:type="continuationSeparator" w:id="0">
    <w:p w:rsidR="00B34435" w:rsidRDefault="00B34435">
      <w:r>
        <w:continuationSeparator/>
      </w:r>
    </w:p>
  </w:footnote>
  <w:footnote w:id="1">
    <w:p w:rsidR="00B34435" w:rsidRPr="008367C6" w:rsidRDefault="00B34435" w:rsidP="005245C0">
      <w:pPr>
        <w:pStyle w:val="a6"/>
        <w:ind w:leftChars="5" w:left="140" w:hangingChars="71" w:hanging="128"/>
        <w:rPr>
          <w:rFonts w:ascii="微軟正黑體" w:eastAsia="微軟正黑體" w:hAnsi="微軟正黑體"/>
          <w:sz w:val="18"/>
          <w:szCs w:val="18"/>
        </w:rPr>
      </w:pPr>
      <w:r w:rsidRPr="008367C6">
        <w:rPr>
          <w:rStyle w:val="a8"/>
          <w:rFonts w:ascii="微軟正黑體" w:eastAsia="微軟正黑體" w:hAnsi="微軟正黑體"/>
          <w:sz w:val="18"/>
          <w:szCs w:val="18"/>
        </w:rPr>
        <w:footnoteRef/>
      </w:r>
      <w:r w:rsidRPr="008367C6">
        <w:rPr>
          <w:rFonts w:ascii="微軟正黑體" w:eastAsia="微軟正黑體" w:hAnsi="微軟正黑體" w:hint="eastAsia"/>
          <w:sz w:val="18"/>
          <w:szCs w:val="18"/>
        </w:rPr>
        <w:t>規模以上：年營收大於2,000萬人民幣的工業企業或國有工業企業；工業增加值：企業於生產過程中所新增加的價值，即工業生產總值扣除中間投入後的餘額。</w:t>
      </w:r>
    </w:p>
  </w:footnote>
  <w:footnote w:id="2">
    <w:p w:rsidR="00B34435" w:rsidRPr="00396A54" w:rsidRDefault="00B34435" w:rsidP="00396A54">
      <w:pPr>
        <w:pStyle w:val="a6"/>
        <w:ind w:leftChars="5" w:left="154" w:hangingChars="71" w:hanging="142"/>
        <w:rPr>
          <w:rFonts w:ascii="微軟正黑體" w:eastAsia="微軟正黑體" w:hAnsi="微軟正黑體"/>
        </w:rPr>
      </w:pPr>
      <w:r w:rsidRPr="00396A54">
        <w:rPr>
          <w:rStyle w:val="a8"/>
          <w:rFonts w:ascii="微軟正黑體" w:eastAsia="微軟正黑體" w:hAnsi="微軟正黑體"/>
        </w:rPr>
        <w:footnoteRef/>
      </w:r>
      <w:r w:rsidRPr="00396A54">
        <w:rPr>
          <w:rFonts w:ascii="微軟正黑體" w:eastAsia="微軟正黑體" w:hAnsi="微軟正黑體" w:hint="eastAsia"/>
          <w:sz w:val="18"/>
          <w:szCs w:val="18"/>
        </w:rPr>
        <w:t>針對特定銀行機構或特定行業下調存款備備率，增加可供借款資金。</w:t>
      </w:r>
      <w:r w:rsidRPr="00396A54">
        <w:rPr>
          <w:rFonts w:ascii="微軟正黑體" w:eastAsia="微軟正黑體" w:hAnsi="微軟正黑體"/>
          <w:sz w:val="18"/>
          <w:szCs w:val="18"/>
        </w:rPr>
        <w:t>4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月分別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調降縣域農村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商業銀行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和縣域農村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合作銀行存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準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率</w:t>
      </w:r>
      <w:r w:rsidRPr="00396A54">
        <w:rPr>
          <w:rFonts w:ascii="微軟正黑體" w:eastAsia="微軟正黑體" w:hAnsi="微軟正黑體"/>
          <w:sz w:val="18"/>
          <w:szCs w:val="18"/>
        </w:rPr>
        <w:t>2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個百分點和</w:t>
      </w:r>
      <w:r w:rsidRPr="00396A54">
        <w:rPr>
          <w:rFonts w:ascii="微軟正黑體" w:eastAsia="微軟正黑體" w:hAnsi="微軟正黑體"/>
          <w:sz w:val="18"/>
          <w:szCs w:val="18"/>
        </w:rPr>
        <w:t>0.5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個百分點；</w:t>
      </w:r>
      <w:r w:rsidRPr="00396A54">
        <w:rPr>
          <w:rFonts w:ascii="微軟正黑體" w:eastAsia="微軟正黑體" w:hAnsi="微軟正黑體"/>
          <w:sz w:val="18"/>
          <w:szCs w:val="18"/>
        </w:rPr>
        <w:t>6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月對符合審慎經營要求且「三農」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和小微企業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貸款達到一定比例的商業銀行，下調存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準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率</w:t>
      </w:r>
      <w:r w:rsidRPr="00396A54">
        <w:rPr>
          <w:rFonts w:ascii="微軟正黑體" w:eastAsia="微軟正黑體" w:hAnsi="微軟正黑體"/>
          <w:sz w:val="18"/>
          <w:szCs w:val="18"/>
        </w:rPr>
        <w:t>0.5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個百分點。</w:t>
      </w:r>
    </w:p>
  </w:footnote>
  <w:footnote w:id="3">
    <w:p w:rsidR="00B34435" w:rsidRPr="0084509C" w:rsidRDefault="00B34435" w:rsidP="00396A54">
      <w:pPr>
        <w:pStyle w:val="a6"/>
        <w:ind w:left="76" w:hanging="71"/>
      </w:pPr>
      <w:r w:rsidRPr="00396A54">
        <w:rPr>
          <w:rStyle w:val="a8"/>
          <w:rFonts w:ascii="微軟正黑體" w:eastAsia="微軟正黑體" w:hAnsi="微軟正黑體"/>
        </w:rPr>
        <w:footnoteRef/>
      </w:r>
      <w:r w:rsidRPr="00396A54">
        <w:rPr>
          <w:rFonts w:ascii="微軟正黑體" w:eastAsia="微軟正黑體" w:hAnsi="微軟正黑體" w:hint="eastAsia"/>
          <w:sz w:val="18"/>
          <w:szCs w:val="18"/>
        </w:rPr>
        <w:t>人民幣匯率中間價是人民銀行於每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個工作日閉市後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，公佈當日銀行間外匯市場美元對人民幣匯率的收盤價，作為下一個工作日人民幣交易的中間價格，是即期銀行間外匯交易市場和銀行掛牌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匯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價的</w:t>
      </w:r>
      <w:r>
        <w:rPr>
          <w:rFonts w:ascii="微軟正黑體" w:eastAsia="微軟正黑體" w:hAnsi="微軟正黑體" w:hint="eastAsia"/>
          <w:sz w:val="18"/>
          <w:szCs w:val="18"/>
        </w:rPr>
        <w:t>重要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參考指標。</w:t>
      </w:r>
    </w:p>
  </w:footnote>
  <w:footnote w:id="4">
    <w:p w:rsidR="00B34435" w:rsidRPr="008367C6" w:rsidRDefault="00B34435" w:rsidP="005245C0">
      <w:pPr>
        <w:pStyle w:val="a6"/>
        <w:ind w:leftChars="5" w:left="140" w:hangingChars="71" w:hanging="128"/>
        <w:rPr>
          <w:rFonts w:ascii="微軟正黑體" w:eastAsia="微軟正黑體" w:hAnsi="微軟正黑體"/>
          <w:sz w:val="18"/>
          <w:szCs w:val="18"/>
        </w:rPr>
      </w:pPr>
      <w:r w:rsidRPr="008367C6">
        <w:rPr>
          <w:rStyle w:val="a8"/>
          <w:rFonts w:ascii="微軟正黑體" w:eastAsia="微軟正黑體" w:hAnsi="微軟正黑體"/>
          <w:sz w:val="18"/>
          <w:szCs w:val="18"/>
        </w:rPr>
        <w:footnoteRef/>
      </w:r>
      <w:r w:rsidRPr="008367C6">
        <w:rPr>
          <w:rFonts w:ascii="微軟正黑體" w:eastAsia="微軟正黑體" w:hAnsi="微軟正黑體" w:hint="eastAsia"/>
          <w:sz w:val="18"/>
          <w:szCs w:val="18"/>
        </w:rPr>
        <w:t>規模以上：年營收大於2,000萬人民幣的工業企業或國有工業企業；工業增加值：企業於生產過程中所新增加的價值，即工業生產總值扣除中間投入後的餘額。</w:t>
      </w:r>
    </w:p>
  </w:footnote>
  <w:footnote w:id="5">
    <w:p w:rsidR="00B34435" w:rsidRDefault="00B34435" w:rsidP="005245C0">
      <w:pPr>
        <w:pStyle w:val="a6"/>
        <w:ind w:leftChars="5" w:left="154" w:hangingChars="71" w:hanging="142"/>
      </w:pPr>
      <w:r>
        <w:rPr>
          <w:rStyle w:val="a8"/>
        </w:rPr>
        <w:footnoteRef/>
      </w:r>
      <w:r w:rsidRPr="008367C6">
        <w:rPr>
          <w:rFonts w:ascii="微軟正黑體" w:eastAsia="微軟正黑體" w:hAnsi="微軟正黑體" w:hint="eastAsia"/>
          <w:sz w:val="18"/>
          <w:szCs w:val="18"/>
        </w:rPr>
        <w:t>針對特定銀行機構或特定行業下調存款備備率，增加可供借款資金。</w:t>
      </w:r>
      <w:r w:rsidRPr="008367C6">
        <w:rPr>
          <w:rFonts w:ascii="微軟正黑體" w:eastAsia="微軟正黑體" w:hAnsi="微軟正黑體"/>
          <w:sz w:val="18"/>
          <w:szCs w:val="18"/>
        </w:rPr>
        <w:t>4</w:t>
      </w:r>
      <w:r w:rsidRPr="008367C6">
        <w:rPr>
          <w:rFonts w:ascii="微軟正黑體" w:eastAsia="微軟正黑體" w:hAnsi="微軟正黑體" w:hint="eastAsia"/>
          <w:sz w:val="18"/>
          <w:szCs w:val="18"/>
        </w:rPr>
        <w:t>月分別</w:t>
      </w:r>
      <w:proofErr w:type="gramStart"/>
      <w:r w:rsidRPr="008367C6">
        <w:rPr>
          <w:rFonts w:ascii="微軟正黑體" w:eastAsia="微軟正黑體" w:hAnsi="微軟正黑體" w:hint="eastAsia"/>
          <w:sz w:val="18"/>
          <w:szCs w:val="18"/>
        </w:rPr>
        <w:t>調降縣域農村</w:t>
      </w:r>
      <w:proofErr w:type="gramEnd"/>
      <w:r w:rsidRPr="008367C6">
        <w:rPr>
          <w:rFonts w:ascii="微軟正黑體" w:eastAsia="微軟正黑體" w:hAnsi="微軟正黑體" w:hint="eastAsia"/>
          <w:sz w:val="18"/>
          <w:szCs w:val="18"/>
        </w:rPr>
        <w:t>商業銀行</w:t>
      </w:r>
      <w:proofErr w:type="gramStart"/>
      <w:r w:rsidRPr="008367C6">
        <w:rPr>
          <w:rFonts w:ascii="微軟正黑體" w:eastAsia="微軟正黑體" w:hAnsi="微軟正黑體" w:hint="eastAsia"/>
          <w:sz w:val="18"/>
          <w:szCs w:val="18"/>
        </w:rPr>
        <w:t>和縣域農村</w:t>
      </w:r>
      <w:proofErr w:type="gramEnd"/>
      <w:r w:rsidRPr="008367C6">
        <w:rPr>
          <w:rFonts w:ascii="微軟正黑體" w:eastAsia="微軟正黑體" w:hAnsi="微軟正黑體" w:hint="eastAsia"/>
          <w:sz w:val="18"/>
          <w:szCs w:val="18"/>
        </w:rPr>
        <w:t>合作銀行存</w:t>
      </w:r>
      <w:proofErr w:type="gramStart"/>
      <w:r w:rsidRPr="008367C6">
        <w:rPr>
          <w:rFonts w:ascii="微軟正黑體" w:eastAsia="微軟正黑體" w:hAnsi="微軟正黑體" w:hint="eastAsia"/>
          <w:sz w:val="18"/>
          <w:szCs w:val="18"/>
        </w:rPr>
        <w:t>準</w:t>
      </w:r>
      <w:proofErr w:type="gramEnd"/>
      <w:r w:rsidRPr="008367C6">
        <w:rPr>
          <w:rFonts w:ascii="微軟正黑體" w:eastAsia="微軟正黑體" w:hAnsi="微軟正黑體" w:hint="eastAsia"/>
          <w:sz w:val="18"/>
          <w:szCs w:val="18"/>
        </w:rPr>
        <w:t>率</w:t>
      </w:r>
      <w:r w:rsidRPr="008367C6">
        <w:rPr>
          <w:rFonts w:ascii="微軟正黑體" w:eastAsia="微軟正黑體" w:hAnsi="微軟正黑體"/>
          <w:sz w:val="18"/>
          <w:szCs w:val="18"/>
        </w:rPr>
        <w:t>2</w:t>
      </w:r>
      <w:r w:rsidRPr="008367C6">
        <w:rPr>
          <w:rFonts w:ascii="微軟正黑體" w:eastAsia="微軟正黑體" w:hAnsi="微軟正黑體" w:hint="eastAsia"/>
          <w:sz w:val="18"/>
          <w:szCs w:val="18"/>
        </w:rPr>
        <w:t>個百分點和</w:t>
      </w:r>
      <w:r w:rsidRPr="008367C6">
        <w:rPr>
          <w:rFonts w:ascii="微軟正黑體" w:eastAsia="微軟正黑體" w:hAnsi="微軟正黑體"/>
          <w:sz w:val="18"/>
          <w:szCs w:val="18"/>
        </w:rPr>
        <w:t>0.5</w:t>
      </w:r>
      <w:r w:rsidRPr="008367C6">
        <w:rPr>
          <w:rFonts w:ascii="微軟正黑體" w:eastAsia="微軟正黑體" w:hAnsi="微軟正黑體" w:hint="eastAsia"/>
          <w:sz w:val="18"/>
          <w:szCs w:val="18"/>
        </w:rPr>
        <w:t>個百分點</w:t>
      </w:r>
      <w:r w:rsidRPr="008367C6">
        <w:rPr>
          <w:rFonts w:ascii="新細明體" w:hAnsi="新細明體" w:hint="eastAsia"/>
          <w:sz w:val="18"/>
          <w:szCs w:val="18"/>
        </w:rPr>
        <w:t>；</w:t>
      </w:r>
      <w:r w:rsidRPr="008367C6">
        <w:rPr>
          <w:rFonts w:ascii="微軟正黑體" w:eastAsia="微軟正黑體" w:hAnsi="微軟正黑體"/>
          <w:sz w:val="18"/>
          <w:szCs w:val="18"/>
        </w:rPr>
        <w:t>6</w:t>
      </w:r>
      <w:r w:rsidRPr="008367C6">
        <w:rPr>
          <w:rFonts w:ascii="微軟正黑體" w:eastAsia="微軟正黑體" w:hAnsi="微軟正黑體" w:hint="eastAsia"/>
          <w:sz w:val="18"/>
          <w:szCs w:val="18"/>
        </w:rPr>
        <w:t>月對符合審慎經營要求且「三農」和</w:t>
      </w:r>
      <w:r w:rsidRPr="00376324">
        <w:rPr>
          <w:rFonts w:ascii="微軟正黑體" w:eastAsia="微軟正黑體" w:hAnsi="微軟正黑體" w:hint="eastAsia"/>
          <w:sz w:val="18"/>
          <w:szCs w:val="18"/>
        </w:rPr>
        <w:t>「小、微企業」</w:t>
      </w:r>
      <w:r w:rsidRPr="008367C6">
        <w:rPr>
          <w:rFonts w:ascii="微軟正黑體" w:eastAsia="微軟正黑體" w:hAnsi="微軟正黑體" w:hint="eastAsia"/>
          <w:sz w:val="18"/>
          <w:szCs w:val="18"/>
        </w:rPr>
        <w:t>貸款達到一定比例的商業銀行，下調存</w:t>
      </w:r>
      <w:proofErr w:type="gramStart"/>
      <w:r w:rsidRPr="008367C6">
        <w:rPr>
          <w:rFonts w:ascii="微軟正黑體" w:eastAsia="微軟正黑體" w:hAnsi="微軟正黑體" w:hint="eastAsia"/>
          <w:sz w:val="18"/>
          <w:szCs w:val="18"/>
        </w:rPr>
        <w:t>準</w:t>
      </w:r>
      <w:proofErr w:type="gramEnd"/>
      <w:r w:rsidRPr="008367C6">
        <w:rPr>
          <w:rFonts w:ascii="微軟正黑體" w:eastAsia="微軟正黑體" w:hAnsi="微軟正黑體" w:hint="eastAsia"/>
          <w:sz w:val="18"/>
          <w:szCs w:val="18"/>
        </w:rPr>
        <w:t>率</w:t>
      </w:r>
      <w:r w:rsidRPr="008367C6">
        <w:rPr>
          <w:rFonts w:ascii="微軟正黑體" w:eastAsia="微軟正黑體" w:hAnsi="微軟正黑體"/>
          <w:sz w:val="18"/>
          <w:szCs w:val="18"/>
        </w:rPr>
        <w:t>0.5</w:t>
      </w:r>
      <w:r w:rsidRPr="008367C6">
        <w:rPr>
          <w:rFonts w:ascii="微軟正黑體" w:eastAsia="微軟正黑體" w:hAnsi="微軟正黑體" w:hint="eastAsia"/>
          <w:sz w:val="18"/>
          <w:szCs w:val="18"/>
        </w:rPr>
        <w:t>個百分點。</w:t>
      </w:r>
    </w:p>
  </w:footnote>
  <w:footnote w:id="6">
    <w:p w:rsidR="00B34435" w:rsidRPr="004D4A71" w:rsidRDefault="00B34435" w:rsidP="00376324">
      <w:pPr>
        <w:ind w:leftChars="5" w:left="182" w:hangingChars="71" w:hanging="170"/>
        <w:jc w:val="both"/>
        <w:rPr>
          <w:sz w:val="20"/>
          <w:szCs w:val="20"/>
        </w:rPr>
      </w:pPr>
      <w:r>
        <w:rPr>
          <w:rStyle w:val="a8"/>
        </w:rPr>
        <w:footnoteRef/>
      </w:r>
      <w:r w:rsidRPr="00376324">
        <w:rPr>
          <w:rFonts w:ascii="微軟正黑體" w:eastAsia="微軟正黑體" w:hAnsi="微軟正黑體" w:cstheme="minorBidi" w:hint="eastAsia"/>
          <w:sz w:val="18"/>
          <w:szCs w:val="18"/>
        </w:rPr>
        <w:t>中國大陸第1波信貸損失，違約企業以中小企業為主，但隨著中國大陸政府不願再</w:t>
      </w:r>
      <w:proofErr w:type="gramStart"/>
      <w:r w:rsidRPr="00376324">
        <w:rPr>
          <w:rFonts w:ascii="微軟正黑體" w:eastAsia="微軟正黑體" w:hAnsi="微軟正黑體" w:cstheme="minorBidi" w:hint="eastAsia"/>
          <w:sz w:val="18"/>
          <w:szCs w:val="18"/>
        </w:rPr>
        <w:t>為了撐</w:t>
      </w:r>
      <w:proofErr w:type="gramEnd"/>
      <w:r w:rsidRPr="00376324">
        <w:rPr>
          <w:rFonts w:ascii="微軟正黑體" w:eastAsia="微軟正黑體" w:hAnsi="微軟正黑體" w:cstheme="minorBidi" w:hint="eastAsia"/>
          <w:sz w:val="18"/>
          <w:szCs w:val="18"/>
        </w:rPr>
        <w:t>高經濟成長，去支持部分「產能過剩」產業，例如房地產、建材等，將考慮讓部分產能過剩業者逐步退場，第2波信貸違約對象，可能會是中大型產業</w:t>
      </w:r>
      <w:r w:rsidRPr="00376324">
        <w:rPr>
          <w:rFonts w:ascii="標楷體" w:eastAsia="標楷體" w:hAnsi="標楷體" w:cstheme="minorBidi" w:hint="eastAsia"/>
          <w:sz w:val="18"/>
          <w:szCs w:val="18"/>
        </w:rPr>
        <w:t>。</w:t>
      </w:r>
    </w:p>
  </w:footnote>
  <w:footnote w:id="7">
    <w:p w:rsidR="00B34435" w:rsidRPr="003B6150" w:rsidRDefault="00B34435" w:rsidP="005245C0">
      <w:pPr>
        <w:pStyle w:val="a6"/>
        <w:ind w:leftChars="5" w:left="154" w:hangingChars="71" w:hanging="142"/>
      </w:pPr>
      <w:r>
        <w:rPr>
          <w:rStyle w:val="a8"/>
        </w:rPr>
        <w:footnoteRef/>
      </w:r>
      <w:r w:rsidRPr="00396A54">
        <w:rPr>
          <w:rFonts w:ascii="微軟正黑體" w:eastAsia="微軟正黑體" w:hAnsi="微軟正黑體" w:hint="eastAsia"/>
          <w:sz w:val="18"/>
          <w:szCs w:val="18"/>
        </w:rPr>
        <w:t>人民幣匯率中間價是人民銀行於每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個工作日閉市後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，公佈當日銀行間外匯市場美元對人民幣匯率的收盤價，作為下一個工作日人民幣交易的中間價格，是即期銀行間外匯交易市場和銀行掛牌</w:t>
      </w:r>
      <w:proofErr w:type="gramStart"/>
      <w:r w:rsidRPr="00396A54">
        <w:rPr>
          <w:rFonts w:ascii="微軟正黑體" w:eastAsia="微軟正黑體" w:hAnsi="微軟正黑體" w:hint="eastAsia"/>
          <w:sz w:val="18"/>
          <w:szCs w:val="18"/>
        </w:rPr>
        <w:t>匯</w:t>
      </w:r>
      <w:proofErr w:type="gramEnd"/>
      <w:r w:rsidRPr="00396A54">
        <w:rPr>
          <w:rFonts w:ascii="微軟正黑體" w:eastAsia="微軟正黑體" w:hAnsi="微軟正黑體" w:hint="eastAsia"/>
          <w:sz w:val="18"/>
          <w:szCs w:val="18"/>
        </w:rPr>
        <w:t>價的</w:t>
      </w:r>
      <w:r>
        <w:rPr>
          <w:rFonts w:ascii="微軟正黑體" w:eastAsia="微軟正黑體" w:hAnsi="微軟正黑體" w:hint="eastAsia"/>
          <w:sz w:val="18"/>
          <w:szCs w:val="18"/>
        </w:rPr>
        <w:t>重要</w:t>
      </w:r>
      <w:r w:rsidRPr="00396A54">
        <w:rPr>
          <w:rFonts w:ascii="微軟正黑體" w:eastAsia="微軟正黑體" w:hAnsi="微軟正黑體" w:hint="eastAsia"/>
          <w:sz w:val="18"/>
          <w:szCs w:val="18"/>
        </w:rPr>
        <w:t>參考指標。</w:t>
      </w:r>
    </w:p>
  </w:footnote>
  <w:footnote w:id="8">
    <w:p w:rsidR="00B34435" w:rsidRPr="005245C0" w:rsidRDefault="00B34435" w:rsidP="005245C0">
      <w:pPr>
        <w:pStyle w:val="a6"/>
        <w:ind w:leftChars="5" w:left="140" w:hangingChars="71" w:hanging="128"/>
        <w:rPr>
          <w:rFonts w:ascii="微軟正黑體" w:eastAsia="微軟正黑體" w:hAnsi="微軟正黑體"/>
          <w:sz w:val="18"/>
          <w:szCs w:val="18"/>
        </w:rPr>
      </w:pPr>
      <w:r w:rsidRPr="005245C0">
        <w:rPr>
          <w:rStyle w:val="a8"/>
          <w:rFonts w:ascii="微軟正黑體" w:eastAsia="微軟正黑體" w:hAnsi="微軟正黑體"/>
          <w:sz w:val="18"/>
          <w:szCs w:val="18"/>
        </w:rPr>
        <w:footnoteRef/>
      </w:r>
      <w:r w:rsidRPr="005245C0">
        <w:rPr>
          <w:rFonts w:ascii="微軟正黑體" w:eastAsia="微軟正黑體" w:hAnsi="微軟正黑體"/>
          <w:sz w:val="18"/>
          <w:szCs w:val="18"/>
        </w:rPr>
        <w:t xml:space="preserve"> </w:t>
      </w:r>
      <w:r w:rsidRPr="005245C0">
        <w:rPr>
          <w:rFonts w:ascii="微軟正黑體" w:eastAsia="微軟正黑體" w:hAnsi="微軟正黑體" w:hint="eastAsia"/>
          <w:sz w:val="18"/>
          <w:szCs w:val="18"/>
        </w:rPr>
        <w:t>戶籍制度創立於1958年，作為一種社會管理工具，一個人所能獲得的所有</w:t>
      </w:r>
      <w:proofErr w:type="gramStart"/>
      <w:r w:rsidRPr="005245C0">
        <w:rPr>
          <w:rFonts w:ascii="微軟正黑體" w:eastAsia="微軟正黑體" w:hAnsi="微軟正黑體" w:hint="eastAsia"/>
          <w:sz w:val="18"/>
          <w:szCs w:val="18"/>
        </w:rPr>
        <w:t>社會福利均和其</w:t>
      </w:r>
      <w:proofErr w:type="gramEnd"/>
      <w:r w:rsidRPr="005245C0">
        <w:rPr>
          <w:rFonts w:ascii="微軟正黑體" w:eastAsia="微軟正黑體" w:hAnsi="微軟正黑體" w:hint="eastAsia"/>
          <w:sz w:val="18"/>
          <w:szCs w:val="18"/>
        </w:rPr>
        <w:t>出生地相關。戶籍制度將居民分為城鎮人口和農村人口，並限制人們湧入擁有更多資源的大城市。2012年年底，北京常住人口超過2,100萬，但只有略微超過60%的人擁有北京戶口。</w:t>
      </w:r>
    </w:p>
  </w:footnote>
  <w:footnote w:id="9">
    <w:p w:rsidR="00B34435" w:rsidRPr="005245C0" w:rsidRDefault="00B34435" w:rsidP="00CD5969">
      <w:pPr>
        <w:pStyle w:val="a6"/>
        <w:rPr>
          <w:rFonts w:ascii="微軟正黑體" w:eastAsia="微軟正黑體" w:hAnsi="微軟正黑體"/>
          <w:sz w:val="18"/>
          <w:szCs w:val="18"/>
        </w:rPr>
      </w:pPr>
      <w:r w:rsidRPr="005245C0">
        <w:rPr>
          <w:rStyle w:val="a8"/>
          <w:rFonts w:ascii="微軟正黑體" w:eastAsia="微軟正黑體" w:hAnsi="微軟正黑體"/>
          <w:sz w:val="18"/>
          <w:szCs w:val="18"/>
        </w:rPr>
        <w:footnoteRef/>
      </w:r>
      <w:r w:rsidRPr="005245C0">
        <w:rPr>
          <w:rFonts w:ascii="微軟正黑體" w:eastAsia="微軟正黑體" w:hAnsi="微軟正黑體" w:hint="eastAsia"/>
          <w:sz w:val="18"/>
          <w:szCs w:val="18"/>
        </w:rPr>
        <w:t xml:space="preserve"> 整理自中國大陸國家統計局10月21日發言人就2014年前三季度國民經濟運行情況記者會訪談資料。</w:t>
      </w:r>
    </w:p>
  </w:footnote>
  <w:footnote w:id="10">
    <w:p w:rsidR="00B34435" w:rsidRPr="005245C0" w:rsidRDefault="00B34435" w:rsidP="00CD5969">
      <w:pPr>
        <w:pStyle w:val="a6"/>
        <w:rPr>
          <w:rFonts w:ascii="微軟正黑體" w:eastAsia="微軟正黑體" w:hAnsi="微軟正黑體"/>
          <w:sz w:val="18"/>
          <w:szCs w:val="18"/>
        </w:rPr>
      </w:pPr>
      <w:r w:rsidRPr="005245C0">
        <w:rPr>
          <w:rStyle w:val="a8"/>
          <w:rFonts w:ascii="微軟正黑體" w:eastAsia="微軟正黑體" w:hAnsi="微軟正黑體"/>
          <w:sz w:val="18"/>
          <w:szCs w:val="18"/>
        </w:rPr>
        <w:footnoteRef/>
      </w:r>
      <w:r w:rsidRPr="005245C0">
        <w:rPr>
          <w:rFonts w:ascii="微軟正黑體" w:eastAsia="微軟正黑體" w:hAnsi="微軟正黑體"/>
          <w:sz w:val="18"/>
          <w:szCs w:val="18"/>
        </w:rPr>
        <w:t xml:space="preserve"> </w:t>
      </w:r>
      <w:r w:rsidRPr="005245C0">
        <w:rPr>
          <w:rFonts w:ascii="微軟正黑體" w:eastAsia="微軟正黑體" w:hAnsi="微軟正黑體" w:hint="eastAsia"/>
          <w:sz w:val="18"/>
          <w:szCs w:val="18"/>
        </w:rPr>
        <w:t>假設平均利率為7%計算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1A1"/>
    <w:multiLevelType w:val="hybridMultilevel"/>
    <w:tmpl w:val="1570DD16"/>
    <w:lvl w:ilvl="0" w:tplc="9308461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822FB9"/>
    <w:multiLevelType w:val="hybridMultilevel"/>
    <w:tmpl w:val="2F2AAE7C"/>
    <w:lvl w:ilvl="0" w:tplc="03C03EE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E20668"/>
    <w:multiLevelType w:val="hybridMultilevel"/>
    <w:tmpl w:val="671E592E"/>
    <w:lvl w:ilvl="0" w:tplc="599E61E2">
      <w:start w:val="1"/>
      <w:numFmt w:val="bullet"/>
      <w:lvlText w:val="﹣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3D8E06E">
      <w:start w:val="1"/>
      <w:numFmt w:val="bullet"/>
      <w:lvlText w:val="﹣"/>
      <w:lvlJc w:val="left"/>
      <w:pPr>
        <w:ind w:left="1048" w:hanging="480"/>
      </w:pPr>
      <w:rPr>
        <w:rFonts w:ascii="標楷體" w:eastAsia="標楷體" w:hAnsi="標楷體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4F6C27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4">
    <w:nsid w:val="09B812B1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5">
    <w:nsid w:val="11DC526C"/>
    <w:multiLevelType w:val="hybridMultilevel"/>
    <w:tmpl w:val="B0FE6C50"/>
    <w:lvl w:ilvl="0" w:tplc="983492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BE019B"/>
    <w:multiLevelType w:val="hybridMultilevel"/>
    <w:tmpl w:val="8D1CD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D606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090B65"/>
    <w:multiLevelType w:val="hybridMultilevel"/>
    <w:tmpl w:val="7CF65488"/>
    <w:lvl w:ilvl="0" w:tplc="632274D2">
      <w:start w:val="1"/>
      <w:numFmt w:val="taiwaneseCountingThousand"/>
      <w:lvlText w:val="(%1)"/>
      <w:lvlJc w:val="left"/>
      <w:pPr>
        <w:ind w:left="958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7224A4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9">
    <w:nsid w:val="29FB31B1"/>
    <w:multiLevelType w:val="hybridMultilevel"/>
    <w:tmpl w:val="1570DD16"/>
    <w:lvl w:ilvl="0" w:tplc="9308461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BD1E6E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11">
    <w:nsid w:val="2BF51B6F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12">
    <w:nsid w:val="2D05519A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13">
    <w:nsid w:val="2EF65F84"/>
    <w:multiLevelType w:val="hybridMultilevel"/>
    <w:tmpl w:val="2A4058D2"/>
    <w:lvl w:ilvl="0" w:tplc="03C03EE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28377C4"/>
    <w:multiLevelType w:val="multilevel"/>
    <w:tmpl w:val="C6262B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pStyle w:val="2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taiwaneseCountingThousand"/>
      <w:pStyle w:val="3"/>
      <w:lvlText w:val="（%3）"/>
      <w:lvlJc w:val="left"/>
      <w:pPr>
        <w:ind w:left="1383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15">
    <w:nsid w:val="365C2F72"/>
    <w:multiLevelType w:val="hybridMultilevel"/>
    <w:tmpl w:val="6DE6A53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16">
    <w:nsid w:val="51062C9D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17">
    <w:nsid w:val="59F01EB5"/>
    <w:multiLevelType w:val="hybridMultilevel"/>
    <w:tmpl w:val="85A4637A"/>
    <w:lvl w:ilvl="0" w:tplc="03C03EE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ED60CFE"/>
    <w:multiLevelType w:val="hybridMultilevel"/>
    <w:tmpl w:val="5AB0703A"/>
    <w:lvl w:ilvl="0" w:tplc="E5244614">
      <w:start w:val="1"/>
      <w:numFmt w:val="ideographLegalTraditional"/>
      <w:pStyle w:val="1"/>
      <w:lvlText w:val="%1、"/>
      <w:lvlJc w:val="left"/>
      <w:pPr>
        <w:ind w:left="481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9">
    <w:nsid w:val="660B1061"/>
    <w:multiLevelType w:val="hybridMultilevel"/>
    <w:tmpl w:val="44781754"/>
    <w:lvl w:ilvl="0" w:tplc="34EC9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FD3C31"/>
    <w:multiLevelType w:val="hybridMultilevel"/>
    <w:tmpl w:val="CF2676C2"/>
    <w:lvl w:ilvl="0" w:tplc="632274D2">
      <w:start w:val="1"/>
      <w:numFmt w:val="taiwaneseCountingThousand"/>
      <w:lvlText w:val="(%1)"/>
      <w:lvlJc w:val="left"/>
      <w:pPr>
        <w:ind w:left="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abstractNum w:abstractNumId="21">
    <w:nsid w:val="780539ED"/>
    <w:multiLevelType w:val="hybridMultilevel"/>
    <w:tmpl w:val="1570DD16"/>
    <w:lvl w:ilvl="0" w:tplc="9308461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A7934DC"/>
    <w:multiLevelType w:val="hybridMultilevel"/>
    <w:tmpl w:val="FD22CE8A"/>
    <w:lvl w:ilvl="0" w:tplc="0D84C7A4">
      <w:start w:val="1"/>
      <w:numFmt w:val="taiwaneseCountingThousand"/>
      <w:pStyle w:val="10"/>
      <w:lvlText w:val="(%1)"/>
      <w:lvlJc w:val="left"/>
      <w:pPr>
        <w:ind w:left="481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3">
    <w:nsid w:val="7E3916F1"/>
    <w:multiLevelType w:val="hybridMultilevel"/>
    <w:tmpl w:val="A3FC90BC"/>
    <w:lvl w:ilvl="0" w:tplc="32FEAD8E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15"/>
  </w:num>
  <w:num w:numId="8">
    <w:abstractNumId w:val="3"/>
  </w:num>
  <w:num w:numId="9">
    <w:abstractNumId w:val="17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23"/>
  </w:num>
  <w:num w:numId="15">
    <w:abstractNumId w:val="19"/>
  </w:num>
  <w:num w:numId="16">
    <w:abstractNumId w:val="6"/>
  </w:num>
  <w:num w:numId="17">
    <w:abstractNumId w:val="9"/>
  </w:num>
  <w:num w:numId="18">
    <w:abstractNumId w:val="21"/>
  </w:num>
  <w:num w:numId="19">
    <w:abstractNumId w:val="0"/>
  </w:num>
  <w:num w:numId="20">
    <w:abstractNumId w:val="5"/>
  </w:num>
  <w:num w:numId="21">
    <w:abstractNumId w:val="20"/>
  </w:num>
  <w:num w:numId="22">
    <w:abstractNumId w:val="8"/>
  </w:num>
  <w:num w:numId="23">
    <w:abstractNumId w:val="4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CB"/>
    <w:rsid w:val="00000140"/>
    <w:rsid w:val="00000A86"/>
    <w:rsid w:val="00000E66"/>
    <w:rsid w:val="00001D0C"/>
    <w:rsid w:val="0000200C"/>
    <w:rsid w:val="00002369"/>
    <w:rsid w:val="00002C28"/>
    <w:rsid w:val="00004516"/>
    <w:rsid w:val="0000647C"/>
    <w:rsid w:val="000102CA"/>
    <w:rsid w:val="00010566"/>
    <w:rsid w:val="00010579"/>
    <w:rsid w:val="00010C43"/>
    <w:rsid w:val="000113D4"/>
    <w:rsid w:val="00011B05"/>
    <w:rsid w:val="00011CCB"/>
    <w:rsid w:val="000128F9"/>
    <w:rsid w:val="00013F19"/>
    <w:rsid w:val="000150CC"/>
    <w:rsid w:val="000154C1"/>
    <w:rsid w:val="00015F52"/>
    <w:rsid w:val="000163FC"/>
    <w:rsid w:val="0001653B"/>
    <w:rsid w:val="00016D61"/>
    <w:rsid w:val="00017FFA"/>
    <w:rsid w:val="00022509"/>
    <w:rsid w:val="00023552"/>
    <w:rsid w:val="00023B43"/>
    <w:rsid w:val="00024032"/>
    <w:rsid w:val="000249AD"/>
    <w:rsid w:val="00024F49"/>
    <w:rsid w:val="0002642D"/>
    <w:rsid w:val="00026FE0"/>
    <w:rsid w:val="000310EA"/>
    <w:rsid w:val="000313C0"/>
    <w:rsid w:val="0003155D"/>
    <w:rsid w:val="0003260E"/>
    <w:rsid w:val="000340C0"/>
    <w:rsid w:val="00034F79"/>
    <w:rsid w:val="00035E08"/>
    <w:rsid w:val="00036597"/>
    <w:rsid w:val="00037BD1"/>
    <w:rsid w:val="0004003B"/>
    <w:rsid w:val="00041D75"/>
    <w:rsid w:val="00041D7E"/>
    <w:rsid w:val="0004450F"/>
    <w:rsid w:val="00045AA9"/>
    <w:rsid w:val="00046092"/>
    <w:rsid w:val="00047D0C"/>
    <w:rsid w:val="000504EA"/>
    <w:rsid w:val="0005057D"/>
    <w:rsid w:val="000513AA"/>
    <w:rsid w:val="00054916"/>
    <w:rsid w:val="0005513C"/>
    <w:rsid w:val="00057F66"/>
    <w:rsid w:val="00060953"/>
    <w:rsid w:val="00062BBC"/>
    <w:rsid w:val="00063158"/>
    <w:rsid w:val="00063C52"/>
    <w:rsid w:val="00063DB9"/>
    <w:rsid w:val="00064C1A"/>
    <w:rsid w:val="00065F77"/>
    <w:rsid w:val="0006708A"/>
    <w:rsid w:val="00067123"/>
    <w:rsid w:val="00067608"/>
    <w:rsid w:val="000702BA"/>
    <w:rsid w:val="00070E0E"/>
    <w:rsid w:val="0007135A"/>
    <w:rsid w:val="00071433"/>
    <w:rsid w:val="000719EC"/>
    <w:rsid w:val="00075BF4"/>
    <w:rsid w:val="00076AC7"/>
    <w:rsid w:val="00077840"/>
    <w:rsid w:val="00077B9F"/>
    <w:rsid w:val="00080168"/>
    <w:rsid w:val="0008097C"/>
    <w:rsid w:val="00082203"/>
    <w:rsid w:val="00083763"/>
    <w:rsid w:val="00084B2E"/>
    <w:rsid w:val="00084CDB"/>
    <w:rsid w:val="00085073"/>
    <w:rsid w:val="00086BCF"/>
    <w:rsid w:val="00087B55"/>
    <w:rsid w:val="00090C57"/>
    <w:rsid w:val="00090DB3"/>
    <w:rsid w:val="000926C5"/>
    <w:rsid w:val="00092CAA"/>
    <w:rsid w:val="0009307F"/>
    <w:rsid w:val="00093CF7"/>
    <w:rsid w:val="000948D0"/>
    <w:rsid w:val="00095EF9"/>
    <w:rsid w:val="0009633A"/>
    <w:rsid w:val="00096D8A"/>
    <w:rsid w:val="00097000"/>
    <w:rsid w:val="000A0BB7"/>
    <w:rsid w:val="000A133B"/>
    <w:rsid w:val="000A2280"/>
    <w:rsid w:val="000A5FC8"/>
    <w:rsid w:val="000A6E81"/>
    <w:rsid w:val="000A79E8"/>
    <w:rsid w:val="000B1524"/>
    <w:rsid w:val="000B2218"/>
    <w:rsid w:val="000B304C"/>
    <w:rsid w:val="000B3DA3"/>
    <w:rsid w:val="000B4DD3"/>
    <w:rsid w:val="000B6A54"/>
    <w:rsid w:val="000B7AE2"/>
    <w:rsid w:val="000C0924"/>
    <w:rsid w:val="000C2EE2"/>
    <w:rsid w:val="000C37F2"/>
    <w:rsid w:val="000C3FFD"/>
    <w:rsid w:val="000C54E0"/>
    <w:rsid w:val="000C59F3"/>
    <w:rsid w:val="000C67D7"/>
    <w:rsid w:val="000C6B17"/>
    <w:rsid w:val="000C6C08"/>
    <w:rsid w:val="000C7609"/>
    <w:rsid w:val="000C773C"/>
    <w:rsid w:val="000C7BCE"/>
    <w:rsid w:val="000D4A2C"/>
    <w:rsid w:val="000D73DD"/>
    <w:rsid w:val="000D77F2"/>
    <w:rsid w:val="000D78DD"/>
    <w:rsid w:val="000E0182"/>
    <w:rsid w:val="000E0CCD"/>
    <w:rsid w:val="000E2107"/>
    <w:rsid w:val="000E24AD"/>
    <w:rsid w:val="000E313B"/>
    <w:rsid w:val="000E372A"/>
    <w:rsid w:val="000E4958"/>
    <w:rsid w:val="000E595A"/>
    <w:rsid w:val="000E5AD0"/>
    <w:rsid w:val="000E6134"/>
    <w:rsid w:val="000E7142"/>
    <w:rsid w:val="000F040A"/>
    <w:rsid w:val="000F18B4"/>
    <w:rsid w:val="000F1A02"/>
    <w:rsid w:val="000F241A"/>
    <w:rsid w:val="000F261F"/>
    <w:rsid w:val="000F308F"/>
    <w:rsid w:val="000F3DE7"/>
    <w:rsid w:val="000F4104"/>
    <w:rsid w:val="000F6F0F"/>
    <w:rsid w:val="0010277B"/>
    <w:rsid w:val="00103756"/>
    <w:rsid w:val="00103E7E"/>
    <w:rsid w:val="00104156"/>
    <w:rsid w:val="001042E6"/>
    <w:rsid w:val="00104479"/>
    <w:rsid w:val="00104608"/>
    <w:rsid w:val="00104A5C"/>
    <w:rsid w:val="00106685"/>
    <w:rsid w:val="00107ACC"/>
    <w:rsid w:val="00107CE6"/>
    <w:rsid w:val="00111C76"/>
    <w:rsid w:val="00111DA2"/>
    <w:rsid w:val="001161A6"/>
    <w:rsid w:val="00116D20"/>
    <w:rsid w:val="00120727"/>
    <w:rsid w:val="00120AB6"/>
    <w:rsid w:val="00121DD9"/>
    <w:rsid w:val="00123534"/>
    <w:rsid w:val="001246CD"/>
    <w:rsid w:val="00125824"/>
    <w:rsid w:val="001260BA"/>
    <w:rsid w:val="00126190"/>
    <w:rsid w:val="00126D5C"/>
    <w:rsid w:val="00127E89"/>
    <w:rsid w:val="00130490"/>
    <w:rsid w:val="00130A7D"/>
    <w:rsid w:val="001318A9"/>
    <w:rsid w:val="001318DE"/>
    <w:rsid w:val="0013215E"/>
    <w:rsid w:val="001325E9"/>
    <w:rsid w:val="001332C7"/>
    <w:rsid w:val="001345D2"/>
    <w:rsid w:val="00134843"/>
    <w:rsid w:val="00134D6E"/>
    <w:rsid w:val="001350D0"/>
    <w:rsid w:val="00136D60"/>
    <w:rsid w:val="00137102"/>
    <w:rsid w:val="00137936"/>
    <w:rsid w:val="00143548"/>
    <w:rsid w:val="001435D9"/>
    <w:rsid w:val="00143A45"/>
    <w:rsid w:val="00144C01"/>
    <w:rsid w:val="00145528"/>
    <w:rsid w:val="0014752F"/>
    <w:rsid w:val="001475DA"/>
    <w:rsid w:val="0015001C"/>
    <w:rsid w:val="00150490"/>
    <w:rsid w:val="00150D0C"/>
    <w:rsid w:val="001512A4"/>
    <w:rsid w:val="0015151A"/>
    <w:rsid w:val="00152BD7"/>
    <w:rsid w:val="00152E8F"/>
    <w:rsid w:val="001532BE"/>
    <w:rsid w:val="00154D51"/>
    <w:rsid w:val="00155370"/>
    <w:rsid w:val="001559A2"/>
    <w:rsid w:val="00155EFE"/>
    <w:rsid w:val="00155F07"/>
    <w:rsid w:val="00156807"/>
    <w:rsid w:val="00156E2A"/>
    <w:rsid w:val="0015727D"/>
    <w:rsid w:val="00157C5C"/>
    <w:rsid w:val="00161583"/>
    <w:rsid w:val="00161792"/>
    <w:rsid w:val="001619E4"/>
    <w:rsid w:val="0016214F"/>
    <w:rsid w:val="00162CA9"/>
    <w:rsid w:val="00163618"/>
    <w:rsid w:val="00164061"/>
    <w:rsid w:val="00164154"/>
    <w:rsid w:val="0016441F"/>
    <w:rsid w:val="00164BDF"/>
    <w:rsid w:val="001650BB"/>
    <w:rsid w:val="00166235"/>
    <w:rsid w:val="00166A18"/>
    <w:rsid w:val="00166BC6"/>
    <w:rsid w:val="00167EE0"/>
    <w:rsid w:val="001720C9"/>
    <w:rsid w:val="0017351A"/>
    <w:rsid w:val="00173CCF"/>
    <w:rsid w:val="001756F5"/>
    <w:rsid w:val="00176AA3"/>
    <w:rsid w:val="00177A46"/>
    <w:rsid w:val="00177A85"/>
    <w:rsid w:val="0018186A"/>
    <w:rsid w:val="0018224E"/>
    <w:rsid w:val="00182701"/>
    <w:rsid w:val="001831A7"/>
    <w:rsid w:val="00183901"/>
    <w:rsid w:val="0018489E"/>
    <w:rsid w:val="00184F37"/>
    <w:rsid w:val="0018560C"/>
    <w:rsid w:val="00185789"/>
    <w:rsid w:val="0018792C"/>
    <w:rsid w:val="0019007C"/>
    <w:rsid w:val="00191108"/>
    <w:rsid w:val="0019230E"/>
    <w:rsid w:val="001954D6"/>
    <w:rsid w:val="00195D44"/>
    <w:rsid w:val="001966AB"/>
    <w:rsid w:val="00197B38"/>
    <w:rsid w:val="00197E56"/>
    <w:rsid w:val="00197EC9"/>
    <w:rsid w:val="001A0556"/>
    <w:rsid w:val="001A12EB"/>
    <w:rsid w:val="001A1B53"/>
    <w:rsid w:val="001A2EBD"/>
    <w:rsid w:val="001A42BA"/>
    <w:rsid w:val="001A6161"/>
    <w:rsid w:val="001B0A4D"/>
    <w:rsid w:val="001B0A54"/>
    <w:rsid w:val="001B0FE4"/>
    <w:rsid w:val="001B13D4"/>
    <w:rsid w:val="001B240D"/>
    <w:rsid w:val="001B4392"/>
    <w:rsid w:val="001B551A"/>
    <w:rsid w:val="001B61A3"/>
    <w:rsid w:val="001B6879"/>
    <w:rsid w:val="001B6A4F"/>
    <w:rsid w:val="001B6FAA"/>
    <w:rsid w:val="001B7033"/>
    <w:rsid w:val="001B7141"/>
    <w:rsid w:val="001B73F1"/>
    <w:rsid w:val="001B7A1C"/>
    <w:rsid w:val="001B7E46"/>
    <w:rsid w:val="001C019C"/>
    <w:rsid w:val="001C0918"/>
    <w:rsid w:val="001C0B36"/>
    <w:rsid w:val="001C1223"/>
    <w:rsid w:val="001C1730"/>
    <w:rsid w:val="001C1ABA"/>
    <w:rsid w:val="001C23C7"/>
    <w:rsid w:val="001C4903"/>
    <w:rsid w:val="001C4DFB"/>
    <w:rsid w:val="001C5048"/>
    <w:rsid w:val="001C5B72"/>
    <w:rsid w:val="001C6758"/>
    <w:rsid w:val="001C6960"/>
    <w:rsid w:val="001C778E"/>
    <w:rsid w:val="001D0991"/>
    <w:rsid w:val="001D0A13"/>
    <w:rsid w:val="001D1AD7"/>
    <w:rsid w:val="001D1B93"/>
    <w:rsid w:val="001D2159"/>
    <w:rsid w:val="001D384E"/>
    <w:rsid w:val="001D4D17"/>
    <w:rsid w:val="001D5CDC"/>
    <w:rsid w:val="001D5DDF"/>
    <w:rsid w:val="001D7797"/>
    <w:rsid w:val="001E03EB"/>
    <w:rsid w:val="001E05FB"/>
    <w:rsid w:val="001E0F99"/>
    <w:rsid w:val="001E19DD"/>
    <w:rsid w:val="001E2451"/>
    <w:rsid w:val="001E3664"/>
    <w:rsid w:val="001E6A27"/>
    <w:rsid w:val="001F0F70"/>
    <w:rsid w:val="001F1196"/>
    <w:rsid w:val="001F1EF6"/>
    <w:rsid w:val="001F206D"/>
    <w:rsid w:val="001F22C0"/>
    <w:rsid w:val="001F350C"/>
    <w:rsid w:val="001F4AB4"/>
    <w:rsid w:val="001F4DAB"/>
    <w:rsid w:val="001F5C0C"/>
    <w:rsid w:val="001F7442"/>
    <w:rsid w:val="001F78C8"/>
    <w:rsid w:val="0020110A"/>
    <w:rsid w:val="0020149B"/>
    <w:rsid w:val="00201E49"/>
    <w:rsid w:val="0020268A"/>
    <w:rsid w:val="0020294B"/>
    <w:rsid w:val="00204A7F"/>
    <w:rsid w:val="00205906"/>
    <w:rsid w:val="0020661E"/>
    <w:rsid w:val="002074F5"/>
    <w:rsid w:val="00207535"/>
    <w:rsid w:val="0021016A"/>
    <w:rsid w:val="00210235"/>
    <w:rsid w:val="00210A9E"/>
    <w:rsid w:val="00210D1F"/>
    <w:rsid w:val="0021190E"/>
    <w:rsid w:val="00213165"/>
    <w:rsid w:val="002131FB"/>
    <w:rsid w:val="002142D3"/>
    <w:rsid w:val="0021468B"/>
    <w:rsid w:val="00214EEA"/>
    <w:rsid w:val="0021664B"/>
    <w:rsid w:val="002166F2"/>
    <w:rsid w:val="00216C41"/>
    <w:rsid w:val="0022042E"/>
    <w:rsid w:val="0022056A"/>
    <w:rsid w:val="00220B0E"/>
    <w:rsid w:val="00222957"/>
    <w:rsid w:val="00223729"/>
    <w:rsid w:val="002239F7"/>
    <w:rsid w:val="00223E10"/>
    <w:rsid w:val="00227114"/>
    <w:rsid w:val="0023017E"/>
    <w:rsid w:val="00230A59"/>
    <w:rsid w:val="00231B14"/>
    <w:rsid w:val="00232E1B"/>
    <w:rsid w:val="002330D9"/>
    <w:rsid w:val="00233D98"/>
    <w:rsid w:val="00234A23"/>
    <w:rsid w:val="00235584"/>
    <w:rsid w:val="0023647B"/>
    <w:rsid w:val="0023654F"/>
    <w:rsid w:val="002371BD"/>
    <w:rsid w:val="0023726C"/>
    <w:rsid w:val="00237B28"/>
    <w:rsid w:val="00240901"/>
    <w:rsid w:val="00242446"/>
    <w:rsid w:val="00242F40"/>
    <w:rsid w:val="002439BE"/>
    <w:rsid w:val="002446F8"/>
    <w:rsid w:val="002454D0"/>
    <w:rsid w:val="002460CA"/>
    <w:rsid w:val="00246876"/>
    <w:rsid w:val="00246E8A"/>
    <w:rsid w:val="00251F3E"/>
    <w:rsid w:val="0025200A"/>
    <w:rsid w:val="0025201E"/>
    <w:rsid w:val="00252490"/>
    <w:rsid w:val="00252B03"/>
    <w:rsid w:val="00252EE1"/>
    <w:rsid w:val="00253E1D"/>
    <w:rsid w:val="002559CB"/>
    <w:rsid w:val="002571B8"/>
    <w:rsid w:val="00260BE9"/>
    <w:rsid w:val="002614F3"/>
    <w:rsid w:val="00261E9D"/>
    <w:rsid w:val="002620FE"/>
    <w:rsid w:val="002656D5"/>
    <w:rsid w:val="002658AC"/>
    <w:rsid w:val="00265C64"/>
    <w:rsid w:val="002669A0"/>
    <w:rsid w:val="00266B9E"/>
    <w:rsid w:val="00267827"/>
    <w:rsid w:val="002700A6"/>
    <w:rsid w:val="002702B6"/>
    <w:rsid w:val="00270AF4"/>
    <w:rsid w:val="00270E00"/>
    <w:rsid w:val="002710A9"/>
    <w:rsid w:val="002711C6"/>
    <w:rsid w:val="00271593"/>
    <w:rsid w:val="00272197"/>
    <w:rsid w:val="0027323D"/>
    <w:rsid w:val="0027339C"/>
    <w:rsid w:val="00273851"/>
    <w:rsid w:val="00274D95"/>
    <w:rsid w:val="00276801"/>
    <w:rsid w:val="00277372"/>
    <w:rsid w:val="00277A1D"/>
    <w:rsid w:val="00280277"/>
    <w:rsid w:val="00281F91"/>
    <w:rsid w:val="00282545"/>
    <w:rsid w:val="00282A50"/>
    <w:rsid w:val="00282A85"/>
    <w:rsid w:val="002836A6"/>
    <w:rsid w:val="00283D07"/>
    <w:rsid w:val="00283DE1"/>
    <w:rsid w:val="002860D3"/>
    <w:rsid w:val="0028633B"/>
    <w:rsid w:val="002863DE"/>
    <w:rsid w:val="00286F7F"/>
    <w:rsid w:val="0029043D"/>
    <w:rsid w:val="002904E5"/>
    <w:rsid w:val="002918E0"/>
    <w:rsid w:val="0029662F"/>
    <w:rsid w:val="00296AC0"/>
    <w:rsid w:val="00297566"/>
    <w:rsid w:val="002975CD"/>
    <w:rsid w:val="00297A52"/>
    <w:rsid w:val="002A07A7"/>
    <w:rsid w:val="002A12E4"/>
    <w:rsid w:val="002A4541"/>
    <w:rsid w:val="002A49BF"/>
    <w:rsid w:val="002A4E4C"/>
    <w:rsid w:val="002A5654"/>
    <w:rsid w:val="002A5906"/>
    <w:rsid w:val="002A6623"/>
    <w:rsid w:val="002A765E"/>
    <w:rsid w:val="002B0F28"/>
    <w:rsid w:val="002B240B"/>
    <w:rsid w:val="002B2545"/>
    <w:rsid w:val="002B338E"/>
    <w:rsid w:val="002B4C3D"/>
    <w:rsid w:val="002B505F"/>
    <w:rsid w:val="002B5189"/>
    <w:rsid w:val="002B54C8"/>
    <w:rsid w:val="002B54D7"/>
    <w:rsid w:val="002B5A3D"/>
    <w:rsid w:val="002B5F2E"/>
    <w:rsid w:val="002B60CD"/>
    <w:rsid w:val="002B6805"/>
    <w:rsid w:val="002B6B6C"/>
    <w:rsid w:val="002B6D5B"/>
    <w:rsid w:val="002B7873"/>
    <w:rsid w:val="002B7B90"/>
    <w:rsid w:val="002C067E"/>
    <w:rsid w:val="002C3D64"/>
    <w:rsid w:val="002C45AA"/>
    <w:rsid w:val="002C524F"/>
    <w:rsid w:val="002C644F"/>
    <w:rsid w:val="002C6893"/>
    <w:rsid w:val="002C6BD8"/>
    <w:rsid w:val="002C7A0C"/>
    <w:rsid w:val="002C7E84"/>
    <w:rsid w:val="002D0480"/>
    <w:rsid w:val="002D1C8B"/>
    <w:rsid w:val="002D226C"/>
    <w:rsid w:val="002D3306"/>
    <w:rsid w:val="002D3961"/>
    <w:rsid w:val="002D3A69"/>
    <w:rsid w:val="002D47A1"/>
    <w:rsid w:val="002D55A9"/>
    <w:rsid w:val="002D78FB"/>
    <w:rsid w:val="002E0040"/>
    <w:rsid w:val="002E1546"/>
    <w:rsid w:val="002E3160"/>
    <w:rsid w:val="002E32E2"/>
    <w:rsid w:val="002E3F82"/>
    <w:rsid w:val="002E4C8B"/>
    <w:rsid w:val="002E60A4"/>
    <w:rsid w:val="002E6667"/>
    <w:rsid w:val="002E6AF4"/>
    <w:rsid w:val="002E6D09"/>
    <w:rsid w:val="002E6D30"/>
    <w:rsid w:val="002F0F5F"/>
    <w:rsid w:val="002F25AF"/>
    <w:rsid w:val="002F3D9E"/>
    <w:rsid w:val="002F4A67"/>
    <w:rsid w:val="002F591E"/>
    <w:rsid w:val="002F6A86"/>
    <w:rsid w:val="002F74C8"/>
    <w:rsid w:val="002F74DA"/>
    <w:rsid w:val="002F75F0"/>
    <w:rsid w:val="003006CB"/>
    <w:rsid w:val="00300704"/>
    <w:rsid w:val="00300F0C"/>
    <w:rsid w:val="00301E4D"/>
    <w:rsid w:val="00302F03"/>
    <w:rsid w:val="0030387D"/>
    <w:rsid w:val="003048A7"/>
    <w:rsid w:val="00304C30"/>
    <w:rsid w:val="00311B6C"/>
    <w:rsid w:val="00312135"/>
    <w:rsid w:val="003135BF"/>
    <w:rsid w:val="00313617"/>
    <w:rsid w:val="0031374D"/>
    <w:rsid w:val="00314C7E"/>
    <w:rsid w:val="00316590"/>
    <w:rsid w:val="003166A1"/>
    <w:rsid w:val="00316A33"/>
    <w:rsid w:val="00316E65"/>
    <w:rsid w:val="00316F4B"/>
    <w:rsid w:val="00317038"/>
    <w:rsid w:val="00317479"/>
    <w:rsid w:val="003209E9"/>
    <w:rsid w:val="00321015"/>
    <w:rsid w:val="0032169A"/>
    <w:rsid w:val="00322EF5"/>
    <w:rsid w:val="00323BB6"/>
    <w:rsid w:val="00323D32"/>
    <w:rsid w:val="00323DFF"/>
    <w:rsid w:val="00324163"/>
    <w:rsid w:val="003243B2"/>
    <w:rsid w:val="00327498"/>
    <w:rsid w:val="00327FAA"/>
    <w:rsid w:val="00330948"/>
    <w:rsid w:val="00332DF7"/>
    <w:rsid w:val="00333D7D"/>
    <w:rsid w:val="0033430B"/>
    <w:rsid w:val="00334F38"/>
    <w:rsid w:val="00335374"/>
    <w:rsid w:val="003356D3"/>
    <w:rsid w:val="003362CB"/>
    <w:rsid w:val="003365BA"/>
    <w:rsid w:val="00336E8F"/>
    <w:rsid w:val="003372E4"/>
    <w:rsid w:val="00337CE6"/>
    <w:rsid w:val="0034041C"/>
    <w:rsid w:val="00341554"/>
    <w:rsid w:val="00342248"/>
    <w:rsid w:val="003433DA"/>
    <w:rsid w:val="003434EC"/>
    <w:rsid w:val="00344654"/>
    <w:rsid w:val="00346DF1"/>
    <w:rsid w:val="003471E4"/>
    <w:rsid w:val="0034787B"/>
    <w:rsid w:val="00350613"/>
    <w:rsid w:val="00350771"/>
    <w:rsid w:val="0035196F"/>
    <w:rsid w:val="00351A5A"/>
    <w:rsid w:val="00353FEE"/>
    <w:rsid w:val="0035482F"/>
    <w:rsid w:val="00355550"/>
    <w:rsid w:val="003558DE"/>
    <w:rsid w:val="003567C0"/>
    <w:rsid w:val="00357658"/>
    <w:rsid w:val="00357721"/>
    <w:rsid w:val="00357BAC"/>
    <w:rsid w:val="00360140"/>
    <w:rsid w:val="00361D5B"/>
    <w:rsid w:val="00363243"/>
    <w:rsid w:val="00364CBF"/>
    <w:rsid w:val="00366272"/>
    <w:rsid w:val="00366681"/>
    <w:rsid w:val="00366D68"/>
    <w:rsid w:val="003674DA"/>
    <w:rsid w:val="0037068B"/>
    <w:rsid w:val="00371A60"/>
    <w:rsid w:val="00371E83"/>
    <w:rsid w:val="00372DF8"/>
    <w:rsid w:val="00373AE2"/>
    <w:rsid w:val="003749E1"/>
    <w:rsid w:val="00374A1B"/>
    <w:rsid w:val="003757B1"/>
    <w:rsid w:val="00376324"/>
    <w:rsid w:val="00377FBC"/>
    <w:rsid w:val="00380E61"/>
    <w:rsid w:val="00383DD6"/>
    <w:rsid w:val="00385C99"/>
    <w:rsid w:val="00386556"/>
    <w:rsid w:val="00386EB1"/>
    <w:rsid w:val="00387FD5"/>
    <w:rsid w:val="00391822"/>
    <w:rsid w:val="0039276B"/>
    <w:rsid w:val="00392D31"/>
    <w:rsid w:val="00394D11"/>
    <w:rsid w:val="00395223"/>
    <w:rsid w:val="00395EFD"/>
    <w:rsid w:val="00396A54"/>
    <w:rsid w:val="003A0220"/>
    <w:rsid w:val="003A0BC3"/>
    <w:rsid w:val="003A1467"/>
    <w:rsid w:val="003A16A3"/>
    <w:rsid w:val="003A222C"/>
    <w:rsid w:val="003A3F29"/>
    <w:rsid w:val="003A4B57"/>
    <w:rsid w:val="003A5BB5"/>
    <w:rsid w:val="003A6276"/>
    <w:rsid w:val="003A6546"/>
    <w:rsid w:val="003A66E5"/>
    <w:rsid w:val="003A747B"/>
    <w:rsid w:val="003A7A6E"/>
    <w:rsid w:val="003B01CD"/>
    <w:rsid w:val="003B1828"/>
    <w:rsid w:val="003B2128"/>
    <w:rsid w:val="003B38EB"/>
    <w:rsid w:val="003B3BB6"/>
    <w:rsid w:val="003B46E1"/>
    <w:rsid w:val="003B5B49"/>
    <w:rsid w:val="003B6150"/>
    <w:rsid w:val="003B7198"/>
    <w:rsid w:val="003B7A7E"/>
    <w:rsid w:val="003B7D2D"/>
    <w:rsid w:val="003C06A0"/>
    <w:rsid w:val="003C0816"/>
    <w:rsid w:val="003C11D5"/>
    <w:rsid w:val="003C12A1"/>
    <w:rsid w:val="003C2887"/>
    <w:rsid w:val="003C44CC"/>
    <w:rsid w:val="003C7323"/>
    <w:rsid w:val="003D10C0"/>
    <w:rsid w:val="003D1C0C"/>
    <w:rsid w:val="003D2723"/>
    <w:rsid w:val="003D28AD"/>
    <w:rsid w:val="003D2F20"/>
    <w:rsid w:val="003D3402"/>
    <w:rsid w:val="003D50DD"/>
    <w:rsid w:val="003D5318"/>
    <w:rsid w:val="003D6017"/>
    <w:rsid w:val="003D7377"/>
    <w:rsid w:val="003D7D38"/>
    <w:rsid w:val="003D7F12"/>
    <w:rsid w:val="003D7FAF"/>
    <w:rsid w:val="003E069C"/>
    <w:rsid w:val="003E13F8"/>
    <w:rsid w:val="003E1937"/>
    <w:rsid w:val="003E2163"/>
    <w:rsid w:val="003E2B11"/>
    <w:rsid w:val="003E5F19"/>
    <w:rsid w:val="003E5FDF"/>
    <w:rsid w:val="003E6F40"/>
    <w:rsid w:val="003E79CB"/>
    <w:rsid w:val="003F1CAD"/>
    <w:rsid w:val="003F1F9B"/>
    <w:rsid w:val="003F29C6"/>
    <w:rsid w:val="003F32C1"/>
    <w:rsid w:val="003F3EFE"/>
    <w:rsid w:val="003F4396"/>
    <w:rsid w:val="003F625E"/>
    <w:rsid w:val="003F6B00"/>
    <w:rsid w:val="003F7DFD"/>
    <w:rsid w:val="00401E40"/>
    <w:rsid w:val="00401FB2"/>
    <w:rsid w:val="00402667"/>
    <w:rsid w:val="00402774"/>
    <w:rsid w:val="00402B27"/>
    <w:rsid w:val="0040423A"/>
    <w:rsid w:val="004043B0"/>
    <w:rsid w:val="004056AE"/>
    <w:rsid w:val="00407ACD"/>
    <w:rsid w:val="00411109"/>
    <w:rsid w:val="00413A72"/>
    <w:rsid w:val="0041504F"/>
    <w:rsid w:val="004153D0"/>
    <w:rsid w:val="004171AF"/>
    <w:rsid w:val="004175C6"/>
    <w:rsid w:val="00420523"/>
    <w:rsid w:val="0042117B"/>
    <w:rsid w:val="004217DE"/>
    <w:rsid w:val="0042209B"/>
    <w:rsid w:val="00422233"/>
    <w:rsid w:val="00422479"/>
    <w:rsid w:val="004239F8"/>
    <w:rsid w:val="00424082"/>
    <w:rsid w:val="00425215"/>
    <w:rsid w:val="00425A6D"/>
    <w:rsid w:val="004274CF"/>
    <w:rsid w:val="00427712"/>
    <w:rsid w:val="00427F57"/>
    <w:rsid w:val="004300BC"/>
    <w:rsid w:val="00430C5A"/>
    <w:rsid w:val="00431125"/>
    <w:rsid w:val="0043250E"/>
    <w:rsid w:val="004339B6"/>
    <w:rsid w:val="00434441"/>
    <w:rsid w:val="0043550D"/>
    <w:rsid w:val="0043615D"/>
    <w:rsid w:val="00440181"/>
    <w:rsid w:val="00440EC9"/>
    <w:rsid w:val="00440F5F"/>
    <w:rsid w:val="00441535"/>
    <w:rsid w:val="00441590"/>
    <w:rsid w:val="004441EF"/>
    <w:rsid w:val="00444484"/>
    <w:rsid w:val="00445214"/>
    <w:rsid w:val="0044597D"/>
    <w:rsid w:val="004507FB"/>
    <w:rsid w:val="00451C04"/>
    <w:rsid w:val="00452AB4"/>
    <w:rsid w:val="00453D98"/>
    <w:rsid w:val="00454A7F"/>
    <w:rsid w:val="004551DF"/>
    <w:rsid w:val="004553D8"/>
    <w:rsid w:val="004556A1"/>
    <w:rsid w:val="00456C5D"/>
    <w:rsid w:val="00457905"/>
    <w:rsid w:val="00461211"/>
    <w:rsid w:val="00461D51"/>
    <w:rsid w:val="004620C8"/>
    <w:rsid w:val="00463F6C"/>
    <w:rsid w:val="00464BB0"/>
    <w:rsid w:val="004652B8"/>
    <w:rsid w:val="00465D9C"/>
    <w:rsid w:val="00466155"/>
    <w:rsid w:val="0046722D"/>
    <w:rsid w:val="00471421"/>
    <w:rsid w:val="00471B1E"/>
    <w:rsid w:val="00471B46"/>
    <w:rsid w:val="00471EFB"/>
    <w:rsid w:val="0047346B"/>
    <w:rsid w:val="0047348B"/>
    <w:rsid w:val="004759B3"/>
    <w:rsid w:val="00476838"/>
    <w:rsid w:val="00477515"/>
    <w:rsid w:val="0048053B"/>
    <w:rsid w:val="00480D1A"/>
    <w:rsid w:val="00480F18"/>
    <w:rsid w:val="00482546"/>
    <w:rsid w:val="00482CFA"/>
    <w:rsid w:val="00483CB3"/>
    <w:rsid w:val="00483D27"/>
    <w:rsid w:val="0048525E"/>
    <w:rsid w:val="004854E3"/>
    <w:rsid w:val="004868A9"/>
    <w:rsid w:val="004874C6"/>
    <w:rsid w:val="004879A3"/>
    <w:rsid w:val="00487A5B"/>
    <w:rsid w:val="00487D93"/>
    <w:rsid w:val="00490044"/>
    <w:rsid w:val="00490580"/>
    <w:rsid w:val="00490F8A"/>
    <w:rsid w:val="00491372"/>
    <w:rsid w:val="00491A09"/>
    <w:rsid w:val="00491A95"/>
    <w:rsid w:val="00491E0D"/>
    <w:rsid w:val="00494862"/>
    <w:rsid w:val="0049501F"/>
    <w:rsid w:val="00495D81"/>
    <w:rsid w:val="00497882"/>
    <w:rsid w:val="00497A07"/>
    <w:rsid w:val="004A01E2"/>
    <w:rsid w:val="004A0474"/>
    <w:rsid w:val="004A08B4"/>
    <w:rsid w:val="004A10C8"/>
    <w:rsid w:val="004A1218"/>
    <w:rsid w:val="004A2733"/>
    <w:rsid w:val="004A472D"/>
    <w:rsid w:val="004A4B29"/>
    <w:rsid w:val="004A57DA"/>
    <w:rsid w:val="004A7257"/>
    <w:rsid w:val="004A77B0"/>
    <w:rsid w:val="004B0ACE"/>
    <w:rsid w:val="004B0F4E"/>
    <w:rsid w:val="004B18BF"/>
    <w:rsid w:val="004B18EA"/>
    <w:rsid w:val="004B1D78"/>
    <w:rsid w:val="004B46DB"/>
    <w:rsid w:val="004B49E7"/>
    <w:rsid w:val="004B5279"/>
    <w:rsid w:val="004B5D1F"/>
    <w:rsid w:val="004B5F1D"/>
    <w:rsid w:val="004B7629"/>
    <w:rsid w:val="004C0B93"/>
    <w:rsid w:val="004C2310"/>
    <w:rsid w:val="004C2803"/>
    <w:rsid w:val="004C354D"/>
    <w:rsid w:val="004C3E57"/>
    <w:rsid w:val="004C48D3"/>
    <w:rsid w:val="004C5462"/>
    <w:rsid w:val="004C5DB6"/>
    <w:rsid w:val="004C6BE8"/>
    <w:rsid w:val="004C781A"/>
    <w:rsid w:val="004C7889"/>
    <w:rsid w:val="004D05D8"/>
    <w:rsid w:val="004D07DA"/>
    <w:rsid w:val="004D08E9"/>
    <w:rsid w:val="004D0AE1"/>
    <w:rsid w:val="004D219A"/>
    <w:rsid w:val="004D3428"/>
    <w:rsid w:val="004D3514"/>
    <w:rsid w:val="004D45DE"/>
    <w:rsid w:val="004D4779"/>
    <w:rsid w:val="004D486C"/>
    <w:rsid w:val="004D6ABE"/>
    <w:rsid w:val="004D7151"/>
    <w:rsid w:val="004D774D"/>
    <w:rsid w:val="004D7767"/>
    <w:rsid w:val="004D7861"/>
    <w:rsid w:val="004E008F"/>
    <w:rsid w:val="004E30B9"/>
    <w:rsid w:val="004E34B1"/>
    <w:rsid w:val="004E4C63"/>
    <w:rsid w:val="004E5B07"/>
    <w:rsid w:val="004E6BE9"/>
    <w:rsid w:val="004F07BA"/>
    <w:rsid w:val="004F0A79"/>
    <w:rsid w:val="004F1AB3"/>
    <w:rsid w:val="004F203F"/>
    <w:rsid w:val="004F24BE"/>
    <w:rsid w:val="004F2CC9"/>
    <w:rsid w:val="004F5FBD"/>
    <w:rsid w:val="004F6742"/>
    <w:rsid w:val="004F6BAE"/>
    <w:rsid w:val="005017E6"/>
    <w:rsid w:val="005020B4"/>
    <w:rsid w:val="00502463"/>
    <w:rsid w:val="005046A3"/>
    <w:rsid w:val="005048F9"/>
    <w:rsid w:val="00505255"/>
    <w:rsid w:val="005054B9"/>
    <w:rsid w:val="005067EF"/>
    <w:rsid w:val="00506FD2"/>
    <w:rsid w:val="0050769D"/>
    <w:rsid w:val="0051065E"/>
    <w:rsid w:val="005114D9"/>
    <w:rsid w:val="005120B0"/>
    <w:rsid w:val="005139FB"/>
    <w:rsid w:val="00513C57"/>
    <w:rsid w:val="00514DC1"/>
    <w:rsid w:val="0051505D"/>
    <w:rsid w:val="005150F9"/>
    <w:rsid w:val="00516652"/>
    <w:rsid w:val="00521379"/>
    <w:rsid w:val="00521B4C"/>
    <w:rsid w:val="00523CB4"/>
    <w:rsid w:val="005245C0"/>
    <w:rsid w:val="00524684"/>
    <w:rsid w:val="00524B92"/>
    <w:rsid w:val="00525722"/>
    <w:rsid w:val="00525CDA"/>
    <w:rsid w:val="0052776D"/>
    <w:rsid w:val="005319C8"/>
    <w:rsid w:val="00531EB4"/>
    <w:rsid w:val="0053221B"/>
    <w:rsid w:val="005334B6"/>
    <w:rsid w:val="00533D6A"/>
    <w:rsid w:val="00534147"/>
    <w:rsid w:val="00534795"/>
    <w:rsid w:val="005348F4"/>
    <w:rsid w:val="00534F77"/>
    <w:rsid w:val="005357E0"/>
    <w:rsid w:val="00536F14"/>
    <w:rsid w:val="00537BD0"/>
    <w:rsid w:val="00540C3C"/>
    <w:rsid w:val="00541C94"/>
    <w:rsid w:val="00542941"/>
    <w:rsid w:val="00542D25"/>
    <w:rsid w:val="0054304E"/>
    <w:rsid w:val="00543456"/>
    <w:rsid w:val="00543AD6"/>
    <w:rsid w:val="00543FBC"/>
    <w:rsid w:val="0054651D"/>
    <w:rsid w:val="00546D26"/>
    <w:rsid w:val="00547661"/>
    <w:rsid w:val="00547A06"/>
    <w:rsid w:val="00550692"/>
    <w:rsid w:val="005513C2"/>
    <w:rsid w:val="00551ECA"/>
    <w:rsid w:val="00552094"/>
    <w:rsid w:val="00552C93"/>
    <w:rsid w:val="005531B4"/>
    <w:rsid w:val="00554117"/>
    <w:rsid w:val="00554778"/>
    <w:rsid w:val="0055531A"/>
    <w:rsid w:val="005559EA"/>
    <w:rsid w:val="00555A14"/>
    <w:rsid w:val="00555B77"/>
    <w:rsid w:val="005564A6"/>
    <w:rsid w:val="005570B2"/>
    <w:rsid w:val="00557FC5"/>
    <w:rsid w:val="005605E8"/>
    <w:rsid w:val="00560CFB"/>
    <w:rsid w:val="0056105E"/>
    <w:rsid w:val="005618E5"/>
    <w:rsid w:val="00561CDB"/>
    <w:rsid w:val="00562F77"/>
    <w:rsid w:val="00562F78"/>
    <w:rsid w:val="0056397F"/>
    <w:rsid w:val="00564310"/>
    <w:rsid w:val="0056447C"/>
    <w:rsid w:val="005649D4"/>
    <w:rsid w:val="00564B4D"/>
    <w:rsid w:val="00565895"/>
    <w:rsid w:val="00565A6F"/>
    <w:rsid w:val="00566DDA"/>
    <w:rsid w:val="00567576"/>
    <w:rsid w:val="00567F47"/>
    <w:rsid w:val="005738BF"/>
    <w:rsid w:val="00575255"/>
    <w:rsid w:val="0057534B"/>
    <w:rsid w:val="00577EBC"/>
    <w:rsid w:val="0058260F"/>
    <w:rsid w:val="00582A8C"/>
    <w:rsid w:val="00583043"/>
    <w:rsid w:val="00583310"/>
    <w:rsid w:val="0058378C"/>
    <w:rsid w:val="00583ABD"/>
    <w:rsid w:val="005840B7"/>
    <w:rsid w:val="005840DA"/>
    <w:rsid w:val="005845EE"/>
    <w:rsid w:val="00585190"/>
    <w:rsid w:val="00585D25"/>
    <w:rsid w:val="00587EB5"/>
    <w:rsid w:val="00591599"/>
    <w:rsid w:val="00591986"/>
    <w:rsid w:val="005919B4"/>
    <w:rsid w:val="0059419B"/>
    <w:rsid w:val="00594C4C"/>
    <w:rsid w:val="0059548A"/>
    <w:rsid w:val="00596986"/>
    <w:rsid w:val="00596B67"/>
    <w:rsid w:val="005A00CB"/>
    <w:rsid w:val="005A040C"/>
    <w:rsid w:val="005A126E"/>
    <w:rsid w:val="005A16E2"/>
    <w:rsid w:val="005A2839"/>
    <w:rsid w:val="005A287D"/>
    <w:rsid w:val="005A321D"/>
    <w:rsid w:val="005A3D65"/>
    <w:rsid w:val="005A59C6"/>
    <w:rsid w:val="005A5C8D"/>
    <w:rsid w:val="005A609E"/>
    <w:rsid w:val="005B0580"/>
    <w:rsid w:val="005B06F0"/>
    <w:rsid w:val="005B0740"/>
    <w:rsid w:val="005B14AB"/>
    <w:rsid w:val="005B23E9"/>
    <w:rsid w:val="005B35FC"/>
    <w:rsid w:val="005B382C"/>
    <w:rsid w:val="005B4B7F"/>
    <w:rsid w:val="005B4FCA"/>
    <w:rsid w:val="005B5BDB"/>
    <w:rsid w:val="005B628F"/>
    <w:rsid w:val="005B67AD"/>
    <w:rsid w:val="005B73FF"/>
    <w:rsid w:val="005B7B26"/>
    <w:rsid w:val="005B7E21"/>
    <w:rsid w:val="005C03C0"/>
    <w:rsid w:val="005C3273"/>
    <w:rsid w:val="005C3F73"/>
    <w:rsid w:val="005C5E43"/>
    <w:rsid w:val="005C6039"/>
    <w:rsid w:val="005C63F7"/>
    <w:rsid w:val="005C6F3E"/>
    <w:rsid w:val="005D20E0"/>
    <w:rsid w:val="005D237E"/>
    <w:rsid w:val="005D2782"/>
    <w:rsid w:val="005D36BE"/>
    <w:rsid w:val="005D3735"/>
    <w:rsid w:val="005D39D4"/>
    <w:rsid w:val="005D3AD1"/>
    <w:rsid w:val="005D440F"/>
    <w:rsid w:val="005D4478"/>
    <w:rsid w:val="005D4BB5"/>
    <w:rsid w:val="005D4F81"/>
    <w:rsid w:val="005D50B4"/>
    <w:rsid w:val="005D5AC0"/>
    <w:rsid w:val="005D6798"/>
    <w:rsid w:val="005D77DE"/>
    <w:rsid w:val="005D7FCB"/>
    <w:rsid w:val="005E0BD5"/>
    <w:rsid w:val="005E16B1"/>
    <w:rsid w:val="005E1A80"/>
    <w:rsid w:val="005E344F"/>
    <w:rsid w:val="005E3831"/>
    <w:rsid w:val="005E3C51"/>
    <w:rsid w:val="005E3D94"/>
    <w:rsid w:val="005E4692"/>
    <w:rsid w:val="005E4731"/>
    <w:rsid w:val="005E4E7C"/>
    <w:rsid w:val="005E538F"/>
    <w:rsid w:val="005E54C1"/>
    <w:rsid w:val="005E5550"/>
    <w:rsid w:val="005E5F35"/>
    <w:rsid w:val="005E62B8"/>
    <w:rsid w:val="005E638F"/>
    <w:rsid w:val="005E6BD3"/>
    <w:rsid w:val="005E7342"/>
    <w:rsid w:val="005F1568"/>
    <w:rsid w:val="005F197E"/>
    <w:rsid w:val="005F1E04"/>
    <w:rsid w:val="005F4A93"/>
    <w:rsid w:val="005F539D"/>
    <w:rsid w:val="005F565D"/>
    <w:rsid w:val="005F60E0"/>
    <w:rsid w:val="005F68FC"/>
    <w:rsid w:val="005F6923"/>
    <w:rsid w:val="005F713E"/>
    <w:rsid w:val="005F7DA1"/>
    <w:rsid w:val="0060150E"/>
    <w:rsid w:val="00601E7E"/>
    <w:rsid w:val="00602E6F"/>
    <w:rsid w:val="00604101"/>
    <w:rsid w:val="006044CF"/>
    <w:rsid w:val="0060728F"/>
    <w:rsid w:val="00607AB7"/>
    <w:rsid w:val="00610B07"/>
    <w:rsid w:val="00610FA8"/>
    <w:rsid w:val="006116D2"/>
    <w:rsid w:val="00612FDF"/>
    <w:rsid w:val="00612FE3"/>
    <w:rsid w:val="00614639"/>
    <w:rsid w:val="0061480B"/>
    <w:rsid w:val="00615D4B"/>
    <w:rsid w:val="00615D5A"/>
    <w:rsid w:val="0061665B"/>
    <w:rsid w:val="00616706"/>
    <w:rsid w:val="00616899"/>
    <w:rsid w:val="006169B7"/>
    <w:rsid w:val="00616B32"/>
    <w:rsid w:val="00621C48"/>
    <w:rsid w:val="006228FF"/>
    <w:rsid w:val="00624395"/>
    <w:rsid w:val="006243E6"/>
    <w:rsid w:val="0062525E"/>
    <w:rsid w:val="006255A7"/>
    <w:rsid w:val="0062594A"/>
    <w:rsid w:val="00627311"/>
    <w:rsid w:val="00627F50"/>
    <w:rsid w:val="00631084"/>
    <w:rsid w:val="00631631"/>
    <w:rsid w:val="006325E1"/>
    <w:rsid w:val="006327E0"/>
    <w:rsid w:val="00632B73"/>
    <w:rsid w:val="00632EAC"/>
    <w:rsid w:val="00634691"/>
    <w:rsid w:val="0063560B"/>
    <w:rsid w:val="00635EC1"/>
    <w:rsid w:val="0063700E"/>
    <w:rsid w:val="0064012A"/>
    <w:rsid w:val="00640364"/>
    <w:rsid w:val="0064126F"/>
    <w:rsid w:val="006413F1"/>
    <w:rsid w:val="0064164F"/>
    <w:rsid w:val="006424AF"/>
    <w:rsid w:val="00642D81"/>
    <w:rsid w:val="00643EBA"/>
    <w:rsid w:val="00644F18"/>
    <w:rsid w:val="00645363"/>
    <w:rsid w:val="006457F8"/>
    <w:rsid w:val="00645D44"/>
    <w:rsid w:val="0064635C"/>
    <w:rsid w:val="00646A65"/>
    <w:rsid w:val="00650415"/>
    <w:rsid w:val="006515C4"/>
    <w:rsid w:val="00651C15"/>
    <w:rsid w:val="006532E8"/>
    <w:rsid w:val="0065409B"/>
    <w:rsid w:val="00654650"/>
    <w:rsid w:val="00654CA8"/>
    <w:rsid w:val="00655378"/>
    <w:rsid w:val="0065554C"/>
    <w:rsid w:val="00657238"/>
    <w:rsid w:val="00657B69"/>
    <w:rsid w:val="00657EBC"/>
    <w:rsid w:val="0066160E"/>
    <w:rsid w:val="00662394"/>
    <w:rsid w:val="00663788"/>
    <w:rsid w:val="00663B35"/>
    <w:rsid w:val="00664012"/>
    <w:rsid w:val="00664187"/>
    <w:rsid w:val="00664366"/>
    <w:rsid w:val="0066484F"/>
    <w:rsid w:val="00666285"/>
    <w:rsid w:val="00666445"/>
    <w:rsid w:val="00666A42"/>
    <w:rsid w:val="006673A8"/>
    <w:rsid w:val="006703FA"/>
    <w:rsid w:val="00670792"/>
    <w:rsid w:val="006727E8"/>
    <w:rsid w:val="00672921"/>
    <w:rsid w:val="00672D9E"/>
    <w:rsid w:val="00673414"/>
    <w:rsid w:val="00674D6E"/>
    <w:rsid w:val="00674E50"/>
    <w:rsid w:val="00675678"/>
    <w:rsid w:val="0067770E"/>
    <w:rsid w:val="00677AB1"/>
    <w:rsid w:val="00680480"/>
    <w:rsid w:val="00680A3A"/>
    <w:rsid w:val="00681376"/>
    <w:rsid w:val="00681DCA"/>
    <w:rsid w:val="006823EE"/>
    <w:rsid w:val="00683837"/>
    <w:rsid w:val="00685D26"/>
    <w:rsid w:val="00685E1A"/>
    <w:rsid w:val="006863DB"/>
    <w:rsid w:val="006909DA"/>
    <w:rsid w:val="00690C05"/>
    <w:rsid w:val="006912D7"/>
    <w:rsid w:val="00692B76"/>
    <w:rsid w:val="00693601"/>
    <w:rsid w:val="00694021"/>
    <w:rsid w:val="00694B56"/>
    <w:rsid w:val="00695691"/>
    <w:rsid w:val="006966D5"/>
    <w:rsid w:val="0069675A"/>
    <w:rsid w:val="006A0B87"/>
    <w:rsid w:val="006A0E88"/>
    <w:rsid w:val="006A1576"/>
    <w:rsid w:val="006A1B48"/>
    <w:rsid w:val="006A2518"/>
    <w:rsid w:val="006A36F0"/>
    <w:rsid w:val="006A4DB5"/>
    <w:rsid w:val="006A51D7"/>
    <w:rsid w:val="006A6214"/>
    <w:rsid w:val="006A6333"/>
    <w:rsid w:val="006A71E1"/>
    <w:rsid w:val="006A7E64"/>
    <w:rsid w:val="006B00AB"/>
    <w:rsid w:val="006B1F3B"/>
    <w:rsid w:val="006B1F43"/>
    <w:rsid w:val="006B23FC"/>
    <w:rsid w:val="006B256F"/>
    <w:rsid w:val="006B27A3"/>
    <w:rsid w:val="006B2FA6"/>
    <w:rsid w:val="006B31BD"/>
    <w:rsid w:val="006B33C3"/>
    <w:rsid w:val="006B3CC1"/>
    <w:rsid w:val="006B58A1"/>
    <w:rsid w:val="006B6D39"/>
    <w:rsid w:val="006C142B"/>
    <w:rsid w:val="006C16DD"/>
    <w:rsid w:val="006C1971"/>
    <w:rsid w:val="006C2119"/>
    <w:rsid w:val="006C23BA"/>
    <w:rsid w:val="006C2C64"/>
    <w:rsid w:val="006C2E60"/>
    <w:rsid w:val="006C3789"/>
    <w:rsid w:val="006C4172"/>
    <w:rsid w:val="006C4364"/>
    <w:rsid w:val="006C4B89"/>
    <w:rsid w:val="006C5D14"/>
    <w:rsid w:val="006C70E3"/>
    <w:rsid w:val="006C745C"/>
    <w:rsid w:val="006C754B"/>
    <w:rsid w:val="006D162F"/>
    <w:rsid w:val="006D1FE4"/>
    <w:rsid w:val="006D2403"/>
    <w:rsid w:val="006D29AC"/>
    <w:rsid w:val="006D2F2D"/>
    <w:rsid w:val="006D3576"/>
    <w:rsid w:val="006D5940"/>
    <w:rsid w:val="006D5BB7"/>
    <w:rsid w:val="006D5DAD"/>
    <w:rsid w:val="006D671A"/>
    <w:rsid w:val="006D6952"/>
    <w:rsid w:val="006D7283"/>
    <w:rsid w:val="006D77C8"/>
    <w:rsid w:val="006E1AFB"/>
    <w:rsid w:val="006E1DD7"/>
    <w:rsid w:val="006E21C3"/>
    <w:rsid w:val="006E2ABF"/>
    <w:rsid w:val="006E4006"/>
    <w:rsid w:val="006E423F"/>
    <w:rsid w:val="006E4241"/>
    <w:rsid w:val="006E7099"/>
    <w:rsid w:val="006E7508"/>
    <w:rsid w:val="006E770B"/>
    <w:rsid w:val="006F111A"/>
    <w:rsid w:val="006F1286"/>
    <w:rsid w:val="006F227E"/>
    <w:rsid w:val="006F2954"/>
    <w:rsid w:val="006F2A60"/>
    <w:rsid w:val="006F2D0B"/>
    <w:rsid w:val="006F2F83"/>
    <w:rsid w:val="006F4C67"/>
    <w:rsid w:val="006F4E40"/>
    <w:rsid w:val="006F4EE8"/>
    <w:rsid w:val="006F5780"/>
    <w:rsid w:val="006F7319"/>
    <w:rsid w:val="006F7643"/>
    <w:rsid w:val="006F7A47"/>
    <w:rsid w:val="00701C64"/>
    <w:rsid w:val="00703996"/>
    <w:rsid w:val="00703A8A"/>
    <w:rsid w:val="00704000"/>
    <w:rsid w:val="00704480"/>
    <w:rsid w:val="00706F10"/>
    <w:rsid w:val="007102DD"/>
    <w:rsid w:val="00710371"/>
    <w:rsid w:val="007105B8"/>
    <w:rsid w:val="007118FE"/>
    <w:rsid w:val="007139BC"/>
    <w:rsid w:val="0071441D"/>
    <w:rsid w:val="007145D5"/>
    <w:rsid w:val="00715BF5"/>
    <w:rsid w:val="00717A9A"/>
    <w:rsid w:val="00720F36"/>
    <w:rsid w:val="007238B8"/>
    <w:rsid w:val="00724A80"/>
    <w:rsid w:val="00725006"/>
    <w:rsid w:val="007256C0"/>
    <w:rsid w:val="00726D23"/>
    <w:rsid w:val="00730FC0"/>
    <w:rsid w:val="007314BA"/>
    <w:rsid w:val="007317C0"/>
    <w:rsid w:val="00732BEE"/>
    <w:rsid w:val="007337EF"/>
    <w:rsid w:val="00733EE5"/>
    <w:rsid w:val="00735176"/>
    <w:rsid w:val="007354B5"/>
    <w:rsid w:val="00737A33"/>
    <w:rsid w:val="00737B4A"/>
    <w:rsid w:val="00740160"/>
    <w:rsid w:val="00740AC4"/>
    <w:rsid w:val="00740DF5"/>
    <w:rsid w:val="0074154C"/>
    <w:rsid w:val="007421CC"/>
    <w:rsid w:val="007423FA"/>
    <w:rsid w:val="00742811"/>
    <w:rsid w:val="007429BB"/>
    <w:rsid w:val="007449BF"/>
    <w:rsid w:val="00745F13"/>
    <w:rsid w:val="00746D51"/>
    <w:rsid w:val="007471D1"/>
    <w:rsid w:val="007477C8"/>
    <w:rsid w:val="00747C23"/>
    <w:rsid w:val="0075084F"/>
    <w:rsid w:val="00751723"/>
    <w:rsid w:val="00751D57"/>
    <w:rsid w:val="00755AB8"/>
    <w:rsid w:val="0075656B"/>
    <w:rsid w:val="00756FFF"/>
    <w:rsid w:val="0076059E"/>
    <w:rsid w:val="00761496"/>
    <w:rsid w:val="00761565"/>
    <w:rsid w:val="007617C8"/>
    <w:rsid w:val="00761900"/>
    <w:rsid w:val="00761CEA"/>
    <w:rsid w:val="007628AE"/>
    <w:rsid w:val="00763D0B"/>
    <w:rsid w:val="00763D5E"/>
    <w:rsid w:val="007653F0"/>
    <w:rsid w:val="00765AE3"/>
    <w:rsid w:val="00766207"/>
    <w:rsid w:val="00770057"/>
    <w:rsid w:val="007709F2"/>
    <w:rsid w:val="00771EDA"/>
    <w:rsid w:val="007724E2"/>
    <w:rsid w:val="0077673B"/>
    <w:rsid w:val="00776E5B"/>
    <w:rsid w:val="00776E9B"/>
    <w:rsid w:val="00777535"/>
    <w:rsid w:val="00777A0F"/>
    <w:rsid w:val="00777A45"/>
    <w:rsid w:val="00780F31"/>
    <w:rsid w:val="00781540"/>
    <w:rsid w:val="007837EA"/>
    <w:rsid w:val="00784B54"/>
    <w:rsid w:val="00784D2F"/>
    <w:rsid w:val="00784D69"/>
    <w:rsid w:val="00785730"/>
    <w:rsid w:val="00786620"/>
    <w:rsid w:val="007867FE"/>
    <w:rsid w:val="00787968"/>
    <w:rsid w:val="00791E5E"/>
    <w:rsid w:val="007927C0"/>
    <w:rsid w:val="00793B79"/>
    <w:rsid w:val="00794458"/>
    <w:rsid w:val="00794C3E"/>
    <w:rsid w:val="00795365"/>
    <w:rsid w:val="007965AF"/>
    <w:rsid w:val="00796C44"/>
    <w:rsid w:val="00796ED5"/>
    <w:rsid w:val="007971C3"/>
    <w:rsid w:val="00797361"/>
    <w:rsid w:val="007A154D"/>
    <w:rsid w:val="007A187D"/>
    <w:rsid w:val="007A24EF"/>
    <w:rsid w:val="007A288D"/>
    <w:rsid w:val="007A3387"/>
    <w:rsid w:val="007A44D7"/>
    <w:rsid w:val="007A4E48"/>
    <w:rsid w:val="007A7791"/>
    <w:rsid w:val="007B165D"/>
    <w:rsid w:val="007B1950"/>
    <w:rsid w:val="007B216E"/>
    <w:rsid w:val="007B2817"/>
    <w:rsid w:val="007B396C"/>
    <w:rsid w:val="007B4060"/>
    <w:rsid w:val="007B45C8"/>
    <w:rsid w:val="007B4CA6"/>
    <w:rsid w:val="007B5218"/>
    <w:rsid w:val="007B53A4"/>
    <w:rsid w:val="007B6141"/>
    <w:rsid w:val="007B6250"/>
    <w:rsid w:val="007B6C67"/>
    <w:rsid w:val="007B745A"/>
    <w:rsid w:val="007B7B36"/>
    <w:rsid w:val="007B7C25"/>
    <w:rsid w:val="007C2202"/>
    <w:rsid w:val="007C2B1D"/>
    <w:rsid w:val="007C2BB2"/>
    <w:rsid w:val="007C3289"/>
    <w:rsid w:val="007C4776"/>
    <w:rsid w:val="007C4BE0"/>
    <w:rsid w:val="007C4C30"/>
    <w:rsid w:val="007C4E1A"/>
    <w:rsid w:val="007C5D18"/>
    <w:rsid w:val="007C6F35"/>
    <w:rsid w:val="007C70AE"/>
    <w:rsid w:val="007C76FB"/>
    <w:rsid w:val="007C7CC6"/>
    <w:rsid w:val="007C7CC8"/>
    <w:rsid w:val="007C7EF3"/>
    <w:rsid w:val="007D0408"/>
    <w:rsid w:val="007D060C"/>
    <w:rsid w:val="007D0A51"/>
    <w:rsid w:val="007D16C2"/>
    <w:rsid w:val="007D38C2"/>
    <w:rsid w:val="007D4D3B"/>
    <w:rsid w:val="007D62FF"/>
    <w:rsid w:val="007D6669"/>
    <w:rsid w:val="007D73A0"/>
    <w:rsid w:val="007E1C03"/>
    <w:rsid w:val="007E1F60"/>
    <w:rsid w:val="007E21E9"/>
    <w:rsid w:val="007E2C2C"/>
    <w:rsid w:val="007E2F42"/>
    <w:rsid w:val="007E361F"/>
    <w:rsid w:val="007E36F9"/>
    <w:rsid w:val="007E399F"/>
    <w:rsid w:val="007E4EB2"/>
    <w:rsid w:val="007E5700"/>
    <w:rsid w:val="007E5818"/>
    <w:rsid w:val="007E5AA1"/>
    <w:rsid w:val="007E6AE7"/>
    <w:rsid w:val="007E7949"/>
    <w:rsid w:val="007F0609"/>
    <w:rsid w:val="007F182C"/>
    <w:rsid w:val="007F2139"/>
    <w:rsid w:val="007F2B65"/>
    <w:rsid w:val="007F2C96"/>
    <w:rsid w:val="007F3DFE"/>
    <w:rsid w:val="007F52F4"/>
    <w:rsid w:val="007F54A3"/>
    <w:rsid w:val="007F7F00"/>
    <w:rsid w:val="00800BF8"/>
    <w:rsid w:val="008020C3"/>
    <w:rsid w:val="00803297"/>
    <w:rsid w:val="008044B6"/>
    <w:rsid w:val="00804E92"/>
    <w:rsid w:val="008057C1"/>
    <w:rsid w:val="00805AB4"/>
    <w:rsid w:val="00806B62"/>
    <w:rsid w:val="00807071"/>
    <w:rsid w:val="0081031E"/>
    <w:rsid w:val="00810628"/>
    <w:rsid w:val="0081181A"/>
    <w:rsid w:val="0081254E"/>
    <w:rsid w:val="00812A57"/>
    <w:rsid w:val="00812F9D"/>
    <w:rsid w:val="00813A7B"/>
    <w:rsid w:val="00814A02"/>
    <w:rsid w:val="00817861"/>
    <w:rsid w:val="00821D66"/>
    <w:rsid w:val="00821ED8"/>
    <w:rsid w:val="00823B1A"/>
    <w:rsid w:val="008250E0"/>
    <w:rsid w:val="00825E1F"/>
    <w:rsid w:val="00826005"/>
    <w:rsid w:val="00827D49"/>
    <w:rsid w:val="00831104"/>
    <w:rsid w:val="00831B57"/>
    <w:rsid w:val="00832D65"/>
    <w:rsid w:val="00833329"/>
    <w:rsid w:val="00833DF2"/>
    <w:rsid w:val="00833F1A"/>
    <w:rsid w:val="0083553F"/>
    <w:rsid w:val="008367C6"/>
    <w:rsid w:val="00837505"/>
    <w:rsid w:val="008379F8"/>
    <w:rsid w:val="0084220B"/>
    <w:rsid w:val="00842B06"/>
    <w:rsid w:val="00842C65"/>
    <w:rsid w:val="00843E57"/>
    <w:rsid w:val="0084509C"/>
    <w:rsid w:val="008454DC"/>
    <w:rsid w:val="008465B4"/>
    <w:rsid w:val="0085083B"/>
    <w:rsid w:val="00850D51"/>
    <w:rsid w:val="00851078"/>
    <w:rsid w:val="008511C4"/>
    <w:rsid w:val="00851AE0"/>
    <w:rsid w:val="00853F1C"/>
    <w:rsid w:val="00854FE1"/>
    <w:rsid w:val="008558F3"/>
    <w:rsid w:val="008567B7"/>
    <w:rsid w:val="008572BF"/>
    <w:rsid w:val="008573AA"/>
    <w:rsid w:val="00861353"/>
    <w:rsid w:val="008614E4"/>
    <w:rsid w:val="00862276"/>
    <w:rsid w:val="00862CD2"/>
    <w:rsid w:val="00863A58"/>
    <w:rsid w:val="008644A4"/>
    <w:rsid w:val="008649F3"/>
    <w:rsid w:val="0086528E"/>
    <w:rsid w:val="00866744"/>
    <w:rsid w:val="0086725C"/>
    <w:rsid w:val="00870C2D"/>
    <w:rsid w:val="008719BC"/>
    <w:rsid w:val="00874F3A"/>
    <w:rsid w:val="00875931"/>
    <w:rsid w:val="00876136"/>
    <w:rsid w:val="00877B0B"/>
    <w:rsid w:val="0088211C"/>
    <w:rsid w:val="008834A2"/>
    <w:rsid w:val="0088462F"/>
    <w:rsid w:val="00884F5F"/>
    <w:rsid w:val="00884F99"/>
    <w:rsid w:val="0088515F"/>
    <w:rsid w:val="00885BAE"/>
    <w:rsid w:val="008865CA"/>
    <w:rsid w:val="008868BD"/>
    <w:rsid w:val="00886FDF"/>
    <w:rsid w:val="00890653"/>
    <w:rsid w:val="008913C1"/>
    <w:rsid w:val="0089284D"/>
    <w:rsid w:val="00893318"/>
    <w:rsid w:val="00893976"/>
    <w:rsid w:val="00893FE4"/>
    <w:rsid w:val="008960DD"/>
    <w:rsid w:val="008A0CCB"/>
    <w:rsid w:val="008A1272"/>
    <w:rsid w:val="008A15E2"/>
    <w:rsid w:val="008A25E8"/>
    <w:rsid w:val="008A2976"/>
    <w:rsid w:val="008A2E0B"/>
    <w:rsid w:val="008A3507"/>
    <w:rsid w:val="008A394F"/>
    <w:rsid w:val="008A446B"/>
    <w:rsid w:val="008A595B"/>
    <w:rsid w:val="008A5F7C"/>
    <w:rsid w:val="008A65A4"/>
    <w:rsid w:val="008A6889"/>
    <w:rsid w:val="008A7EE4"/>
    <w:rsid w:val="008B0064"/>
    <w:rsid w:val="008B038D"/>
    <w:rsid w:val="008B1469"/>
    <w:rsid w:val="008B1C57"/>
    <w:rsid w:val="008B3CE0"/>
    <w:rsid w:val="008B3D68"/>
    <w:rsid w:val="008B4174"/>
    <w:rsid w:val="008B43C6"/>
    <w:rsid w:val="008B47D4"/>
    <w:rsid w:val="008B6E19"/>
    <w:rsid w:val="008B7120"/>
    <w:rsid w:val="008B7859"/>
    <w:rsid w:val="008C1916"/>
    <w:rsid w:val="008C5B80"/>
    <w:rsid w:val="008D0026"/>
    <w:rsid w:val="008D0228"/>
    <w:rsid w:val="008D110E"/>
    <w:rsid w:val="008D124D"/>
    <w:rsid w:val="008D19E3"/>
    <w:rsid w:val="008D280E"/>
    <w:rsid w:val="008D3499"/>
    <w:rsid w:val="008D3EB5"/>
    <w:rsid w:val="008D5406"/>
    <w:rsid w:val="008D630A"/>
    <w:rsid w:val="008D67FE"/>
    <w:rsid w:val="008D6EB7"/>
    <w:rsid w:val="008D7B18"/>
    <w:rsid w:val="008E0411"/>
    <w:rsid w:val="008E1102"/>
    <w:rsid w:val="008E3E58"/>
    <w:rsid w:val="008E40A6"/>
    <w:rsid w:val="008E4D34"/>
    <w:rsid w:val="008E4F66"/>
    <w:rsid w:val="008E4F7B"/>
    <w:rsid w:val="008E5E55"/>
    <w:rsid w:val="008E7342"/>
    <w:rsid w:val="008F0664"/>
    <w:rsid w:val="008F1E28"/>
    <w:rsid w:val="008F24CA"/>
    <w:rsid w:val="008F3619"/>
    <w:rsid w:val="008F5B55"/>
    <w:rsid w:val="008F5D34"/>
    <w:rsid w:val="008F64C3"/>
    <w:rsid w:val="008F674C"/>
    <w:rsid w:val="008F67AF"/>
    <w:rsid w:val="008F7EE6"/>
    <w:rsid w:val="00900229"/>
    <w:rsid w:val="00900C4F"/>
    <w:rsid w:val="009018F6"/>
    <w:rsid w:val="00903DF7"/>
    <w:rsid w:val="00905536"/>
    <w:rsid w:val="00905AF2"/>
    <w:rsid w:val="009061E9"/>
    <w:rsid w:val="0091042B"/>
    <w:rsid w:val="00910C02"/>
    <w:rsid w:val="009128CD"/>
    <w:rsid w:val="009134D8"/>
    <w:rsid w:val="00914179"/>
    <w:rsid w:val="009142DC"/>
    <w:rsid w:val="0091450F"/>
    <w:rsid w:val="00915A4B"/>
    <w:rsid w:val="00915AA6"/>
    <w:rsid w:val="00915C68"/>
    <w:rsid w:val="009168FB"/>
    <w:rsid w:val="00917175"/>
    <w:rsid w:val="009171CB"/>
    <w:rsid w:val="009172A2"/>
    <w:rsid w:val="00917C6F"/>
    <w:rsid w:val="00920793"/>
    <w:rsid w:val="009213EA"/>
    <w:rsid w:val="00922133"/>
    <w:rsid w:val="00922437"/>
    <w:rsid w:val="0092449F"/>
    <w:rsid w:val="009248A5"/>
    <w:rsid w:val="009256F1"/>
    <w:rsid w:val="00925AA9"/>
    <w:rsid w:val="00926DA7"/>
    <w:rsid w:val="00930EE8"/>
    <w:rsid w:val="00932434"/>
    <w:rsid w:val="00932A86"/>
    <w:rsid w:val="00935423"/>
    <w:rsid w:val="009360EF"/>
    <w:rsid w:val="009363B3"/>
    <w:rsid w:val="0093690C"/>
    <w:rsid w:val="00942D10"/>
    <w:rsid w:val="00944537"/>
    <w:rsid w:val="00944E96"/>
    <w:rsid w:val="00945E15"/>
    <w:rsid w:val="00946855"/>
    <w:rsid w:val="00947059"/>
    <w:rsid w:val="00950F7F"/>
    <w:rsid w:val="00951293"/>
    <w:rsid w:val="00951342"/>
    <w:rsid w:val="0095207A"/>
    <w:rsid w:val="009521C0"/>
    <w:rsid w:val="009521F5"/>
    <w:rsid w:val="00953D48"/>
    <w:rsid w:val="009555F3"/>
    <w:rsid w:val="00955E1E"/>
    <w:rsid w:val="00957580"/>
    <w:rsid w:val="00961595"/>
    <w:rsid w:val="00961790"/>
    <w:rsid w:val="0096213D"/>
    <w:rsid w:val="009638A8"/>
    <w:rsid w:val="00963C23"/>
    <w:rsid w:val="00963C70"/>
    <w:rsid w:val="00965570"/>
    <w:rsid w:val="0096641A"/>
    <w:rsid w:val="009664D4"/>
    <w:rsid w:val="00966CFD"/>
    <w:rsid w:val="0096713D"/>
    <w:rsid w:val="00970F45"/>
    <w:rsid w:val="00973606"/>
    <w:rsid w:val="00974D51"/>
    <w:rsid w:val="00974DB2"/>
    <w:rsid w:val="00974F07"/>
    <w:rsid w:val="00975630"/>
    <w:rsid w:val="00976639"/>
    <w:rsid w:val="00977664"/>
    <w:rsid w:val="009808B8"/>
    <w:rsid w:val="00981221"/>
    <w:rsid w:val="0098239A"/>
    <w:rsid w:val="0098347C"/>
    <w:rsid w:val="0098430B"/>
    <w:rsid w:val="009848DF"/>
    <w:rsid w:val="00984ADB"/>
    <w:rsid w:val="0098551B"/>
    <w:rsid w:val="00985AC3"/>
    <w:rsid w:val="009861A6"/>
    <w:rsid w:val="009876DB"/>
    <w:rsid w:val="00987EC9"/>
    <w:rsid w:val="0099044F"/>
    <w:rsid w:val="00991390"/>
    <w:rsid w:val="00991F61"/>
    <w:rsid w:val="009920B1"/>
    <w:rsid w:val="0099488A"/>
    <w:rsid w:val="00994BA3"/>
    <w:rsid w:val="00994F30"/>
    <w:rsid w:val="009955FF"/>
    <w:rsid w:val="00996664"/>
    <w:rsid w:val="009967F8"/>
    <w:rsid w:val="009A4A48"/>
    <w:rsid w:val="009A52A6"/>
    <w:rsid w:val="009A5B98"/>
    <w:rsid w:val="009A601E"/>
    <w:rsid w:val="009A6145"/>
    <w:rsid w:val="009A7B37"/>
    <w:rsid w:val="009B01BD"/>
    <w:rsid w:val="009B0219"/>
    <w:rsid w:val="009B165E"/>
    <w:rsid w:val="009B1B0F"/>
    <w:rsid w:val="009B364A"/>
    <w:rsid w:val="009B38EF"/>
    <w:rsid w:val="009B4274"/>
    <w:rsid w:val="009B42BA"/>
    <w:rsid w:val="009B4959"/>
    <w:rsid w:val="009B56F9"/>
    <w:rsid w:val="009B5B14"/>
    <w:rsid w:val="009B5DFC"/>
    <w:rsid w:val="009B65EE"/>
    <w:rsid w:val="009B7689"/>
    <w:rsid w:val="009B78C7"/>
    <w:rsid w:val="009B7C65"/>
    <w:rsid w:val="009B7DD1"/>
    <w:rsid w:val="009C043D"/>
    <w:rsid w:val="009C05B5"/>
    <w:rsid w:val="009C3E56"/>
    <w:rsid w:val="009C4E52"/>
    <w:rsid w:val="009C57C6"/>
    <w:rsid w:val="009C626F"/>
    <w:rsid w:val="009C6AA7"/>
    <w:rsid w:val="009C718D"/>
    <w:rsid w:val="009C7F2B"/>
    <w:rsid w:val="009D03B9"/>
    <w:rsid w:val="009D0452"/>
    <w:rsid w:val="009D2538"/>
    <w:rsid w:val="009D367F"/>
    <w:rsid w:val="009D4AC5"/>
    <w:rsid w:val="009D6B64"/>
    <w:rsid w:val="009D6F00"/>
    <w:rsid w:val="009E0025"/>
    <w:rsid w:val="009E048B"/>
    <w:rsid w:val="009E0FCB"/>
    <w:rsid w:val="009E0FCE"/>
    <w:rsid w:val="009E34DA"/>
    <w:rsid w:val="009E3DA5"/>
    <w:rsid w:val="009E436C"/>
    <w:rsid w:val="009E4800"/>
    <w:rsid w:val="009E5A8E"/>
    <w:rsid w:val="009E5C9B"/>
    <w:rsid w:val="009E6618"/>
    <w:rsid w:val="009E7441"/>
    <w:rsid w:val="009F07D2"/>
    <w:rsid w:val="009F1E62"/>
    <w:rsid w:val="009F22C3"/>
    <w:rsid w:val="009F2A72"/>
    <w:rsid w:val="009F3C7F"/>
    <w:rsid w:val="009F3CF1"/>
    <w:rsid w:val="009F4702"/>
    <w:rsid w:val="009F570B"/>
    <w:rsid w:val="009F66FA"/>
    <w:rsid w:val="00A00AF7"/>
    <w:rsid w:val="00A015EE"/>
    <w:rsid w:val="00A018E7"/>
    <w:rsid w:val="00A026BD"/>
    <w:rsid w:val="00A03610"/>
    <w:rsid w:val="00A03678"/>
    <w:rsid w:val="00A03748"/>
    <w:rsid w:val="00A03CED"/>
    <w:rsid w:val="00A04316"/>
    <w:rsid w:val="00A04657"/>
    <w:rsid w:val="00A067B6"/>
    <w:rsid w:val="00A072FE"/>
    <w:rsid w:val="00A10280"/>
    <w:rsid w:val="00A10D00"/>
    <w:rsid w:val="00A115FD"/>
    <w:rsid w:val="00A12054"/>
    <w:rsid w:val="00A13751"/>
    <w:rsid w:val="00A15073"/>
    <w:rsid w:val="00A15B62"/>
    <w:rsid w:val="00A16067"/>
    <w:rsid w:val="00A176AC"/>
    <w:rsid w:val="00A17F73"/>
    <w:rsid w:val="00A20714"/>
    <w:rsid w:val="00A2079B"/>
    <w:rsid w:val="00A2196A"/>
    <w:rsid w:val="00A21C5A"/>
    <w:rsid w:val="00A21C6E"/>
    <w:rsid w:val="00A22E00"/>
    <w:rsid w:val="00A2364F"/>
    <w:rsid w:val="00A237A6"/>
    <w:rsid w:val="00A25062"/>
    <w:rsid w:val="00A261FE"/>
    <w:rsid w:val="00A3035A"/>
    <w:rsid w:val="00A3062D"/>
    <w:rsid w:val="00A30DFA"/>
    <w:rsid w:val="00A311FF"/>
    <w:rsid w:val="00A3193B"/>
    <w:rsid w:val="00A31C52"/>
    <w:rsid w:val="00A32190"/>
    <w:rsid w:val="00A327B8"/>
    <w:rsid w:val="00A32DFC"/>
    <w:rsid w:val="00A3335C"/>
    <w:rsid w:val="00A3433D"/>
    <w:rsid w:val="00A3459C"/>
    <w:rsid w:val="00A34A41"/>
    <w:rsid w:val="00A34A8C"/>
    <w:rsid w:val="00A351E6"/>
    <w:rsid w:val="00A4002A"/>
    <w:rsid w:val="00A40941"/>
    <w:rsid w:val="00A409EA"/>
    <w:rsid w:val="00A41136"/>
    <w:rsid w:val="00A44BD7"/>
    <w:rsid w:val="00A45096"/>
    <w:rsid w:val="00A4664B"/>
    <w:rsid w:val="00A469AA"/>
    <w:rsid w:val="00A4716F"/>
    <w:rsid w:val="00A47530"/>
    <w:rsid w:val="00A4797C"/>
    <w:rsid w:val="00A50DD6"/>
    <w:rsid w:val="00A51190"/>
    <w:rsid w:val="00A52891"/>
    <w:rsid w:val="00A54118"/>
    <w:rsid w:val="00A551CD"/>
    <w:rsid w:val="00A5671C"/>
    <w:rsid w:val="00A60EE4"/>
    <w:rsid w:val="00A61118"/>
    <w:rsid w:val="00A611A0"/>
    <w:rsid w:val="00A612B5"/>
    <w:rsid w:val="00A61A20"/>
    <w:rsid w:val="00A61BDE"/>
    <w:rsid w:val="00A62D31"/>
    <w:rsid w:val="00A637A1"/>
    <w:rsid w:val="00A63FE2"/>
    <w:rsid w:val="00A64728"/>
    <w:rsid w:val="00A647FC"/>
    <w:rsid w:val="00A648C7"/>
    <w:rsid w:val="00A64A77"/>
    <w:rsid w:val="00A667E9"/>
    <w:rsid w:val="00A67403"/>
    <w:rsid w:val="00A67835"/>
    <w:rsid w:val="00A67B69"/>
    <w:rsid w:val="00A67DDA"/>
    <w:rsid w:val="00A67E09"/>
    <w:rsid w:val="00A70893"/>
    <w:rsid w:val="00A70AC2"/>
    <w:rsid w:val="00A71A4A"/>
    <w:rsid w:val="00A730B8"/>
    <w:rsid w:val="00A74722"/>
    <w:rsid w:val="00A7489A"/>
    <w:rsid w:val="00A75024"/>
    <w:rsid w:val="00A763B1"/>
    <w:rsid w:val="00A81BEE"/>
    <w:rsid w:val="00A843C3"/>
    <w:rsid w:val="00A851AC"/>
    <w:rsid w:val="00A85545"/>
    <w:rsid w:val="00A85930"/>
    <w:rsid w:val="00A85EB2"/>
    <w:rsid w:val="00A86134"/>
    <w:rsid w:val="00A871EC"/>
    <w:rsid w:val="00A87CB6"/>
    <w:rsid w:val="00A90452"/>
    <w:rsid w:val="00A914E0"/>
    <w:rsid w:val="00A9317D"/>
    <w:rsid w:val="00A93254"/>
    <w:rsid w:val="00A94743"/>
    <w:rsid w:val="00A95279"/>
    <w:rsid w:val="00A97A41"/>
    <w:rsid w:val="00A97F03"/>
    <w:rsid w:val="00AA02CF"/>
    <w:rsid w:val="00AA08B1"/>
    <w:rsid w:val="00AA1EE0"/>
    <w:rsid w:val="00AA2089"/>
    <w:rsid w:val="00AA3C90"/>
    <w:rsid w:val="00AA3DE8"/>
    <w:rsid w:val="00AA4910"/>
    <w:rsid w:val="00AA5F13"/>
    <w:rsid w:val="00AA71FB"/>
    <w:rsid w:val="00AB0CD2"/>
    <w:rsid w:val="00AB1900"/>
    <w:rsid w:val="00AB2268"/>
    <w:rsid w:val="00AB2D0B"/>
    <w:rsid w:val="00AB3A04"/>
    <w:rsid w:val="00AB594E"/>
    <w:rsid w:val="00AB5B03"/>
    <w:rsid w:val="00AB68EA"/>
    <w:rsid w:val="00AB71D6"/>
    <w:rsid w:val="00AC0CF9"/>
    <w:rsid w:val="00AC15E3"/>
    <w:rsid w:val="00AC1B2D"/>
    <w:rsid w:val="00AC25D1"/>
    <w:rsid w:val="00AC44FA"/>
    <w:rsid w:val="00AC4A3C"/>
    <w:rsid w:val="00AC5482"/>
    <w:rsid w:val="00AC6473"/>
    <w:rsid w:val="00AC6533"/>
    <w:rsid w:val="00AC6F13"/>
    <w:rsid w:val="00AC7687"/>
    <w:rsid w:val="00AD0FF1"/>
    <w:rsid w:val="00AD10E0"/>
    <w:rsid w:val="00AD1EBE"/>
    <w:rsid w:val="00AD23BC"/>
    <w:rsid w:val="00AD2835"/>
    <w:rsid w:val="00AD29B5"/>
    <w:rsid w:val="00AD390F"/>
    <w:rsid w:val="00AD562A"/>
    <w:rsid w:val="00AD688C"/>
    <w:rsid w:val="00AD69B2"/>
    <w:rsid w:val="00AD744C"/>
    <w:rsid w:val="00AD7795"/>
    <w:rsid w:val="00AD78E6"/>
    <w:rsid w:val="00AD7BDA"/>
    <w:rsid w:val="00AD7C41"/>
    <w:rsid w:val="00AE10CA"/>
    <w:rsid w:val="00AE115E"/>
    <w:rsid w:val="00AE13F6"/>
    <w:rsid w:val="00AE2208"/>
    <w:rsid w:val="00AE29B9"/>
    <w:rsid w:val="00AE36CA"/>
    <w:rsid w:val="00AE383B"/>
    <w:rsid w:val="00AE3E2F"/>
    <w:rsid w:val="00AE4143"/>
    <w:rsid w:val="00AE454C"/>
    <w:rsid w:val="00AE479E"/>
    <w:rsid w:val="00AE4AE6"/>
    <w:rsid w:val="00AE615C"/>
    <w:rsid w:val="00AE6AAC"/>
    <w:rsid w:val="00AF0075"/>
    <w:rsid w:val="00AF02DA"/>
    <w:rsid w:val="00AF0A3A"/>
    <w:rsid w:val="00AF181B"/>
    <w:rsid w:val="00AF1B5A"/>
    <w:rsid w:val="00AF4C5C"/>
    <w:rsid w:val="00AF4ECB"/>
    <w:rsid w:val="00AF5F1E"/>
    <w:rsid w:val="00AF728A"/>
    <w:rsid w:val="00AF7B34"/>
    <w:rsid w:val="00B001BB"/>
    <w:rsid w:val="00B01007"/>
    <w:rsid w:val="00B011B5"/>
    <w:rsid w:val="00B01735"/>
    <w:rsid w:val="00B020DA"/>
    <w:rsid w:val="00B02603"/>
    <w:rsid w:val="00B031AC"/>
    <w:rsid w:val="00B03F5F"/>
    <w:rsid w:val="00B06A44"/>
    <w:rsid w:val="00B0762A"/>
    <w:rsid w:val="00B07C35"/>
    <w:rsid w:val="00B07C40"/>
    <w:rsid w:val="00B11316"/>
    <w:rsid w:val="00B11325"/>
    <w:rsid w:val="00B11D92"/>
    <w:rsid w:val="00B12891"/>
    <w:rsid w:val="00B12B1C"/>
    <w:rsid w:val="00B12C2E"/>
    <w:rsid w:val="00B12F99"/>
    <w:rsid w:val="00B13348"/>
    <w:rsid w:val="00B16454"/>
    <w:rsid w:val="00B16EA8"/>
    <w:rsid w:val="00B17779"/>
    <w:rsid w:val="00B2078E"/>
    <w:rsid w:val="00B20BED"/>
    <w:rsid w:val="00B21C81"/>
    <w:rsid w:val="00B22722"/>
    <w:rsid w:val="00B227A6"/>
    <w:rsid w:val="00B23A7B"/>
    <w:rsid w:val="00B247A2"/>
    <w:rsid w:val="00B2519F"/>
    <w:rsid w:val="00B25309"/>
    <w:rsid w:val="00B256AE"/>
    <w:rsid w:val="00B260A8"/>
    <w:rsid w:val="00B277C4"/>
    <w:rsid w:val="00B27A27"/>
    <w:rsid w:val="00B313C1"/>
    <w:rsid w:val="00B320C0"/>
    <w:rsid w:val="00B329BF"/>
    <w:rsid w:val="00B34435"/>
    <w:rsid w:val="00B34C23"/>
    <w:rsid w:val="00B3571C"/>
    <w:rsid w:val="00B3691C"/>
    <w:rsid w:val="00B36F9E"/>
    <w:rsid w:val="00B41FDB"/>
    <w:rsid w:val="00B42E3D"/>
    <w:rsid w:val="00B430E3"/>
    <w:rsid w:val="00B44B9E"/>
    <w:rsid w:val="00B45785"/>
    <w:rsid w:val="00B4628D"/>
    <w:rsid w:val="00B5007E"/>
    <w:rsid w:val="00B50BD6"/>
    <w:rsid w:val="00B519FF"/>
    <w:rsid w:val="00B51F7D"/>
    <w:rsid w:val="00B5219A"/>
    <w:rsid w:val="00B55AAA"/>
    <w:rsid w:val="00B61CBB"/>
    <w:rsid w:val="00B61E5A"/>
    <w:rsid w:val="00B639F0"/>
    <w:rsid w:val="00B64CCC"/>
    <w:rsid w:val="00B64E7E"/>
    <w:rsid w:val="00B64ED7"/>
    <w:rsid w:val="00B666E6"/>
    <w:rsid w:val="00B66E38"/>
    <w:rsid w:val="00B679F8"/>
    <w:rsid w:val="00B67CF6"/>
    <w:rsid w:val="00B70105"/>
    <w:rsid w:val="00B70171"/>
    <w:rsid w:val="00B70E22"/>
    <w:rsid w:val="00B7165D"/>
    <w:rsid w:val="00B71EE5"/>
    <w:rsid w:val="00B74EA9"/>
    <w:rsid w:val="00B75A57"/>
    <w:rsid w:val="00B75CED"/>
    <w:rsid w:val="00B8000E"/>
    <w:rsid w:val="00B80FF9"/>
    <w:rsid w:val="00B81D3E"/>
    <w:rsid w:val="00B81ECE"/>
    <w:rsid w:val="00B8312D"/>
    <w:rsid w:val="00B83C0D"/>
    <w:rsid w:val="00B83E71"/>
    <w:rsid w:val="00B84CDE"/>
    <w:rsid w:val="00B84FB5"/>
    <w:rsid w:val="00B85DB3"/>
    <w:rsid w:val="00B90092"/>
    <w:rsid w:val="00B90C2E"/>
    <w:rsid w:val="00B917A6"/>
    <w:rsid w:val="00B94E00"/>
    <w:rsid w:val="00B95073"/>
    <w:rsid w:val="00B95490"/>
    <w:rsid w:val="00B95744"/>
    <w:rsid w:val="00B958AE"/>
    <w:rsid w:val="00B96BF9"/>
    <w:rsid w:val="00BA0F1B"/>
    <w:rsid w:val="00BA123C"/>
    <w:rsid w:val="00BA3806"/>
    <w:rsid w:val="00BA3FAE"/>
    <w:rsid w:val="00BA5446"/>
    <w:rsid w:val="00BA5E5C"/>
    <w:rsid w:val="00BA7178"/>
    <w:rsid w:val="00BB02D8"/>
    <w:rsid w:val="00BB252F"/>
    <w:rsid w:val="00BB33C6"/>
    <w:rsid w:val="00BB36EB"/>
    <w:rsid w:val="00BB3A4A"/>
    <w:rsid w:val="00BB3C84"/>
    <w:rsid w:val="00BB3D57"/>
    <w:rsid w:val="00BB50C8"/>
    <w:rsid w:val="00BB52F9"/>
    <w:rsid w:val="00BB60EA"/>
    <w:rsid w:val="00BB7BDC"/>
    <w:rsid w:val="00BB7D87"/>
    <w:rsid w:val="00BB7F9B"/>
    <w:rsid w:val="00BC0546"/>
    <w:rsid w:val="00BC09C6"/>
    <w:rsid w:val="00BC0E9B"/>
    <w:rsid w:val="00BC1C25"/>
    <w:rsid w:val="00BC1DAD"/>
    <w:rsid w:val="00BC2EAC"/>
    <w:rsid w:val="00BC3036"/>
    <w:rsid w:val="00BC3813"/>
    <w:rsid w:val="00BC4FE1"/>
    <w:rsid w:val="00BC523E"/>
    <w:rsid w:val="00BC583F"/>
    <w:rsid w:val="00BC7185"/>
    <w:rsid w:val="00BC7688"/>
    <w:rsid w:val="00BC7E9D"/>
    <w:rsid w:val="00BD0658"/>
    <w:rsid w:val="00BD1204"/>
    <w:rsid w:val="00BD1AE5"/>
    <w:rsid w:val="00BD29D0"/>
    <w:rsid w:val="00BD2C3C"/>
    <w:rsid w:val="00BD5282"/>
    <w:rsid w:val="00BD7290"/>
    <w:rsid w:val="00BD7584"/>
    <w:rsid w:val="00BE0E8E"/>
    <w:rsid w:val="00BE32EB"/>
    <w:rsid w:val="00BE3F6E"/>
    <w:rsid w:val="00BE4DD5"/>
    <w:rsid w:val="00BE54E3"/>
    <w:rsid w:val="00BE5806"/>
    <w:rsid w:val="00BE5AFA"/>
    <w:rsid w:val="00BE6134"/>
    <w:rsid w:val="00BE7816"/>
    <w:rsid w:val="00BE7C11"/>
    <w:rsid w:val="00BE7FCE"/>
    <w:rsid w:val="00BF0A2D"/>
    <w:rsid w:val="00BF197A"/>
    <w:rsid w:val="00BF1D5C"/>
    <w:rsid w:val="00BF2169"/>
    <w:rsid w:val="00BF3168"/>
    <w:rsid w:val="00BF3499"/>
    <w:rsid w:val="00BF3EA7"/>
    <w:rsid w:val="00BF4104"/>
    <w:rsid w:val="00BF4ADC"/>
    <w:rsid w:val="00BF4E7D"/>
    <w:rsid w:val="00BF5021"/>
    <w:rsid w:val="00BF50D0"/>
    <w:rsid w:val="00BF5ABD"/>
    <w:rsid w:val="00BF5FD3"/>
    <w:rsid w:val="00BF7145"/>
    <w:rsid w:val="00BF7160"/>
    <w:rsid w:val="00C00022"/>
    <w:rsid w:val="00C00103"/>
    <w:rsid w:val="00C0075E"/>
    <w:rsid w:val="00C01642"/>
    <w:rsid w:val="00C0290F"/>
    <w:rsid w:val="00C03063"/>
    <w:rsid w:val="00C03538"/>
    <w:rsid w:val="00C04DDF"/>
    <w:rsid w:val="00C05413"/>
    <w:rsid w:val="00C055F4"/>
    <w:rsid w:val="00C0579B"/>
    <w:rsid w:val="00C05B79"/>
    <w:rsid w:val="00C05C98"/>
    <w:rsid w:val="00C064F1"/>
    <w:rsid w:val="00C06ABF"/>
    <w:rsid w:val="00C06B77"/>
    <w:rsid w:val="00C077BE"/>
    <w:rsid w:val="00C07BED"/>
    <w:rsid w:val="00C07CD0"/>
    <w:rsid w:val="00C1042D"/>
    <w:rsid w:val="00C10ADE"/>
    <w:rsid w:val="00C11034"/>
    <w:rsid w:val="00C11518"/>
    <w:rsid w:val="00C1166B"/>
    <w:rsid w:val="00C11FFF"/>
    <w:rsid w:val="00C120B7"/>
    <w:rsid w:val="00C12766"/>
    <w:rsid w:val="00C12D6A"/>
    <w:rsid w:val="00C13843"/>
    <w:rsid w:val="00C13A0D"/>
    <w:rsid w:val="00C140AF"/>
    <w:rsid w:val="00C15158"/>
    <w:rsid w:val="00C158BB"/>
    <w:rsid w:val="00C15CB0"/>
    <w:rsid w:val="00C15E84"/>
    <w:rsid w:val="00C15FF1"/>
    <w:rsid w:val="00C16D18"/>
    <w:rsid w:val="00C173C5"/>
    <w:rsid w:val="00C200F6"/>
    <w:rsid w:val="00C20538"/>
    <w:rsid w:val="00C20B49"/>
    <w:rsid w:val="00C20E5E"/>
    <w:rsid w:val="00C20EEB"/>
    <w:rsid w:val="00C2287B"/>
    <w:rsid w:val="00C24BEF"/>
    <w:rsid w:val="00C26022"/>
    <w:rsid w:val="00C26FD9"/>
    <w:rsid w:val="00C27406"/>
    <w:rsid w:val="00C2794B"/>
    <w:rsid w:val="00C279FF"/>
    <w:rsid w:val="00C3155C"/>
    <w:rsid w:val="00C3206E"/>
    <w:rsid w:val="00C32C13"/>
    <w:rsid w:val="00C3312C"/>
    <w:rsid w:val="00C337B5"/>
    <w:rsid w:val="00C33AA7"/>
    <w:rsid w:val="00C34270"/>
    <w:rsid w:val="00C357DD"/>
    <w:rsid w:val="00C35DAE"/>
    <w:rsid w:val="00C3668F"/>
    <w:rsid w:val="00C3697E"/>
    <w:rsid w:val="00C36CC9"/>
    <w:rsid w:val="00C3723D"/>
    <w:rsid w:val="00C41812"/>
    <w:rsid w:val="00C41D39"/>
    <w:rsid w:val="00C433FA"/>
    <w:rsid w:val="00C44325"/>
    <w:rsid w:val="00C44A96"/>
    <w:rsid w:val="00C45652"/>
    <w:rsid w:val="00C46235"/>
    <w:rsid w:val="00C46CC8"/>
    <w:rsid w:val="00C4764D"/>
    <w:rsid w:val="00C519C1"/>
    <w:rsid w:val="00C52EDC"/>
    <w:rsid w:val="00C53BBA"/>
    <w:rsid w:val="00C542E1"/>
    <w:rsid w:val="00C5475F"/>
    <w:rsid w:val="00C548D4"/>
    <w:rsid w:val="00C55523"/>
    <w:rsid w:val="00C55A86"/>
    <w:rsid w:val="00C60BD7"/>
    <w:rsid w:val="00C623FE"/>
    <w:rsid w:val="00C631A7"/>
    <w:rsid w:val="00C63BA2"/>
    <w:rsid w:val="00C641DF"/>
    <w:rsid w:val="00C65160"/>
    <w:rsid w:val="00C658E7"/>
    <w:rsid w:val="00C660F7"/>
    <w:rsid w:val="00C671A6"/>
    <w:rsid w:val="00C6793C"/>
    <w:rsid w:val="00C67F5F"/>
    <w:rsid w:val="00C67FBA"/>
    <w:rsid w:val="00C705A7"/>
    <w:rsid w:val="00C7080E"/>
    <w:rsid w:val="00C71D6E"/>
    <w:rsid w:val="00C720D1"/>
    <w:rsid w:val="00C7344E"/>
    <w:rsid w:val="00C7450A"/>
    <w:rsid w:val="00C75431"/>
    <w:rsid w:val="00C759BF"/>
    <w:rsid w:val="00C75A7D"/>
    <w:rsid w:val="00C760C5"/>
    <w:rsid w:val="00C7641A"/>
    <w:rsid w:val="00C764F0"/>
    <w:rsid w:val="00C8021E"/>
    <w:rsid w:val="00C80925"/>
    <w:rsid w:val="00C81120"/>
    <w:rsid w:val="00C81E50"/>
    <w:rsid w:val="00C82BBC"/>
    <w:rsid w:val="00C83D95"/>
    <w:rsid w:val="00C842E5"/>
    <w:rsid w:val="00C856F1"/>
    <w:rsid w:val="00C85A36"/>
    <w:rsid w:val="00C85C32"/>
    <w:rsid w:val="00C86B35"/>
    <w:rsid w:val="00C87658"/>
    <w:rsid w:val="00C87F81"/>
    <w:rsid w:val="00C9071B"/>
    <w:rsid w:val="00C918C9"/>
    <w:rsid w:val="00C9292A"/>
    <w:rsid w:val="00C95BEA"/>
    <w:rsid w:val="00C974D0"/>
    <w:rsid w:val="00CA02F0"/>
    <w:rsid w:val="00CA083A"/>
    <w:rsid w:val="00CA0AE3"/>
    <w:rsid w:val="00CA1090"/>
    <w:rsid w:val="00CA2EEB"/>
    <w:rsid w:val="00CA447D"/>
    <w:rsid w:val="00CA5E4A"/>
    <w:rsid w:val="00CA660E"/>
    <w:rsid w:val="00CA6EEC"/>
    <w:rsid w:val="00CA749D"/>
    <w:rsid w:val="00CA7E43"/>
    <w:rsid w:val="00CB0BF5"/>
    <w:rsid w:val="00CB0F90"/>
    <w:rsid w:val="00CB1C2D"/>
    <w:rsid w:val="00CB378D"/>
    <w:rsid w:val="00CB4308"/>
    <w:rsid w:val="00CB44D3"/>
    <w:rsid w:val="00CB5224"/>
    <w:rsid w:val="00CB5380"/>
    <w:rsid w:val="00CB557E"/>
    <w:rsid w:val="00CB59BC"/>
    <w:rsid w:val="00CB608F"/>
    <w:rsid w:val="00CB6DEE"/>
    <w:rsid w:val="00CB70EF"/>
    <w:rsid w:val="00CB7CEE"/>
    <w:rsid w:val="00CB7F54"/>
    <w:rsid w:val="00CC0A86"/>
    <w:rsid w:val="00CC2460"/>
    <w:rsid w:val="00CC24A5"/>
    <w:rsid w:val="00CC390D"/>
    <w:rsid w:val="00CC4D6E"/>
    <w:rsid w:val="00CC5B09"/>
    <w:rsid w:val="00CC5D2F"/>
    <w:rsid w:val="00CC7594"/>
    <w:rsid w:val="00CC76D9"/>
    <w:rsid w:val="00CC783C"/>
    <w:rsid w:val="00CC7E17"/>
    <w:rsid w:val="00CD0AF5"/>
    <w:rsid w:val="00CD2057"/>
    <w:rsid w:val="00CD2A52"/>
    <w:rsid w:val="00CD3404"/>
    <w:rsid w:val="00CD34C1"/>
    <w:rsid w:val="00CD49E7"/>
    <w:rsid w:val="00CD57F1"/>
    <w:rsid w:val="00CD5969"/>
    <w:rsid w:val="00CD5F31"/>
    <w:rsid w:val="00CD6A30"/>
    <w:rsid w:val="00CE0030"/>
    <w:rsid w:val="00CE017F"/>
    <w:rsid w:val="00CE2717"/>
    <w:rsid w:val="00CE2BD3"/>
    <w:rsid w:val="00CE3403"/>
    <w:rsid w:val="00CE3DC3"/>
    <w:rsid w:val="00CE5022"/>
    <w:rsid w:val="00CE5269"/>
    <w:rsid w:val="00CE5C7C"/>
    <w:rsid w:val="00CE6588"/>
    <w:rsid w:val="00CE795F"/>
    <w:rsid w:val="00CE7F39"/>
    <w:rsid w:val="00CF064E"/>
    <w:rsid w:val="00CF2910"/>
    <w:rsid w:val="00CF37DB"/>
    <w:rsid w:val="00CF4EC1"/>
    <w:rsid w:val="00CF53C7"/>
    <w:rsid w:val="00CF6E0F"/>
    <w:rsid w:val="00CF74B2"/>
    <w:rsid w:val="00CF7BC8"/>
    <w:rsid w:val="00CF7F8A"/>
    <w:rsid w:val="00D0007A"/>
    <w:rsid w:val="00D00525"/>
    <w:rsid w:val="00D00814"/>
    <w:rsid w:val="00D02C9C"/>
    <w:rsid w:val="00D03388"/>
    <w:rsid w:val="00D04288"/>
    <w:rsid w:val="00D056FB"/>
    <w:rsid w:val="00D05D96"/>
    <w:rsid w:val="00D06C88"/>
    <w:rsid w:val="00D074B1"/>
    <w:rsid w:val="00D07B5C"/>
    <w:rsid w:val="00D11044"/>
    <w:rsid w:val="00D12060"/>
    <w:rsid w:val="00D127D3"/>
    <w:rsid w:val="00D12E91"/>
    <w:rsid w:val="00D13475"/>
    <w:rsid w:val="00D14168"/>
    <w:rsid w:val="00D16F84"/>
    <w:rsid w:val="00D171BC"/>
    <w:rsid w:val="00D2092D"/>
    <w:rsid w:val="00D20E86"/>
    <w:rsid w:val="00D21260"/>
    <w:rsid w:val="00D21927"/>
    <w:rsid w:val="00D22202"/>
    <w:rsid w:val="00D22EF8"/>
    <w:rsid w:val="00D23A1A"/>
    <w:rsid w:val="00D23F59"/>
    <w:rsid w:val="00D2417F"/>
    <w:rsid w:val="00D246F7"/>
    <w:rsid w:val="00D2505D"/>
    <w:rsid w:val="00D268F9"/>
    <w:rsid w:val="00D26A2A"/>
    <w:rsid w:val="00D26B9C"/>
    <w:rsid w:val="00D2748D"/>
    <w:rsid w:val="00D31141"/>
    <w:rsid w:val="00D313B4"/>
    <w:rsid w:val="00D3221A"/>
    <w:rsid w:val="00D3280C"/>
    <w:rsid w:val="00D32897"/>
    <w:rsid w:val="00D3456B"/>
    <w:rsid w:val="00D40497"/>
    <w:rsid w:val="00D43CB5"/>
    <w:rsid w:val="00D43DE8"/>
    <w:rsid w:val="00D44699"/>
    <w:rsid w:val="00D44CF7"/>
    <w:rsid w:val="00D4509B"/>
    <w:rsid w:val="00D45105"/>
    <w:rsid w:val="00D4517A"/>
    <w:rsid w:val="00D45B86"/>
    <w:rsid w:val="00D46F43"/>
    <w:rsid w:val="00D4716B"/>
    <w:rsid w:val="00D50305"/>
    <w:rsid w:val="00D50A73"/>
    <w:rsid w:val="00D50D15"/>
    <w:rsid w:val="00D50DFC"/>
    <w:rsid w:val="00D530C8"/>
    <w:rsid w:val="00D55DA5"/>
    <w:rsid w:val="00D56880"/>
    <w:rsid w:val="00D56BD0"/>
    <w:rsid w:val="00D60C6D"/>
    <w:rsid w:val="00D61CC7"/>
    <w:rsid w:val="00D61EE2"/>
    <w:rsid w:val="00D62C74"/>
    <w:rsid w:val="00D62E5C"/>
    <w:rsid w:val="00D638EA"/>
    <w:rsid w:val="00D641B5"/>
    <w:rsid w:val="00D64DC2"/>
    <w:rsid w:val="00D66A73"/>
    <w:rsid w:val="00D66DF8"/>
    <w:rsid w:val="00D67DC0"/>
    <w:rsid w:val="00D67F8D"/>
    <w:rsid w:val="00D707A3"/>
    <w:rsid w:val="00D72DC5"/>
    <w:rsid w:val="00D72EF9"/>
    <w:rsid w:val="00D73A53"/>
    <w:rsid w:val="00D73BC3"/>
    <w:rsid w:val="00D745B1"/>
    <w:rsid w:val="00D746F6"/>
    <w:rsid w:val="00D75CC6"/>
    <w:rsid w:val="00D81141"/>
    <w:rsid w:val="00D8159B"/>
    <w:rsid w:val="00D819C6"/>
    <w:rsid w:val="00D81D7C"/>
    <w:rsid w:val="00D82419"/>
    <w:rsid w:val="00D82EFC"/>
    <w:rsid w:val="00D82F9A"/>
    <w:rsid w:val="00D83A24"/>
    <w:rsid w:val="00D84534"/>
    <w:rsid w:val="00D862E1"/>
    <w:rsid w:val="00D86E3B"/>
    <w:rsid w:val="00D87172"/>
    <w:rsid w:val="00D87BEB"/>
    <w:rsid w:val="00D90920"/>
    <w:rsid w:val="00D91143"/>
    <w:rsid w:val="00D91A86"/>
    <w:rsid w:val="00D930A0"/>
    <w:rsid w:val="00D937DB"/>
    <w:rsid w:val="00D9426C"/>
    <w:rsid w:val="00D95CEE"/>
    <w:rsid w:val="00D9635B"/>
    <w:rsid w:val="00D96409"/>
    <w:rsid w:val="00D96D30"/>
    <w:rsid w:val="00D97048"/>
    <w:rsid w:val="00D97432"/>
    <w:rsid w:val="00D978B2"/>
    <w:rsid w:val="00DA0603"/>
    <w:rsid w:val="00DA0812"/>
    <w:rsid w:val="00DA3629"/>
    <w:rsid w:val="00DA3AC3"/>
    <w:rsid w:val="00DA3C3D"/>
    <w:rsid w:val="00DA3E5B"/>
    <w:rsid w:val="00DA4235"/>
    <w:rsid w:val="00DA507D"/>
    <w:rsid w:val="00DA5C6C"/>
    <w:rsid w:val="00DA5D31"/>
    <w:rsid w:val="00DA619C"/>
    <w:rsid w:val="00DA768C"/>
    <w:rsid w:val="00DA7E9D"/>
    <w:rsid w:val="00DB116C"/>
    <w:rsid w:val="00DB1250"/>
    <w:rsid w:val="00DB1BE2"/>
    <w:rsid w:val="00DB48FF"/>
    <w:rsid w:val="00DB7538"/>
    <w:rsid w:val="00DB7C1F"/>
    <w:rsid w:val="00DC0516"/>
    <w:rsid w:val="00DC06B7"/>
    <w:rsid w:val="00DC077F"/>
    <w:rsid w:val="00DC2133"/>
    <w:rsid w:val="00DC21CB"/>
    <w:rsid w:val="00DC2BF2"/>
    <w:rsid w:val="00DC4B38"/>
    <w:rsid w:val="00DC506C"/>
    <w:rsid w:val="00DC7E2B"/>
    <w:rsid w:val="00DC7F3A"/>
    <w:rsid w:val="00DD0611"/>
    <w:rsid w:val="00DD1A8A"/>
    <w:rsid w:val="00DD22FB"/>
    <w:rsid w:val="00DD2A70"/>
    <w:rsid w:val="00DD2AD5"/>
    <w:rsid w:val="00DD2B00"/>
    <w:rsid w:val="00DD3F49"/>
    <w:rsid w:val="00DD4E0F"/>
    <w:rsid w:val="00DD5993"/>
    <w:rsid w:val="00DD5D5E"/>
    <w:rsid w:val="00DD5F2F"/>
    <w:rsid w:val="00DD6419"/>
    <w:rsid w:val="00DD6EF3"/>
    <w:rsid w:val="00DD6F89"/>
    <w:rsid w:val="00DD743A"/>
    <w:rsid w:val="00DE013F"/>
    <w:rsid w:val="00DE21D8"/>
    <w:rsid w:val="00DE25F9"/>
    <w:rsid w:val="00DE376B"/>
    <w:rsid w:val="00DE4BD1"/>
    <w:rsid w:val="00DE6D3D"/>
    <w:rsid w:val="00DE74E2"/>
    <w:rsid w:val="00DF1311"/>
    <w:rsid w:val="00DF1AE5"/>
    <w:rsid w:val="00DF1B7F"/>
    <w:rsid w:val="00DF1CB0"/>
    <w:rsid w:val="00DF1D94"/>
    <w:rsid w:val="00DF58F2"/>
    <w:rsid w:val="00DF746F"/>
    <w:rsid w:val="00DF7932"/>
    <w:rsid w:val="00DF7E7C"/>
    <w:rsid w:val="00E0046C"/>
    <w:rsid w:val="00E01498"/>
    <w:rsid w:val="00E018E6"/>
    <w:rsid w:val="00E01C70"/>
    <w:rsid w:val="00E02CB3"/>
    <w:rsid w:val="00E03960"/>
    <w:rsid w:val="00E03BEC"/>
    <w:rsid w:val="00E05CB4"/>
    <w:rsid w:val="00E072C8"/>
    <w:rsid w:val="00E12A7E"/>
    <w:rsid w:val="00E12E9A"/>
    <w:rsid w:val="00E130F5"/>
    <w:rsid w:val="00E13AC6"/>
    <w:rsid w:val="00E13BBA"/>
    <w:rsid w:val="00E14990"/>
    <w:rsid w:val="00E166E9"/>
    <w:rsid w:val="00E172E1"/>
    <w:rsid w:val="00E20DAA"/>
    <w:rsid w:val="00E22F15"/>
    <w:rsid w:val="00E23469"/>
    <w:rsid w:val="00E2371D"/>
    <w:rsid w:val="00E23759"/>
    <w:rsid w:val="00E23F6D"/>
    <w:rsid w:val="00E24997"/>
    <w:rsid w:val="00E273BA"/>
    <w:rsid w:val="00E300C3"/>
    <w:rsid w:val="00E30114"/>
    <w:rsid w:val="00E3167B"/>
    <w:rsid w:val="00E3393E"/>
    <w:rsid w:val="00E34874"/>
    <w:rsid w:val="00E34C66"/>
    <w:rsid w:val="00E3755D"/>
    <w:rsid w:val="00E37982"/>
    <w:rsid w:val="00E4098D"/>
    <w:rsid w:val="00E40C58"/>
    <w:rsid w:val="00E41020"/>
    <w:rsid w:val="00E420B5"/>
    <w:rsid w:val="00E428B7"/>
    <w:rsid w:val="00E43D1B"/>
    <w:rsid w:val="00E4446B"/>
    <w:rsid w:val="00E447F8"/>
    <w:rsid w:val="00E44988"/>
    <w:rsid w:val="00E45113"/>
    <w:rsid w:val="00E452FB"/>
    <w:rsid w:val="00E4567C"/>
    <w:rsid w:val="00E46B73"/>
    <w:rsid w:val="00E47404"/>
    <w:rsid w:val="00E52080"/>
    <w:rsid w:val="00E5317C"/>
    <w:rsid w:val="00E532F5"/>
    <w:rsid w:val="00E55456"/>
    <w:rsid w:val="00E556DC"/>
    <w:rsid w:val="00E55A8B"/>
    <w:rsid w:val="00E5622B"/>
    <w:rsid w:val="00E57E47"/>
    <w:rsid w:val="00E6033E"/>
    <w:rsid w:val="00E60485"/>
    <w:rsid w:val="00E60CAB"/>
    <w:rsid w:val="00E6222F"/>
    <w:rsid w:val="00E62E70"/>
    <w:rsid w:val="00E63273"/>
    <w:rsid w:val="00E63BA0"/>
    <w:rsid w:val="00E63ED5"/>
    <w:rsid w:val="00E64159"/>
    <w:rsid w:val="00E64366"/>
    <w:rsid w:val="00E6610B"/>
    <w:rsid w:val="00E663C2"/>
    <w:rsid w:val="00E70C06"/>
    <w:rsid w:val="00E716D6"/>
    <w:rsid w:val="00E71991"/>
    <w:rsid w:val="00E71A35"/>
    <w:rsid w:val="00E71E8F"/>
    <w:rsid w:val="00E726D1"/>
    <w:rsid w:val="00E72728"/>
    <w:rsid w:val="00E7345B"/>
    <w:rsid w:val="00E75A74"/>
    <w:rsid w:val="00E767E0"/>
    <w:rsid w:val="00E77A87"/>
    <w:rsid w:val="00E81372"/>
    <w:rsid w:val="00E81DB0"/>
    <w:rsid w:val="00E838AB"/>
    <w:rsid w:val="00E841A0"/>
    <w:rsid w:val="00E841B9"/>
    <w:rsid w:val="00E8468C"/>
    <w:rsid w:val="00E86689"/>
    <w:rsid w:val="00E873AA"/>
    <w:rsid w:val="00E901C8"/>
    <w:rsid w:val="00E9045C"/>
    <w:rsid w:val="00E90AAA"/>
    <w:rsid w:val="00E92409"/>
    <w:rsid w:val="00E92E82"/>
    <w:rsid w:val="00E9389C"/>
    <w:rsid w:val="00E944D2"/>
    <w:rsid w:val="00E96577"/>
    <w:rsid w:val="00E972AC"/>
    <w:rsid w:val="00EA044A"/>
    <w:rsid w:val="00EA0C46"/>
    <w:rsid w:val="00EA16F0"/>
    <w:rsid w:val="00EA2D1C"/>
    <w:rsid w:val="00EA3DFF"/>
    <w:rsid w:val="00EA47BE"/>
    <w:rsid w:val="00EA67D9"/>
    <w:rsid w:val="00EA6BB6"/>
    <w:rsid w:val="00EB47D7"/>
    <w:rsid w:val="00EB5971"/>
    <w:rsid w:val="00EB5A94"/>
    <w:rsid w:val="00EB6FEF"/>
    <w:rsid w:val="00EC012D"/>
    <w:rsid w:val="00EC0A4C"/>
    <w:rsid w:val="00EC0A7F"/>
    <w:rsid w:val="00EC20B9"/>
    <w:rsid w:val="00EC33B0"/>
    <w:rsid w:val="00EC5293"/>
    <w:rsid w:val="00ED3A6C"/>
    <w:rsid w:val="00ED501C"/>
    <w:rsid w:val="00ED55C7"/>
    <w:rsid w:val="00ED56F5"/>
    <w:rsid w:val="00ED66EE"/>
    <w:rsid w:val="00ED7375"/>
    <w:rsid w:val="00EE0A84"/>
    <w:rsid w:val="00EE1C8C"/>
    <w:rsid w:val="00EE6890"/>
    <w:rsid w:val="00EE77BC"/>
    <w:rsid w:val="00EF03A4"/>
    <w:rsid w:val="00EF095E"/>
    <w:rsid w:val="00EF0A63"/>
    <w:rsid w:val="00EF2DF6"/>
    <w:rsid w:val="00EF3684"/>
    <w:rsid w:val="00EF4F4F"/>
    <w:rsid w:val="00EF5264"/>
    <w:rsid w:val="00EF6DE8"/>
    <w:rsid w:val="00EF6F83"/>
    <w:rsid w:val="00F035BB"/>
    <w:rsid w:val="00F03688"/>
    <w:rsid w:val="00F03712"/>
    <w:rsid w:val="00F04382"/>
    <w:rsid w:val="00F0478B"/>
    <w:rsid w:val="00F04FDD"/>
    <w:rsid w:val="00F07664"/>
    <w:rsid w:val="00F07B18"/>
    <w:rsid w:val="00F10932"/>
    <w:rsid w:val="00F10C81"/>
    <w:rsid w:val="00F111DF"/>
    <w:rsid w:val="00F12049"/>
    <w:rsid w:val="00F12C46"/>
    <w:rsid w:val="00F131D4"/>
    <w:rsid w:val="00F136F3"/>
    <w:rsid w:val="00F13F8C"/>
    <w:rsid w:val="00F15BF5"/>
    <w:rsid w:val="00F16E09"/>
    <w:rsid w:val="00F21352"/>
    <w:rsid w:val="00F24069"/>
    <w:rsid w:val="00F26B89"/>
    <w:rsid w:val="00F2777F"/>
    <w:rsid w:val="00F27DAC"/>
    <w:rsid w:val="00F3073A"/>
    <w:rsid w:val="00F30E29"/>
    <w:rsid w:val="00F32B20"/>
    <w:rsid w:val="00F32DED"/>
    <w:rsid w:val="00F336BD"/>
    <w:rsid w:val="00F339AB"/>
    <w:rsid w:val="00F34899"/>
    <w:rsid w:val="00F34D6B"/>
    <w:rsid w:val="00F358D5"/>
    <w:rsid w:val="00F36B99"/>
    <w:rsid w:val="00F3727B"/>
    <w:rsid w:val="00F41899"/>
    <w:rsid w:val="00F41B2B"/>
    <w:rsid w:val="00F41CBB"/>
    <w:rsid w:val="00F42161"/>
    <w:rsid w:val="00F42431"/>
    <w:rsid w:val="00F433A1"/>
    <w:rsid w:val="00F434CF"/>
    <w:rsid w:val="00F439E5"/>
    <w:rsid w:val="00F44C72"/>
    <w:rsid w:val="00F451CC"/>
    <w:rsid w:val="00F45C1C"/>
    <w:rsid w:val="00F45D51"/>
    <w:rsid w:val="00F46BD9"/>
    <w:rsid w:val="00F50371"/>
    <w:rsid w:val="00F50B0C"/>
    <w:rsid w:val="00F50F14"/>
    <w:rsid w:val="00F516B9"/>
    <w:rsid w:val="00F52339"/>
    <w:rsid w:val="00F5363C"/>
    <w:rsid w:val="00F54973"/>
    <w:rsid w:val="00F54BB4"/>
    <w:rsid w:val="00F54EEF"/>
    <w:rsid w:val="00F55060"/>
    <w:rsid w:val="00F5704A"/>
    <w:rsid w:val="00F609D2"/>
    <w:rsid w:val="00F60BBA"/>
    <w:rsid w:val="00F614F1"/>
    <w:rsid w:val="00F61758"/>
    <w:rsid w:val="00F61FDE"/>
    <w:rsid w:val="00F6273F"/>
    <w:rsid w:val="00F62845"/>
    <w:rsid w:val="00F634B1"/>
    <w:rsid w:val="00F64F00"/>
    <w:rsid w:val="00F65556"/>
    <w:rsid w:val="00F65CEB"/>
    <w:rsid w:val="00F702F7"/>
    <w:rsid w:val="00F70402"/>
    <w:rsid w:val="00F7064C"/>
    <w:rsid w:val="00F715E9"/>
    <w:rsid w:val="00F716A0"/>
    <w:rsid w:val="00F716B8"/>
    <w:rsid w:val="00F726FA"/>
    <w:rsid w:val="00F72D47"/>
    <w:rsid w:val="00F73A4C"/>
    <w:rsid w:val="00F73D22"/>
    <w:rsid w:val="00F73E15"/>
    <w:rsid w:val="00F744B9"/>
    <w:rsid w:val="00F75025"/>
    <w:rsid w:val="00F75E44"/>
    <w:rsid w:val="00F76FE6"/>
    <w:rsid w:val="00F77359"/>
    <w:rsid w:val="00F77A22"/>
    <w:rsid w:val="00F8019E"/>
    <w:rsid w:val="00F801F0"/>
    <w:rsid w:val="00F80AFE"/>
    <w:rsid w:val="00F81C8D"/>
    <w:rsid w:val="00F8308D"/>
    <w:rsid w:val="00F85997"/>
    <w:rsid w:val="00F8632A"/>
    <w:rsid w:val="00F87CF4"/>
    <w:rsid w:val="00F90FE8"/>
    <w:rsid w:val="00F914BA"/>
    <w:rsid w:val="00F9159B"/>
    <w:rsid w:val="00F936BD"/>
    <w:rsid w:val="00F9394C"/>
    <w:rsid w:val="00F93DF5"/>
    <w:rsid w:val="00F942F8"/>
    <w:rsid w:val="00F95102"/>
    <w:rsid w:val="00F9678E"/>
    <w:rsid w:val="00FA08EF"/>
    <w:rsid w:val="00FA0AAE"/>
    <w:rsid w:val="00FA0E22"/>
    <w:rsid w:val="00FA108E"/>
    <w:rsid w:val="00FA113C"/>
    <w:rsid w:val="00FA165A"/>
    <w:rsid w:val="00FA1AB5"/>
    <w:rsid w:val="00FA23BA"/>
    <w:rsid w:val="00FA28B1"/>
    <w:rsid w:val="00FA43BD"/>
    <w:rsid w:val="00FA7B24"/>
    <w:rsid w:val="00FB2822"/>
    <w:rsid w:val="00FB2AF0"/>
    <w:rsid w:val="00FB2CC7"/>
    <w:rsid w:val="00FB2D9B"/>
    <w:rsid w:val="00FB5C60"/>
    <w:rsid w:val="00FB671D"/>
    <w:rsid w:val="00FB70CF"/>
    <w:rsid w:val="00FB7B3F"/>
    <w:rsid w:val="00FB7CE7"/>
    <w:rsid w:val="00FC0213"/>
    <w:rsid w:val="00FC1161"/>
    <w:rsid w:val="00FC11EF"/>
    <w:rsid w:val="00FC1D12"/>
    <w:rsid w:val="00FC1D49"/>
    <w:rsid w:val="00FC1E59"/>
    <w:rsid w:val="00FC2EA3"/>
    <w:rsid w:val="00FC2F5F"/>
    <w:rsid w:val="00FC3B1C"/>
    <w:rsid w:val="00FC441E"/>
    <w:rsid w:val="00FC4ED9"/>
    <w:rsid w:val="00FC525F"/>
    <w:rsid w:val="00FC5C33"/>
    <w:rsid w:val="00FC6BF7"/>
    <w:rsid w:val="00FC7693"/>
    <w:rsid w:val="00FC7995"/>
    <w:rsid w:val="00FD065D"/>
    <w:rsid w:val="00FD12FA"/>
    <w:rsid w:val="00FD19ED"/>
    <w:rsid w:val="00FD2304"/>
    <w:rsid w:val="00FD2776"/>
    <w:rsid w:val="00FD36E1"/>
    <w:rsid w:val="00FD3B5F"/>
    <w:rsid w:val="00FD59AE"/>
    <w:rsid w:val="00FD6022"/>
    <w:rsid w:val="00FD7848"/>
    <w:rsid w:val="00FD7877"/>
    <w:rsid w:val="00FD7FF7"/>
    <w:rsid w:val="00FE05B3"/>
    <w:rsid w:val="00FE11D8"/>
    <w:rsid w:val="00FE1397"/>
    <w:rsid w:val="00FE1B26"/>
    <w:rsid w:val="00FE1F82"/>
    <w:rsid w:val="00FE26A7"/>
    <w:rsid w:val="00FE2C70"/>
    <w:rsid w:val="00FE4121"/>
    <w:rsid w:val="00FE417F"/>
    <w:rsid w:val="00FE4EC9"/>
    <w:rsid w:val="00FE6030"/>
    <w:rsid w:val="00FE63F1"/>
    <w:rsid w:val="00FE797C"/>
    <w:rsid w:val="00FF09C6"/>
    <w:rsid w:val="00FF118C"/>
    <w:rsid w:val="00FF1BD3"/>
    <w:rsid w:val="00FF2A45"/>
    <w:rsid w:val="00FF4AD4"/>
    <w:rsid w:val="00FF502C"/>
    <w:rsid w:val="00FF5C79"/>
    <w:rsid w:val="00FF79B9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31"/>
    <w:pPr>
      <w:widowControl w:val="0"/>
    </w:pPr>
    <w:rPr>
      <w:kern w:val="2"/>
      <w:sz w:val="24"/>
      <w:szCs w:val="24"/>
    </w:rPr>
  </w:style>
  <w:style w:type="paragraph" w:styleId="11">
    <w:name w:val="heading 1"/>
    <w:basedOn w:val="a"/>
    <w:next w:val="a"/>
    <w:link w:val="12"/>
    <w:qFormat/>
    <w:rsid w:val="00AF4ECB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AF4EC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B6A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5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AF4EC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4">
    <w:name w:val="Hyperlink"/>
    <w:uiPriority w:val="99"/>
    <w:rsid w:val="00AF4ECB"/>
    <w:rPr>
      <w:color w:val="0253B7"/>
      <w:u w:val="single"/>
    </w:rPr>
  </w:style>
  <w:style w:type="character" w:customStyle="1" w:styleId="atime1">
    <w:name w:val="atime1"/>
    <w:rsid w:val="00AF4ECB"/>
    <w:rPr>
      <w:rFonts w:ascii="Times New Roman" w:hAnsi="Times New Roman" w:hint="default"/>
      <w:i/>
      <w:iCs/>
    </w:rPr>
  </w:style>
  <w:style w:type="paragraph" w:customStyle="1" w:styleId="story">
    <w:name w:val="story"/>
    <w:basedOn w:val="a"/>
    <w:rsid w:val="00AF4ECB"/>
    <w:pPr>
      <w:widowControl/>
      <w:spacing w:before="100" w:beforeAutospacing="1" w:after="100" w:afterAutospacing="1" w:line="360" w:lineRule="atLeast"/>
    </w:pPr>
    <w:rPr>
      <w:rFonts w:ascii="Verdana" w:hAnsi="Verdana" w:cs="新細明體"/>
      <w:color w:val="414141"/>
      <w:kern w:val="0"/>
      <w:sz w:val="22"/>
      <w:szCs w:val="22"/>
      <w:lang w:bidi="hi-IN"/>
    </w:rPr>
  </w:style>
  <w:style w:type="paragraph" w:styleId="Web">
    <w:name w:val="Normal (Web)"/>
    <w:basedOn w:val="a"/>
    <w:uiPriority w:val="99"/>
    <w:rsid w:val="00AF4EC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customStyle="1" w:styleId="story1">
    <w:name w:val="story1"/>
    <w:rsid w:val="00AF4ECB"/>
    <w:rPr>
      <w:rFonts w:ascii="Verdana" w:hAnsi="Verdana" w:hint="default"/>
      <w:color w:val="414141"/>
      <w:sz w:val="22"/>
      <w:szCs w:val="22"/>
      <w:bdr w:val="single" w:sz="6" w:space="0" w:color="CBCBCB" w:frame="1"/>
      <w:shd w:val="clear" w:color="auto" w:fill="FDFCE3"/>
    </w:rPr>
  </w:style>
  <w:style w:type="character" w:customStyle="1" w:styleId="author1">
    <w:name w:val="author1"/>
    <w:rsid w:val="00AF4ECB"/>
    <w:rPr>
      <w:rFonts w:ascii="Verdana" w:hAnsi="Verdana" w:hint="default"/>
      <w:color w:val="696969"/>
      <w:sz w:val="17"/>
      <w:szCs w:val="17"/>
      <w:bdr w:val="single" w:sz="6" w:space="0" w:color="CBCBCB" w:frame="1"/>
      <w:shd w:val="clear" w:color="auto" w:fill="FDFCE3"/>
    </w:rPr>
  </w:style>
  <w:style w:type="character" w:customStyle="1" w:styleId="text11">
    <w:name w:val="text11"/>
    <w:rsid w:val="00AF4ECB"/>
    <w:rPr>
      <w:color w:val="000000"/>
      <w:sz w:val="22"/>
      <w:szCs w:val="22"/>
    </w:rPr>
  </w:style>
  <w:style w:type="character" w:styleId="a5">
    <w:name w:val="Strong"/>
    <w:qFormat/>
    <w:rsid w:val="00AF4ECB"/>
    <w:rPr>
      <w:b/>
      <w:bCs/>
    </w:rPr>
  </w:style>
  <w:style w:type="paragraph" w:styleId="a6">
    <w:name w:val="footnote text"/>
    <w:basedOn w:val="a"/>
    <w:link w:val="a7"/>
    <w:uiPriority w:val="99"/>
    <w:semiHidden/>
    <w:rsid w:val="00AF4ECB"/>
    <w:pPr>
      <w:snapToGrid w:val="0"/>
    </w:pPr>
    <w:rPr>
      <w:sz w:val="20"/>
      <w:szCs w:val="20"/>
    </w:rPr>
  </w:style>
  <w:style w:type="character" w:styleId="a8">
    <w:name w:val="footnote reference"/>
    <w:uiPriority w:val="99"/>
    <w:semiHidden/>
    <w:rsid w:val="00AF4ECB"/>
    <w:rPr>
      <w:vertAlign w:val="superscript"/>
    </w:rPr>
  </w:style>
  <w:style w:type="character" w:customStyle="1" w:styleId="yqlink">
    <w:name w:val="yqlink"/>
    <w:basedOn w:val="a0"/>
    <w:rsid w:val="00AF4ECB"/>
  </w:style>
  <w:style w:type="paragraph" w:styleId="z-">
    <w:name w:val="HTML Top of Form"/>
    <w:basedOn w:val="a"/>
    <w:next w:val="a"/>
    <w:link w:val="z-0"/>
    <w:hidden/>
    <w:rsid w:val="00AF4ECB"/>
    <w:pPr>
      <w:widowControl/>
      <w:pBdr>
        <w:bottom w:val="single" w:sz="6" w:space="1" w:color="auto"/>
      </w:pBdr>
      <w:jc w:val="center"/>
    </w:pPr>
    <w:rPr>
      <w:rFonts w:ascii="Arial" w:hAnsi="Arial" w:cs="新細明體"/>
      <w:vanish/>
      <w:kern w:val="0"/>
      <w:sz w:val="16"/>
      <w:szCs w:val="16"/>
      <w:lang w:bidi="hi-IN"/>
    </w:rPr>
  </w:style>
  <w:style w:type="paragraph" w:styleId="z-1">
    <w:name w:val="HTML Bottom of Form"/>
    <w:basedOn w:val="a"/>
    <w:next w:val="a"/>
    <w:link w:val="z-2"/>
    <w:hidden/>
    <w:rsid w:val="00AF4ECB"/>
    <w:pPr>
      <w:widowControl/>
      <w:pBdr>
        <w:top w:val="single" w:sz="6" w:space="1" w:color="auto"/>
      </w:pBdr>
      <w:jc w:val="center"/>
    </w:pPr>
    <w:rPr>
      <w:rFonts w:ascii="Arial" w:hAnsi="Arial" w:cs="新細明體"/>
      <w:vanish/>
      <w:kern w:val="0"/>
      <w:sz w:val="16"/>
      <w:szCs w:val="16"/>
      <w:lang w:bidi="hi-IN"/>
    </w:rPr>
  </w:style>
  <w:style w:type="paragraph" w:styleId="a9">
    <w:name w:val="footer"/>
    <w:basedOn w:val="a"/>
    <w:link w:val="aa"/>
    <w:uiPriority w:val="99"/>
    <w:rsid w:val="00AF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F4ECB"/>
  </w:style>
  <w:style w:type="paragraph" w:styleId="ac">
    <w:name w:val="header"/>
    <w:basedOn w:val="a"/>
    <w:link w:val="ad"/>
    <w:uiPriority w:val="99"/>
    <w:rsid w:val="00AF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2">
    <w:name w:val="sty2"/>
    <w:basedOn w:val="a0"/>
    <w:rsid w:val="00AF4ECB"/>
  </w:style>
  <w:style w:type="character" w:customStyle="1" w:styleId="ttag">
    <w:name w:val="t_tag"/>
    <w:basedOn w:val="a0"/>
    <w:rsid w:val="00AF4ECB"/>
  </w:style>
  <w:style w:type="paragraph" w:customStyle="1" w:styleId="Web45">
    <w:name w:val="內文 (Web)45"/>
    <w:basedOn w:val="a"/>
    <w:rsid w:val="00AF4ECB"/>
    <w:pPr>
      <w:widowControl/>
      <w:spacing w:before="240" w:after="360"/>
    </w:pPr>
    <w:rPr>
      <w:rFonts w:ascii="新細明體" w:hAnsi="新細明體" w:cs="新細明體"/>
      <w:kern w:val="0"/>
      <w:sz w:val="23"/>
      <w:szCs w:val="23"/>
    </w:rPr>
  </w:style>
  <w:style w:type="paragraph" w:customStyle="1" w:styleId="210">
    <w:name w:val="標題 21"/>
    <w:basedOn w:val="a"/>
    <w:rsid w:val="00AF4EC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36"/>
      <w:szCs w:val="36"/>
    </w:rPr>
  </w:style>
  <w:style w:type="paragraph" w:customStyle="1" w:styleId="Web7">
    <w:name w:val="內文 (Web)7"/>
    <w:basedOn w:val="a"/>
    <w:rsid w:val="00AF4ECB"/>
    <w:pPr>
      <w:widowControl/>
      <w:spacing w:line="330" w:lineRule="atLeast"/>
      <w:ind w:left="150" w:right="150"/>
    </w:pPr>
    <w:rPr>
      <w:rFonts w:ascii="新細明體" w:hAnsi="新細明體" w:cs="新細明體"/>
      <w:kern w:val="0"/>
    </w:rPr>
  </w:style>
  <w:style w:type="paragraph" w:customStyle="1" w:styleId="32">
    <w:name w:val="字元 字元3 字元 字元 字元"/>
    <w:basedOn w:val="a"/>
    <w:rsid w:val="00AF4EC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table" w:styleId="ae">
    <w:name w:val="Table Grid"/>
    <w:basedOn w:val="a1"/>
    <w:uiPriority w:val="59"/>
    <w:rsid w:val="004171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字元 字元 字元1 字元 字元 字元 字元 字元 字元 字元 字元"/>
    <w:basedOn w:val="a"/>
    <w:semiHidden/>
    <w:rsid w:val="008F7EE6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">
    <w:name w:val="Body Text Indent"/>
    <w:basedOn w:val="a"/>
    <w:link w:val="af0"/>
    <w:rsid w:val="00C20538"/>
    <w:pPr>
      <w:spacing w:after="120"/>
      <w:ind w:leftChars="200" w:left="480"/>
    </w:pPr>
  </w:style>
  <w:style w:type="paragraph" w:styleId="HTML">
    <w:name w:val="HTML Preformatted"/>
    <w:basedOn w:val="a"/>
    <w:link w:val="HTML0"/>
    <w:rsid w:val="00C205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lang w:bidi="hi-IN"/>
    </w:rPr>
  </w:style>
  <w:style w:type="paragraph" w:customStyle="1" w:styleId="xl30">
    <w:name w:val="xl30"/>
    <w:basedOn w:val="a"/>
    <w:rsid w:val="00651C15"/>
    <w:pPr>
      <w:widowControl/>
      <w:spacing w:before="100" w:beforeAutospacing="1" w:after="100" w:afterAutospacing="1"/>
      <w:jc w:val="center"/>
      <w:textAlignment w:val="center"/>
    </w:pPr>
    <w:rPr>
      <w:rFonts w:ascii="全真楷書" w:eastAsia="全真楷書" w:hAnsi="Arial Unicode MS" w:cs="Arial Unicode MS" w:hint="eastAsia"/>
      <w:kern w:val="0"/>
    </w:rPr>
  </w:style>
  <w:style w:type="character" w:styleId="af1">
    <w:name w:val="FollowedHyperlink"/>
    <w:rsid w:val="00FC1D12"/>
    <w:rPr>
      <w:color w:val="800080"/>
      <w:u w:val="single"/>
    </w:rPr>
  </w:style>
  <w:style w:type="paragraph" w:customStyle="1" w:styleId="14">
    <w:name w:val="字元 字元1"/>
    <w:basedOn w:val="a"/>
    <w:semiHidden/>
    <w:rsid w:val="009134D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rsid w:val="00915C6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2">
    <w:name w:val="字元 字元2"/>
    <w:basedOn w:val="a"/>
    <w:rsid w:val="00DA08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orytitle1">
    <w:name w:val="story_title1"/>
    <w:rsid w:val="00B25309"/>
    <w:rPr>
      <w:rFonts w:ascii="Verdana" w:hAnsi="Verdana" w:hint="default"/>
      <w:b/>
      <w:bCs/>
      <w:color w:val="FF8000"/>
      <w:sz w:val="19"/>
      <w:szCs w:val="19"/>
    </w:rPr>
  </w:style>
  <w:style w:type="character" w:customStyle="1" w:styleId="storysubtitle1">
    <w:name w:val="story_sub_title1"/>
    <w:rsid w:val="00B25309"/>
    <w:rPr>
      <w:rFonts w:ascii="Verdana" w:hAnsi="Verdana" w:hint="default"/>
      <w:color w:val="FF8000"/>
      <w:sz w:val="19"/>
      <w:szCs w:val="19"/>
    </w:rPr>
  </w:style>
  <w:style w:type="character" w:customStyle="1" w:styleId="15">
    <w:name w:val="超連結1"/>
    <w:rsid w:val="0021664B"/>
    <w:rPr>
      <w:i w:val="0"/>
      <w:iCs w:val="0"/>
      <w:strike w:val="0"/>
      <w:dstrike w:val="0"/>
      <w:color w:val="ED145B"/>
      <w:u w:val="none"/>
      <w:effect w:val="none"/>
    </w:rPr>
  </w:style>
  <w:style w:type="paragraph" w:customStyle="1" w:styleId="t1">
    <w:name w:val="t1"/>
    <w:basedOn w:val="a"/>
    <w:rsid w:val="006228FF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271D0"/>
      <w:kern w:val="0"/>
      <w:sz w:val="18"/>
      <w:szCs w:val="18"/>
    </w:rPr>
  </w:style>
  <w:style w:type="paragraph" w:customStyle="1" w:styleId="16">
    <w:name w:val="內文1"/>
    <w:basedOn w:val="a"/>
    <w:rsid w:val="008E7342"/>
    <w:pPr>
      <w:widowControl/>
      <w:spacing w:line="330" w:lineRule="atLeast"/>
      <w:ind w:left="150" w:right="150"/>
    </w:pPr>
    <w:rPr>
      <w:rFonts w:ascii="新細明體" w:hAnsi="新細明體" w:cs="新細明體"/>
      <w:kern w:val="0"/>
      <w:lang w:bidi="hi-IN"/>
    </w:rPr>
  </w:style>
  <w:style w:type="paragraph" w:styleId="af3">
    <w:name w:val="Date"/>
    <w:basedOn w:val="a"/>
    <w:next w:val="a"/>
    <w:link w:val="af4"/>
    <w:uiPriority w:val="99"/>
    <w:rsid w:val="00602E6F"/>
    <w:pPr>
      <w:jc w:val="right"/>
    </w:pPr>
  </w:style>
  <w:style w:type="paragraph" w:styleId="af5">
    <w:name w:val="Balloon Text"/>
    <w:basedOn w:val="a"/>
    <w:link w:val="af6"/>
    <w:uiPriority w:val="99"/>
    <w:semiHidden/>
    <w:unhideWhenUsed/>
    <w:rsid w:val="001559A2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1559A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A63FE2"/>
    <w:rPr>
      <w:kern w:val="2"/>
    </w:rPr>
  </w:style>
  <w:style w:type="table" w:customStyle="1" w:styleId="17">
    <w:name w:val="表格格線1"/>
    <w:basedOn w:val="a1"/>
    <w:next w:val="ae"/>
    <w:uiPriority w:val="59"/>
    <w:rsid w:val="00A1507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e"/>
    <w:uiPriority w:val="59"/>
    <w:rsid w:val="00FC11E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e"/>
    <w:uiPriority w:val="59"/>
    <w:rsid w:val="00FC11E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DD5D5E"/>
    <w:pPr>
      <w:spacing w:after="120"/>
    </w:pPr>
  </w:style>
  <w:style w:type="character" w:customStyle="1" w:styleId="af8">
    <w:name w:val="本文 字元"/>
    <w:link w:val="af7"/>
    <w:rsid w:val="00DD5D5E"/>
    <w:rPr>
      <w:kern w:val="2"/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3135BF"/>
    <w:pPr>
      <w:ind w:leftChars="200" w:left="480"/>
    </w:pPr>
  </w:style>
  <w:style w:type="character" w:customStyle="1" w:styleId="a7">
    <w:name w:val="註腳文字 字元"/>
    <w:basedOn w:val="a0"/>
    <w:link w:val="a6"/>
    <w:uiPriority w:val="99"/>
    <w:semiHidden/>
    <w:rsid w:val="00FE417F"/>
    <w:rPr>
      <w:kern w:val="2"/>
    </w:rPr>
  </w:style>
  <w:style w:type="table" w:customStyle="1" w:styleId="41">
    <w:name w:val="表格格線4"/>
    <w:basedOn w:val="a1"/>
    <w:next w:val="ae"/>
    <w:rsid w:val="00FE417F"/>
    <w:pPr>
      <w:widowControl w:val="0"/>
      <w:adjustRightInd w:val="0"/>
      <w:spacing w:line="360" w:lineRule="atLeast"/>
      <w:textAlignment w:val="center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字元 字元"/>
    <w:basedOn w:val="a"/>
    <w:semiHidden/>
    <w:rsid w:val="00FE417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c">
    <w:name w:val="Note Heading"/>
    <w:basedOn w:val="a"/>
    <w:next w:val="a"/>
    <w:link w:val="afd"/>
    <w:rsid w:val="00FE417F"/>
    <w:pPr>
      <w:jc w:val="center"/>
    </w:pPr>
    <w:rPr>
      <w:rFonts w:eastAsia="標楷體"/>
      <w:b/>
      <w:bCs/>
      <w:sz w:val="32"/>
      <w:szCs w:val="32"/>
    </w:rPr>
  </w:style>
  <w:style w:type="character" w:customStyle="1" w:styleId="afd">
    <w:name w:val="註釋標題 字元"/>
    <w:basedOn w:val="a0"/>
    <w:link w:val="afc"/>
    <w:rsid w:val="00FE417F"/>
    <w:rPr>
      <w:rFonts w:eastAsia="標楷體"/>
      <w:b/>
      <w:bCs/>
      <w:kern w:val="2"/>
      <w:sz w:val="32"/>
      <w:szCs w:val="32"/>
    </w:rPr>
  </w:style>
  <w:style w:type="paragraph" w:styleId="afe">
    <w:name w:val="Closing"/>
    <w:basedOn w:val="a"/>
    <w:link w:val="aff"/>
    <w:rsid w:val="00FE417F"/>
    <w:pPr>
      <w:ind w:leftChars="1800" w:left="100"/>
    </w:pPr>
    <w:rPr>
      <w:rFonts w:eastAsia="標楷體"/>
      <w:b/>
      <w:bCs/>
      <w:sz w:val="32"/>
      <w:szCs w:val="32"/>
    </w:rPr>
  </w:style>
  <w:style w:type="character" w:customStyle="1" w:styleId="aff">
    <w:name w:val="結語 字元"/>
    <w:basedOn w:val="a0"/>
    <w:link w:val="afe"/>
    <w:rsid w:val="00FE417F"/>
    <w:rPr>
      <w:rFonts w:eastAsia="標楷體"/>
      <w:b/>
      <w:bCs/>
      <w:kern w:val="2"/>
      <w:sz w:val="32"/>
      <w:szCs w:val="32"/>
    </w:rPr>
  </w:style>
  <w:style w:type="character" w:customStyle="1" w:styleId="ad">
    <w:name w:val="頁首 字元"/>
    <w:basedOn w:val="a0"/>
    <w:link w:val="ac"/>
    <w:uiPriority w:val="99"/>
    <w:rsid w:val="00FE417F"/>
    <w:rPr>
      <w:kern w:val="2"/>
    </w:rPr>
  </w:style>
  <w:style w:type="paragraph" w:customStyle="1" w:styleId="18">
    <w:name w:val="字元 字元1 字元 字元 字元 字元 字元 字元 字元 字元 字元 字元 字元 字元"/>
    <w:basedOn w:val="a"/>
    <w:rsid w:val="00FE417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5">
    <w:name w:val="表格格線5"/>
    <w:basedOn w:val="a1"/>
    <w:next w:val="ae"/>
    <w:uiPriority w:val="59"/>
    <w:rsid w:val="00FE4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e"/>
    <w:uiPriority w:val="59"/>
    <w:rsid w:val="00323BB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字元 字元1 字元 字元 字元 字元 字元 字元 字元 字元 字元 字元 字元 字元"/>
    <w:basedOn w:val="a"/>
    <w:rsid w:val="00F50F1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k1a">
    <w:name w:val="k1a"/>
    <w:basedOn w:val="a"/>
    <w:link w:val="k1a0"/>
    <w:rsid w:val="00395EF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pacing w:before="120" w:after="120" w:line="450" w:lineRule="exact"/>
      <w:ind w:left="284" w:hanging="284"/>
      <w:jc w:val="both"/>
      <w:textAlignment w:val="center"/>
    </w:pPr>
    <w:rPr>
      <w:rFonts w:eastAsia="標楷體"/>
      <w:kern w:val="0"/>
      <w:sz w:val="28"/>
      <w:szCs w:val="20"/>
    </w:rPr>
  </w:style>
  <w:style w:type="table" w:customStyle="1" w:styleId="6">
    <w:name w:val="表格格線6"/>
    <w:basedOn w:val="a1"/>
    <w:next w:val="ae"/>
    <w:rsid w:val="00395EFD"/>
    <w:pPr>
      <w:widowControl w:val="0"/>
      <w:adjustRightInd w:val="0"/>
      <w:spacing w:line="360" w:lineRule="atLeast"/>
      <w:textAlignment w:val="center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e"/>
    <w:uiPriority w:val="59"/>
    <w:rsid w:val="003F1CA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e"/>
    <w:uiPriority w:val="59"/>
    <w:rsid w:val="000B6A5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標題 3 字元"/>
    <w:basedOn w:val="a0"/>
    <w:link w:val="30"/>
    <w:uiPriority w:val="9"/>
    <w:semiHidden/>
    <w:rsid w:val="000B6A5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B6A54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120">
    <w:name w:val="表格格線12"/>
    <w:basedOn w:val="a1"/>
    <w:next w:val="ae"/>
    <w:rsid w:val="000B6A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字元 字元 字元"/>
    <w:basedOn w:val="a"/>
    <w:rsid w:val="00D22EF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4">
    <w:name w:val="字元 字元3 字元 字元 字元"/>
    <w:basedOn w:val="a"/>
    <w:rsid w:val="00D22EF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a">
    <w:name w:val="字元 字元 字元1 字元 字元 字元 字元 字元 字元 字元 字元"/>
    <w:basedOn w:val="a"/>
    <w:semiHidden/>
    <w:rsid w:val="00D22EF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b">
    <w:name w:val="字元 字元1"/>
    <w:basedOn w:val="a"/>
    <w:semiHidden/>
    <w:rsid w:val="00D22EF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1">
    <w:name w:val="字元 字元"/>
    <w:basedOn w:val="a"/>
    <w:rsid w:val="00D22E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4">
    <w:name w:val="字元 字元2"/>
    <w:basedOn w:val="a"/>
    <w:rsid w:val="00D22E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2">
    <w:name w:val="No Spacing"/>
    <w:uiPriority w:val="1"/>
    <w:qFormat/>
    <w:rsid w:val="00D22EF8"/>
    <w:pPr>
      <w:widowControl w:val="0"/>
    </w:pPr>
    <w:rPr>
      <w:kern w:val="2"/>
      <w:sz w:val="24"/>
      <w:szCs w:val="24"/>
    </w:rPr>
  </w:style>
  <w:style w:type="paragraph" w:styleId="aff3">
    <w:name w:val="Revision"/>
    <w:hidden/>
    <w:uiPriority w:val="99"/>
    <w:semiHidden/>
    <w:rsid w:val="00D22EF8"/>
    <w:rPr>
      <w:kern w:val="2"/>
      <w:sz w:val="24"/>
      <w:szCs w:val="24"/>
    </w:rPr>
  </w:style>
  <w:style w:type="table" w:customStyle="1" w:styleId="9">
    <w:name w:val="表格格線9"/>
    <w:basedOn w:val="a1"/>
    <w:next w:val="ae"/>
    <w:uiPriority w:val="59"/>
    <w:rsid w:val="009E0FC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f9"/>
    <w:link w:val="1c"/>
    <w:qFormat/>
    <w:rsid w:val="007F182C"/>
    <w:pPr>
      <w:numPr>
        <w:numId w:val="1"/>
      </w:numPr>
      <w:tabs>
        <w:tab w:val="left" w:pos="1276"/>
      </w:tabs>
      <w:autoSpaceDE w:val="0"/>
      <w:spacing w:before="120" w:line="520" w:lineRule="exact"/>
      <w:ind w:leftChars="0" w:left="0"/>
      <w:jc w:val="both"/>
    </w:pPr>
    <w:rPr>
      <w:rFonts w:eastAsia="標楷體"/>
      <w:b/>
      <w:sz w:val="32"/>
      <w:szCs w:val="32"/>
    </w:rPr>
  </w:style>
  <w:style w:type="paragraph" w:customStyle="1" w:styleId="2">
    <w:name w:val="標題2"/>
    <w:basedOn w:val="af9"/>
    <w:link w:val="25"/>
    <w:qFormat/>
    <w:rsid w:val="001B6FAA"/>
    <w:pPr>
      <w:numPr>
        <w:ilvl w:val="1"/>
        <w:numId w:val="3"/>
      </w:numPr>
      <w:autoSpaceDE w:val="0"/>
      <w:spacing w:before="120" w:line="520" w:lineRule="exact"/>
      <w:ind w:leftChars="0" w:left="0"/>
      <w:jc w:val="both"/>
    </w:pPr>
    <w:rPr>
      <w:rFonts w:eastAsia="標楷體"/>
      <w:b/>
      <w:sz w:val="36"/>
      <w:szCs w:val="36"/>
    </w:rPr>
  </w:style>
  <w:style w:type="character" w:customStyle="1" w:styleId="afa">
    <w:name w:val="清單段落 字元"/>
    <w:basedOn w:val="a0"/>
    <w:link w:val="af9"/>
    <w:uiPriority w:val="34"/>
    <w:rsid w:val="007F182C"/>
    <w:rPr>
      <w:kern w:val="2"/>
      <w:sz w:val="24"/>
      <w:szCs w:val="24"/>
    </w:rPr>
  </w:style>
  <w:style w:type="character" w:customStyle="1" w:styleId="1c">
    <w:name w:val="樣式1 字元"/>
    <w:basedOn w:val="afa"/>
    <w:link w:val="10"/>
    <w:rsid w:val="007F182C"/>
    <w:rPr>
      <w:rFonts w:eastAsia="標楷體"/>
      <w:b/>
      <w:kern w:val="2"/>
      <w:sz w:val="32"/>
      <w:szCs w:val="32"/>
    </w:rPr>
  </w:style>
  <w:style w:type="paragraph" w:customStyle="1" w:styleId="3">
    <w:name w:val="標題3"/>
    <w:basedOn w:val="2"/>
    <w:link w:val="35"/>
    <w:qFormat/>
    <w:rsid w:val="002A49BF"/>
    <w:pPr>
      <w:numPr>
        <w:ilvl w:val="2"/>
      </w:numPr>
      <w:tabs>
        <w:tab w:val="left" w:pos="1701"/>
      </w:tabs>
    </w:pPr>
    <w:rPr>
      <w:sz w:val="32"/>
      <w:szCs w:val="32"/>
    </w:rPr>
  </w:style>
  <w:style w:type="character" w:customStyle="1" w:styleId="25">
    <w:name w:val="標題2 字元"/>
    <w:basedOn w:val="afa"/>
    <w:link w:val="2"/>
    <w:rsid w:val="001B6FAA"/>
    <w:rPr>
      <w:rFonts w:eastAsia="標楷體"/>
      <w:b/>
      <w:kern w:val="2"/>
      <w:sz w:val="36"/>
      <w:szCs w:val="36"/>
    </w:rPr>
  </w:style>
  <w:style w:type="paragraph" w:customStyle="1" w:styleId="42">
    <w:name w:val="標題4"/>
    <w:basedOn w:val="3"/>
    <w:link w:val="43"/>
    <w:qFormat/>
    <w:rsid w:val="001F78C8"/>
    <w:pPr>
      <w:numPr>
        <w:ilvl w:val="0"/>
        <w:numId w:val="0"/>
      </w:numPr>
    </w:pPr>
  </w:style>
  <w:style w:type="character" w:customStyle="1" w:styleId="35">
    <w:name w:val="標題3 字元"/>
    <w:basedOn w:val="1c"/>
    <w:link w:val="3"/>
    <w:rsid w:val="002A49BF"/>
    <w:rPr>
      <w:rFonts w:eastAsia="標楷體"/>
      <w:b/>
      <w:kern w:val="2"/>
      <w:sz w:val="32"/>
      <w:szCs w:val="32"/>
    </w:rPr>
  </w:style>
  <w:style w:type="paragraph" w:customStyle="1" w:styleId="1">
    <w:name w:val="標題1"/>
    <w:basedOn w:val="10"/>
    <w:link w:val="1d"/>
    <w:qFormat/>
    <w:rsid w:val="001B6FAA"/>
    <w:pPr>
      <w:numPr>
        <w:numId w:val="2"/>
      </w:numPr>
      <w:tabs>
        <w:tab w:val="clear" w:pos="1276"/>
      </w:tabs>
    </w:pPr>
    <w:rPr>
      <w:b w:val="0"/>
      <w:sz w:val="40"/>
      <w:szCs w:val="40"/>
    </w:rPr>
  </w:style>
  <w:style w:type="character" w:customStyle="1" w:styleId="43">
    <w:name w:val="標題4 字元"/>
    <w:basedOn w:val="a0"/>
    <w:link w:val="42"/>
    <w:rsid w:val="001F78C8"/>
    <w:rPr>
      <w:rFonts w:eastAsia="標楷體"/>
      <w:b/>
      <w:kern w:val="2"/>
      <w:sz w:val="32"/>
      <w:szCs w:val="32"/>
    </w:rPr>
  </w:style>
  <w:style w:type="character" w:customStyle="1" w:styleId="1d">
    <w:name w:val="標題1 字元"/>
    <w:basedOn w:val="1c"/>
    <w:link w:val="1"/>
    <w:rsid w:val="001B6FAA"/>
    <w:rPr>
      <w:rFonts w:eastAsia="標楷體"/>
      <w:b w:val="0"/>
      <w:kern w:val="2"/>
      <w:sz w:val="40"/>
      <w:szCs w:val="40"/>
    </w:rPr>
  </w:style>
  <w:style w:type="paragraph" w:customStyle="1" w:styleId="1e">
    <w:name w:val="專題樣式1"/>
    <w:basedOn w:val="af9"/>
    <w:link w:val="1f"/>
    <w:qFormat/>
    <w:rsid w:val="001A0556"/>
    <w:pPr>
      <w:tabs>
        <w:tab w:val="left" w:pos="709"/>
      </w:tabs>
      <w:spacing w:beforeLines="100" w:before="240" w:line="500" w:lineRule="exact"/>
      <w:ind w:leftChars="0" w:left="0"/>
    </w:pPr>
    <w:rPr>
      <w:rFonts w:ascii="標楷體" w:eastAsia="標楷體" w:hAnsi="標楷體" w:cstheme="minorBidi"/>
      <w:b/>
      <w:sz w:val="32"/>
      <w:szCs w:val="32"/>
    </w:rPr>
  </w:style>
  <w:style w:type="character" w:customStyle="1" w:styleId="1f">
    <w:name w:val="專題樣式1 字元"/>
    <w:basedOn w:val="afa"/>
    <w:link w:val="1e"/>
    <w:rsid w:val="001A0556"/>
    <w:rPr>
      <w:rFonts w:ascii="標楷體" w:eastAsia="標楷體" w:hAnsi="標楷體" w:cstheme="minorBidi"/>
      <w:b/>
      <w:kern w:val="2"/>
      <w:sz w:val="32"/>
      <w:szCs w:val="32"/>
    </w:rPr>
  </w:style>
  <w:style w:type="paragraph" w:styleId="1f0">
    <w:name w:val="toc 1"/>
    <w:basedOn w:val="a"/>
    <w:next w:val="a"/>
    <w:autoRedefine/>
    <w:uiPriority w:val="39"/>
    <w:unhideWhenUsed/>
    <w:qFormat/>
    <w:rsid w:val="003C11D5"/>
    <w:pPr>
      <w:widowControl/>
      <w:tabs>
        <w:tab w:val="right" w:leader="dot" w:pos="8296"/>
      </w:tabs>
      <w:snapToGrid w:val="0"/>
      <w:spacing w:beforeLines="50" w:before="180" w:line="480" w:lineRule="exact"/>
    </w:pPr>
    <w:rPr>
      <w:rFonts w:ascii="微軟正黑體" w:eastAsia="微軟正黑體" w:hAnsi="微軟正黑體" w:cstheme="minorBidi"/>
      <w:b/>
      <w:noProof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qFormat/>
    <w:rsid w:val="00430C5A"/>
    <w:pPr>
      <w:widowControl/>
      <w:snapToGrid w:val="0"/>
      <w:spacing w:after="180" w:line="276" w:lineRule="auto"/>
      <w:ind w:leftChars="101" w:left="283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f4">
    <w:name w:val="TOC Heading"/>
    <w:basedOn w:val="11"/>
    <w:next w:val="a"/>
    <w:uiPriority w:val="39"/>
    <w:semiHidden/>
    <w:unhideWhenUsed/>
    <w:qFormat/>
    <w:rsid w:val="00430C5A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f1">
    <w:name w:val="字元 字元1 字元 字元 字元 字元 字元 字元 字元 字元 字元 字元 字元 字元"/>
    <w:basedOn w:val="a"/>
    <w:rsid w:val="00F801F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numbering" w:customStyle="1" w:styleId="1f2">
    <w:name w:val="無清單1"/>
    <w:next w:val="a2"/>
    <w:uiPriority w:val="99"/>
    <w:semiHidden/>
    <w:unhideWhenUsed/>
    <w:rsid w:val="00DC506C"/>
  </w:style>
  <w:style w:type="table" w:customStyle="1" w:styleId="100">
    <w:name w:val="表格格線10"/>
    <w:basedOn w:val="a1"/>
    <w:next w:val="ae"/>
    <w:uiPriority w:val="59"/>
    <w:rsid w:val="00DC506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日期 字元"/>
    <w:basedOn w:val="a0"/>
    <w:link w:val="af3"/>
    <w:uiPriority w:val="99"/>
    <w:rsid w:val="00DC506C"/>
    <w:rPr>
      <w:kern w:val="2"/>
      <w:sz w:val="24"/>
      <w:szCs w:val="24"/>
    </w:rPr>
  </w:style>
  <w:style w:type="numbering" w:customStyle="1" w:styleId="27">
    <w:name w:val="無清單2"/>
    <w:next w:val="a2"/>
    <w:uiPriority w:val="99"/>
    <w:semiHidden/>
    <w:unhideWhenUsed/>
    <w:rsid w:val="001F22C0"/>
  </w:style>
  <w:style w:type="table" w:customStyle="1" w:styleId="130">
    <w:name w:val="表格格線13"/>
    <w:basedOn w:val="a1"/>
    <w:next w:val="ae"/>
    <w:rsid w:val="001F22C0"/>
    <w:pPr>
      <w:widowControl w:val="0"/>
      <w:spacing w:line="240" w:lineRule="exact"/>
    </w:pPr>
    <w:rPr>
      <w:rFonts w:eastAsia="微軟正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e"/>
    <w:uiPriority w:val="59"/>
    <w:rsid w:val="001F22C0"/>
    <w:pPr>
      <w:spacing w:line="240" w:lineRule="exact"/>
    </w:pPr>
    <w:rPr>
      <w:rFonts w:ascii="Calibri" w:eastAsia="微軟正黑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1"/>
    <w:next w:val="ae"/>
    <w:uiPriority w:val="59"/>
    <w:rsid w:val="001F22C0"/>
    <w:pPr>
      <w:spacing w:line="240" w:lineRule="exact"/>
    </w:pPr>
    <w:rPr>
      <w:rFonts w:ascii="Calibri" w:eastAsia="微軟正黑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e"/>
    <w:uiPriority w:val="59"/>
    <w:rsid w:val="001F22C0"/>
    <w:pPr>
      <w:spacing w:line="240" w:lineRule="exact"/>
    </w:pPr>
    <w:rPr>
      <w:rFonts w:ascii="Calibri" w:eastAsia="微軟正黑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字元 字元5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table" w:customStyle="1" w:styleId="51">
    <w:name w:val="表格格線5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字元 字元1 字元 字元 字元 字元 字元 字元 字元 字元 字元 字元 字元 字元2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table" w:customStyle="1" w:styleId="71">
    <w:name w:val="表格格線7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1"/>
    <w:next w:val="ae"/>
    <w:rsid w:val="001F22C0"/>
    <w:pPr>
      <w:widowControl w:val="0"/>
      <w:spacing w:line="240" w:lineRule="exact"/>
    </w:pPr>
    <w:rPr>
      <w:rFonts w:eastAsia="微軟正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字元 字元 字元2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20">
    <w:name w:val="字元 字元3 字元 字元 字元2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22">
    <w:name w:val="字元 字元 字元1 字元 字元 字元 字元 字元 字元 字元 字元2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paragraph" w:customStyle="1" w:styleId="123">
    <w:name w:val="字元 字元12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paragraph" w:customStyle="1" w:styleId="44">
    <w:name w:val="字元 字元4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paragraph" w:customStyle="1" w:styleId="220">
    <w:name w:val="字元 字元22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table" w:customStyle="1" w:styleId="91">
    <w:name w:val="表格格線9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字元 字元1 字元 字元 字元 字元 字元 字元 字元 字元 字元 字元 字元 字元1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numbering" w:customStyle="1" w:styleId="113">
    <w:name w:val="無清單11"/>
    <w:next w:val="a2"/>
    <w:uiPriority w:val="99"/>
    <w:semiHidden/>
    <w:unhideWhenUsed/>
    <w:rsid w:val="001F22C0"/>
  </w:style>
  <w:style w:type="table" w:customStyle="1" w:styleId="101">
    <w:name w:val="表格格線10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0"/>
    <w:link w:val="11"/>
    <w:rsid w:val="001F22C0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1F22C0"/>
    <w:rPr>
      <w:rFonts w:ascii="Arial" w:hAnsi="Arial"/>
      <w:b/>
      <w:bCs/>
      <w:kern w:val="2"/>
      <w:sz w:val="48"/>
      <w:szCs w:val="48"/>
    </w:rPr>
  </w:style>
  <w:style w:type="paragraph" w:customStyle="1" w:styleId="1f3">
    <w:name w:val="字元 字元 字元1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z-0">
    <w:name w:val="z-表單的頂端 字元"/>
    <w:basedOn w:val="a0"/>
    <w:link w:val="z-"/>
    <w:rsid w:val="001F22C0"/>
    <w:rPr>
      <w:rFonts w:ascii="Arial" w:hAnsi="Arial" w:cs="新細明體"/>
      <w:vanish/>
      <w:sz w:val="16"/>
      <w:szCs w:val="16"/>
      <w:lang w:bidi="hi-IN"/>
    </w:rPr>
  </w:style>
  <w:style w:type="character" w:customStyle="1" w:styleId="z-2">
    <w:name w:val="z-表單的底部 字元"/>
    <w:basedOn w:val="a0"/>
    <w:link w:val="z-1"/>
    <w:rsid w:val="001F22C0"/>
    <w:rPr>
      <w:rFonts w:ascii="Arial" w:hAnsi="Arial" w:cs="新細明體"/>
      <w:vanish/>
      <w:sz w:val="16"/>
      <w:szCs w:val="16"/>
      <w:lang w:bidi="hi-IN"/>
    </w:rPr>
  </w:style>
  <w:style w:type="paragraph" w:customStyle="1" w:styleId="311">
    <w:name w:val="字元 字元3 字元 字元 字元1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14">
    <w:name w:val="字元 字元 字元1 字元 字元 字元 字元 字元 字元 字元 字元1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character" w:customStyle="1" w:styleId="af0">
    <w:name w:val="本文縮排 字元"/>
    <w:basedOn w:val="a0"/>
    <w:link w:val="af"/>
    <w:rsid w:val="001F22C0"/>
    <w:rPr>
      <w:kern w:val="2"/>
      <w:sz w:val="24"/>
      <w:szCs w:val="24"/>
    </w:rPr>
  </w:style>
  <w:style w:type="character" w:customStyle="1" w:styleId="HTML0">
    <w:name w:val="HTML 預設格式 字元"/>
    <w:basedOn w:val="a0"/>
    <w:link w:val="HTML"/>
    <w:rsid w:val="001F22C0"/>
    <w:rPr>
      <w:rFonts w:ascii="細明體" w:eastAsia="細明體" w:hAnsi="細明體" w:cs="細明體"/>
      <w:color w:val="000000"/>
      <w:sz w:val="24"/>
      <w:szCs w:val="24"/>
      <w:lang w:bidi="hi-IN"/>
    </w:rPr>
  </w:style>
  <w:style w:type="paragraph" w:customStyle="1" w:styleId="115">
    <w:name w:val="字元 字元11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paragraph" w:customStyle="1" w:styleId="36">
    <w:name w:val="字元 字元3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paragraph" w:customStyle="1" w:styleId="212">
    <w:name w:val="字元 字元21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numbering" w:customStyle="1" w:styleId="213">
    <w:name w:val="無清單21"/>
    <w:next w:val="a2"/>
    <w:uiPriority w:val="99"/>
    <w:semiHidden/>
    <w:unhideWhenUsed/>
    <w:rsid w:val="001F22C0"/>
  </w:style>
  <w:style w:type="table" w:customStyle="1" w:styleId="131">
    <w:name w:val="表格格線131"/>
    <w:basedOn w:val="a1"/>
    <w:next w:val="ae"/>
    <w:rsid w:val="001F2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next w:val="ae"/>
    <w:uiPriority w:val="59"/>
    <w:rsid w:val="001F22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1"/>
    <w:next w:val="ae"/>
    <w:uiPriority w:val="59"/>
    <w:rsid w:val="001F22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1"/>
    <w:next w:val="ae"/>
    <w:uiPriority w:val="59"/>
    <w:rsid w:val="001F22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next w:val="ae"/>
    <w:rsid w:val="001F2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uiPriority w:val="99"/>
    <w:semiHidden/>
    <w:unhideWhenUsed/>
    <w:rsid w:val="001F22C0"/>
  </w:style>
  <w:style w:type="table" w:customStyle="1" w:styleId="1011">
    <w:name w:val="表格格線10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0"/>
    <w:uiPriority w:val="99"/>
    <w:semiHidden/>
    <w:unhideWhenUsed/>
    <w:rsid w:val="005334B6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5334B6"/>
  </w:style>
  <w:style w:type="character" w:customStyle="1" w:styleId="aff7">
    <w:name w:val="註解文字 字元"/>
    <w:basedOn w:val="a0"/>
    <w:link w:val="aff6"/>
    <w:uiPriority w:val="99"/>
    <w:semiHidden/>
    <w:rsid w:val="005334B6"/>
    <w:rPr>
      <w:kern w:val="2"/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334B6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5334B6"/>
    <w:rPr>
      <w:b/>
      <w:bCs/>
      <w:kern w:val="2"/>
      <w:sz w:val="24"/>
      <w:szCs w:val="24"/>
    </w:rPr>
  </w:style>
  <w:style w:type="table" w:customStyle="1" w:styleId="151">
    <w:name w:val="表格格線151"/>
    <w:basedOn w:val="a1"/>
    <w:next w:val="ae"/>
    <w:uiPriority w:val="59"/>
    <w:rsid w:val="003B719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981221"/>
    <w:pPr>
      <w:snapToGrid w:val="0"/>
    </w:pPr>
  </w:style>
  <w:style w:type="character" w:customStyle="1" w:styleId="affb">
    <w:name w:val="章節附註文字 字元"/>
    <w:basedOn w:val="a0"/>
    <w:link w:val="affa"/>
    <w:uiPriority w:val="99"/>
    <w:semiHidden/>
    <w:rsid w:val="00981221"/>
    <w:rPr>
      <w:kern w:val="2"/>
      <w:sz w:val="24"/>
      <w:szCs w:val="24"/>
    </w:rPr>
  </w:style>
  <w:style w:type="character" w:styleId="affc">
    <w:name w:val="endnote reference"/>
    <w:basedOn w:val="a0"/>
    <w:uiPriority w:val="99"/>
    <w:semiHidden/>
    <w:unhideWhenUsed/>
    <w:rsid w:val="00981221"/>
    <w:rPr>
      <w:vertAlign w:val="superscript"/>
    </w:rPr>
  </w:style>
  <w:style w:type="table" w:customStyle="1" w:styleId="1311">
    <w:name w:val="表格格線1311"/>
    <w:basedOn w:val="a1"/>
    <w:next w:val="ae"/>
    <w:rsid w:val="00AE41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next w:val="ae"/>
    <w:uiPriority w:val="59"/>
    <w:rsid w:val="00C4181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next w:val="ae"/>
    <w:uiPriority w:val="59"/>
    <w:rsid w:val="00D745B1"/>
    <w:rPr>
      <w:kern w:val="2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1a0">
    <w:name w:val="k1a 字元"/>
    <w:basedOn w:val="a0"/>
    <w:link w:val="k1a"/>
    <w:rsid w:val="00D745B1"/>
    <w:rPr>
      <w:rFonts w:eastAsia="標楷體"/>
      <w:sz w:val="28"/>
    </w:rPr>
  </w:style>
  <w:style w:type="paragraph" w:customStyle="1" w:styleId="k00t18">
    <w:name w:val="k00t18"/>
    <w:basedOn w:val="a"/>
    <w:rsid w:val="00D745B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240" w:line="460" w:lineRule="exact"/>
      <w:jc w:val="center"/>
      <w:textAlignment w:val="baseline"/>
    </w:pPr>
    <w:rPr>
      <w:rFonts w:eastAsia="文鼎中楷" w:hAnsi="Clarendon Condensed"/>
      <w:kern w:val="0"/>
      <w:sz w:val="36"/>
      <w:szCs w:val="20"/>
    </w:rPr>
  </w:style>
  <w:style w:type="table" w:styleId="-1">
    <w:name w:val="Light Shading Accent 1"/>
    <w:basedOn w:val="a1"/>
    <w:uiPriority w:val="60"/>
    <w:rsid w:val="00D745B1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7">
    <w:name w:val="toc 3"/>
    <w:basedOn w:val="a"/>
    <w:next w:val="a"/>
    <w:autoRedefine/>
    <w:uiPriority w:val="39"/>
    <w:semiHidden/>
    <w:unhideWhenUsed/>
    <w:qFormat/>
    <w:rsid w:val="006F111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70">
    <w:name w:val="字元 字元7"/>
    <w:basedOn w:val="a"/>
    <w:semiHidden/>
    <w:rsid w:val="006D728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42">
    <w:name w:val="字元 字元1 字元 字元 字元 字元 字元 字元 字元 字元 字元 字元 字元 字元4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8">
    <w:name w:val="字元 字元 字元3"/>
    <w:basedOn w:val="a"/>
    <w:rsid w:val="006D728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30">
    <w:name w:val="字元 字元3 字元 字元 字元3"/>
    <w:basedOn w:val="a"/>
    <w:rsid w:val="006D728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32">
    <w:name w:val="字元 字元 字元1 字元 字元 字元 字元 字元 字元 字元 字元3"/>
    <w:basedOn w:val="a"/>
    <w:semiHidden/>
    <w:rsid w:val="006D728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33">
    <w:name w:val="字元 字元13"/>
    <w:basedOn w:val="a"/>
    <w:semiHidden/>
    <w:rsid w:val="006D728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60">
    <w:name w:val="字元 字元6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30">
    <w:name w:val="字元 字元23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4">
    <w:name w:val="字元 字元1 字元 字元 字元 字元 字元 字元 字元 字元 字元 字元 字元 字元3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10-con1">
    <w:name w:val="f10-con1"/>
    <w:basedOn w:val="a0"/>
    <w:rsid w:val="006D7283"/>
    <w:rPr>
      <w:rFonts w:ascii="Verdana" w:hAnsi="Verdana" w:hint="default"/>
      <w:color w:val="666666"/>
      <w:sz w:val="20"/>
      <w:szCs w:val="20"/>
    </w:rPr>
  </w:style>
  <w:style w:type="paragraph" w:customStyle="1" w:styleId="90">
    <w:name w:val="字元 字元9"/>
    <w:basedOn w:val="a"/>
    <w:semiHidden/>
    <w:rsid w:val="001F4DA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61">
    <w:name w:val="字元 字元1 字元 字元 字元 字元 字元 字元 字元 字元 字元 字元 字元 字元6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45">
    <w:name w:val="字元 字元 字元4"/>
    <w:basedOn w:val="a"/>
    <w:rsid w:val="001F4DA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40">
    <w:name w:val="字元 字元3 字元 字元 字元4"/>
    <w:basedOn w:val="a"/>
    <w:rsid w:val="001F4DA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43">
    <w:name w:val="字元 字元 字元1 字元 字元 字元 字元 字元 字元 字元 字元4"/>
    <w:basedOn w:val="a"/>
    <w:semiHidden/>
    <w:rsid w:val="001F4DA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44">
    <w:name w:val="字元 字元14"/>
    <w:basedOn w:val="a"/>
    <w:semiHidden/>
    <w:rsid w:val="001F4DA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80">
    <w:name w:val="字元 字元8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40">
    <w:name w:val="字元 字元24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3">
    <w:name w:val="字元 字元1 字元 字元 字元 字元 字元 字元 字元 字元 字元 字元 字元 字元5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70">
    <w:name w:val="表格格線17"/>
    <w:basedOn w:val="a1"/>
    <w:next w:val="ae"/>
    <w:uiPriority w:val="59"/>
    <w:rsid w:val="00CD59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next w:val="ae"/>
    <w:uiPriority w:val="59"/>
    <w:rsid w:val="00CD59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next w:val="ae"/>
    <w:uiPriority w:val="59"/>
    <w:rsid w:val="00CD59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31"/>
    <w:pPr>
      <w:widowControl w:val="0"/>
    </w:pPr>
    <w:rPr>
      <w:kern w:val="2"/>
      <w:sz w:val="24"/>
      <w:szCs w:val="24"/>
    </w:rPr>
  </w:style>
  <w:style w:type="paragraph" w:styleId="11">
    <w:name w:val="heading 1"/>
    <w:basedOn w:val="a"/>
    <w:next w:val="a"/>
    <w:link w:val="12"/>
    <w:qFormat/>
    <w:rsid w:val="00AF4ECB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AF4EC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B6A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5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AF4EC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4">
    <w:name w:val="Hyperlink"/>
    <w:uiPriority w:val="99"/>
    <w:rsid w:val="00AF4ECB"/>
    <w:rPr>
      <w:color w:val="0253B7"/>
      <w:u w:val="single"/>
    </w:rPr>
  </w:style>
  <w:style w:type="character" w:customStyle="1" w:styleId="atime1">
    <w:name w:val="atime1"/>
    <w:rsid w:val="00AF4ECB"/>
    <w:rPr>
      <w:rFonts w:ascii="Times New Roman" w:hAnsi="Times New Roman" w:hint="default"/>
      <w:i/>
      <w:iCs/>
    </w:rPr>
  </w:style>
  <w:style w:type="paragraph" w:customStyle="1" w:styleId="story">
    <w:name w:val="story"/>
    <w:basedOn w:val="a"/>
    <w:rsid w:val="00AF4ECB"/>
    <w:pPr>
      <w:widowControl/>
      <w:spacing w:before="100" w:beforeAutospacing="1" w:after="100" w:afterAutospacing="1" w:line="360" w:lineRule="atLeast"/>
    </w:pPr>
    <w:rPr>
      <w:rFonts w:ascii="Verdana" w:hAnsi="Verdana" w:cs="新細明體"/>
      <w:color w:val="414141"/>
      <w:kern w:val="0"/>
      <w:sz w:val="22"/>
      <w:szCs w:val="22"/>
      <w:lang w:bidi="hi-IN"/>
    </w:rPr>
  </w:style>
  <w:style w:type="paragraph" w:styleId="Web">
    <w:name w:val="Normal (Web)"/>
    <w:basedOn w:val="a"/>
    <w:uiPriority w:val="99"/>
    <w:rsid w:val="00AF4EC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customStyle="1" w:styleId="story1">
    <w:name w:val="story1"/>
    <w:rsid w:val="00AF4ECB"/>
    <w:rPr>
      <w:rFonts w:ascii="Verdana" w:hAnsi="Verdana" w:hint="default"/>
      <w:color w:val="414141"/>
      <w:sz w:val="22"/>
      <w:szCs w:val="22"/>
      <w:bdr w:val="single" w:sz="6" w:space="0" w:color="CBCBCB" w:frame="1"/>
      <w:shd w:val="clear" w:color="auto" w:fill="FDFCE3"/>
    </w:rPr>
  </w:style>
  <w:style w:type="character" w:customStyle="1" w:styleId="author1">
    <w:name w:val="author1"/>
    <w:rsid w:val="00AF4ECB"/>
    <w:rPr>
      <w:rFonts w:ascii="Verdana" w:hAnsi="Verdana" w:hint="default"/>
      <w:color w:val="696969"/>
      <w:sz w:val="17"/>
      <w:szCs w:val="17"/>
      <w:bdr w:val="single" w:sz="6" w:space="0" w:color="CBCBCB" w:frame="1"/>
      <w:shd w:val="clear" w:color="auto" w:fill="FDFCE3"/>
    </w:rPr>
  </w:style>
  <w:style w:type="character" w:customStyle="1" w:styleId="text11">
    <w:name w:val="text11"/>
    <w:rsid w:val="00AF4ECB"/>
    <w:rPr>
      <w:color w:val="000000"/>
      <w:sz w:val="22"/>
      <w:szCs w:val="22"/>
    </w:rPr>
  </w:style>
  <w:style w:type="character" w:styleId="a5">
    <w:name w:val="Strong"/>
    <w:qFormat/>
    <w:rsid w:val="00AF4ECB"/>
    <w:rPr>
      <w:b/>
      <w:bCs/>
    </w:rPr>
  </w:style>
  <w:style w:type="paragraph" w:styleId="a6">
    <w:name w:val="footnote text"/>
    <w:basedOn w:val="a"/>
    <w:link w:val="a7"/>
    <w:uiPriority w:val="99"/>
    <w:semiHidden/>
    <w:rsid w:val="00AF4ECB"/>
    <w:pPr>
      <w:snapToGrid w:val="0"/>
    </w:pPr>
    <w:rPr>
      <w:sz w:val="20"/>
      <w:szCs w:val="20"/>
    </w:rPr>
  </w:style>
  <w:style w:type="character" w:styleId="a8">
    <w:name w:val="footnote reference"/>
    <w:uiPriority w:val="99"/>
    <w:semiHidden/>
    <w:rsid w:val="00AF4ECB"/>
    <w:rPr>
      <w:vertAlign w:val="superscript"/>
    </w:rPr>
  </w:style>
  <w:style w:type="character" w:customStyle="1" w:styleId="yqlink">
    <w:name w:val="yqlink"/>
    <w:basedOn w:val="a0"/>
    <w:rsid w:val="00AF4ECB"/>
  </w:style>
  <w:style w:type="paragraph" w:styleId="z-">
    <w:name w:val="HTML Top of Form"/>
    <w:basedOn w:val="a"/>
    <w:next w:val="a"/>
    <w:link w:val="z-0"/>
    <w:hidden/>
    <w:rsid w:val="00AF4ECB"/>
    <w:pPr>
      <w:widowControl/>
      <w:pBdr>
        <w:bottom w:val="single" w:sz="6" w:space="1" w:color="auto"/>
      </w:pBdr>
      <w:jc w:val="center"/>
    </w:pPr>
    <w:rPr>
      <w:rFonts w:ascii="Arial" w:hAnsi="Arial" w:cs="新細明體"/>
      <w:vanish/>
      <w:kern w:val="0"/>
      <w:sz w:val="16"/>
      <w:szCs w:val="16"/>
      <w:lang w:bidi="hi-IN"/>
    </w:rPr>
  </w:style>
  <w:style w:type="paragraph" w:styleId="z-1">
    <w:name w:val="HTML Bottom of Form"/>
    <w:basedOn w:val="a"/>
    <w:next w:val="a"/>
    <w:link w:val="z-2"/>
    <w:hidden/>
    <w:rsid w:val="00AF4ECB"/>
    <w:pPr>
      <w:widowControl/>
      <w:pBdr>
        <w:top w:val="single" w:sz="6" w:space="1" w:color="auto"/>
      </w:pBdr>
      <w:jc w:val="center"/>
    </w:pPr>
    <w:rPr>
      <w:rFonts w:ascii="Arial" w:hAnsi="Arial" w:cs="新細明體"/>
      <w:vanish/>
      <w:kern w:val="0"/>
      <w:sz w:val="16"/>
      <w:szCs w:val="16"/>
      <w:lang w:bidi="hi-IN"/>
    </w:rPr>
  </w:style>
  <w:style w:type="paragraph" w:styleId="a9">
    <w:name w:val="footer"/>
    <w:basedOn w:val="a"/>
    <w:link w:val="aa"/>
    <w:uiPriority w:val="99"/>
    <w:rsid w:val="00AF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F4ECB"/>
  </w:style>
  <w:style w:type="paragraph" w:styleId="ac">
    <w:name w:val="header"/>
    <w:basedOn w:val="a"/>
    <w:link w:val="ad"/>
    <w:uiPriority w:val="99"/>
    <w:rsid w:val="00AF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2">
    <w:name w:val="sty2"/>
    <w:basedOn w:val="a0"/>
    <w:rsid w:val="00AF4ECB"/>
  </w:style>
  <w:style w:type="character" w:customStyle="1" w:styleId="ttag">
    <w:name w:val="t_tag"/>
    <w:basedOn w:val="a0"/>
    <w:rsid w:val="00AF4ECB"/>
  </w:style>
  <w:style w:type="paragraph" w:customStyle="1" w:styleId="Web45">
    <w:name w:val="內文 (Web)45"/>
    <w:basedOn w:val="a"/>
    <w:rsid w:val="00AF4ECB"/>
    <w:pPr>
      <w:widowControl/>
      <w:spacing w:before="240" w:after="360"/>
    </w:pPr>
    <w:rPr>
      <w:rFonts w:ascii="新細明體" w:hAnsi="新細明體" w:cs="新細明體"/>
      <w:kern w:val="0"/>
      <w:sz w:val="23"/>
      <w:szCs w:val="23"/>
    </w:rPr>
  </w:style>
  <w:style w:type="paragraph" w:customStyle="1" w:styleId="210">
    <w:name w:val="標題 21"/>
    <w:basedOn w:val="a"/>
    <w:rsid w:val="00AF4EC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36"/>
      <w:szCs w:val="36"/>
    </w:rPr>
  </w:style>
  <w:style w:type="paragraph" w:customStyle="1" w:styleId="Web7">
    <w:name w:val="內文 (Web)7"/>
    <w:basedOn w:val="a"/>
    <w:rsid w:val="00AF4ECB"/>
    <w:pPr>
      <w:widowControl/>
      <w:spacing w:line="330" w:lineRule="atLeast"/>
      <w:ind w:left="150" w:right="150"/>
    </w:pPr>
    <w:rPr>
      <w:rFonts w:ascii="新細明體" w:hAnsi="新細明體" w:cs="新細明體"/>
      <w:kern w:val="0"/>
    </w:rPr>
  </w:style>
  <w:style w:type="paragraph" w:customStyle="1" w:styleId="32">
    <w:name w:val="字元 字元3 字元 字元 字元"/>
    <w:basedOn w:val="a"/>
    <w:rsid w:val="00AF4EC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table" w:styleId="ae">
    <w:name w:val="Table Grid"/>
    <w:basedOn w:val="a1"/>
    <w:uiPriority w:val="59"/>
    <w:rsid w:val="004171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字元 字元 字元1 字元 字元 字元 字元 字元 字元 字元 字元"/>
    <w:basedOn w:val="a"/>
    <w:semiHidden/>
    <w:rsid w:val="008F7EE6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">
    <w:name w:val="Body Text Indent"/>
    <w:basedOn w:val="a"/>
    <w:link w:val="af0"/>
    <w:rsid w:val="00C20538"/>
    <w:pPr>
      <w:spacing w:after="120"/>
      <w:ind w:leftChars="200" w:left="480"/>
    </w:pPr>
  </w:style>
  <w:style w:type="paragraph" w:styleId="HTML">
    <w:name w:val="HTML Preformatted"/>
    <w:basedOn w:val="a"/>
    <w:link w:val="HTML0"/>
    <w:rsid w:val="00C205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lang w:bidi="hi-IN"/>
    </w:rPr>
  </w:style>
  <w:style w:type="paragraph" w:customStyle="1" w:styleId="xl30">
    <w:name w:val="xl30"/>
    <w:basedOn w:val="a"/>
    <w:rsid w:val="00651C15"/>
    <w:pPr>
      <w:widowControl/>
      <w:spacing w:before="100" w:beforeAutospacing="1" w:after="100" w:afterAutospacing="1"/>
      <w:jc w:val="center"/>
      <w:textAlignment w:val="center"/>
    </w:pPr>
    <w:rPr>
      <w:rFonts w:ascii="全真楷書" w:eastAsia="全真楷書" w:hAnsi="Arial Unicode MS" w:cs="Arial Unicode MS" w:hint="eastAsia"/>
      <w:kern w:val="0"/>
    </w:rPr>
  </w:style>
  <w:style w:type="character" w:styleId="af1">
    <w:name w:val="FollowedHyperlink"/>
    <w:rsid w:val="00FC1D12"/>
    <w:rPr>
      <w:color w:val="800080"/>
      <w:u w:val="single"/>
    </w:rPr>
  </w:style>
  <w:style w:type="paragraph" w:customStyle="1" w:styleId="14">
    <w:name w:val="字元 字元1"/>
    <w:basedOn w:val="a"/>
    <w:semiHidden/>
    <w:rsid w:val="009134D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rsid w:val="00915C6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2">
    <w:name w:val="字元 字元2"/>
    <w:basedOn w:val="a"/>
    <w:rsid w:val="00DA08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orytitle1">
    <w:name w:val="story_title1"/>
    <w:rsid w:val="00B25309"/>
    <w:rPr>
      <w:rFonts w:ascii="Verdana" w:hAnsi="Verdana" w:hint="default"/>
      <w:b/>
      <w:bCs/>
      <w:color w:val="FF8000"/>
      <w:sz w:val="19"/>
      <w:szCs w:val="19"/>
    </w:rPr>
  </w:style>
  <w:style w:type="character" w:customStyle="1" w:styleId="storysubtitle1">
    <w:name w:val="story_sub_title1"/>
    <w:rsid w:val="00B25309"/>
    <w:rPr>
      <w:rFonts w:ascii="Verdana" w:hAnsi="Verdana" w:hint="default"/>
      <w:color w:val="FF8000"/>
      <w:sz w:val="19"/>
      <w:szCs w:val="19"/>
    </w:rPr>
  </w:style>
  <w:style w:type="character" w:customStyle="1" w:styleId="15">
    <w:name w:val="超連結1"/>
    <w:rsid w:val="0021664B"/>
    <w:rPr>
      <w:i w:val="0"/>
      <w:iCs w:val="0"/>
      <w:strike w:val="0"/>
      <w:dstrike w:val="0"/>
      <w:color w:val="ED145B"/>
      <w:u w:val="none"/>
      <w:effect w:val="none"/>
    </w:rPr>
  </w:style>
  <w:style w:type="paragraph" w:customStyle="1" w:styleId="t1">
    <w:name w:val="t1"/>
    <w:basedOn w:val="a"/>
    <w:rsid w:val="006228FF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271D0"/>
      <w:kern w:val="0"/>
      <w:sz w:val="18"/>
      <w:szCs w:val="18"/>
    </w:rPr>
  </w:style>
  <w:style w:type="paragraph" w:customStyle="1" w:styleId="16">
    <w:name w:val="內文1"/>
    <w:basedOn w:val="a"/>
    <w:rsid w:val="008E7342"/>
    <w:pPr>
      <w:widowControl/>
      <w:spacing w:line="330" w:lineRule="atLeast"/>
      <w:ind w:left="150" w:right="150"/>
    </w:pPr>
    <w:rPr>
      <w:rFonts w:ascii="新細明體" w:hAnsi="新細明體" w:cs="新細明體"/>
      <w:kern w:val="0"/>
      <w:lang w:bidi="hi-IN"/>
    </w:rPr>
  </w:style>
  <w:style w:type="paragraph" w:styleId="af3">
    <w:name w:val="Date"/>
    <w:basedOn w:val="a"/>
    <w:next w:val="a"/>
    <w:link w:val="af4"/>
    <w:uiPriority w:val="99"/>
    <w:rsid w:val="00602E6F"/>
    <w:pPr>
      <w:jc w:val="right"/>
    </w:pPr>
  </w:style>
  <w:style w:type="paragraph" w:styleId="af5">
    <w:name w:val="Balloon Text"/>
    <w:basedOn w:val="a"/>
    <w:link w:val="af6"/>
    <w:uiPriority w:val="99"/>
    <w:semiHidden/>
    <w:unhideWhenUsed/>
    <w:rsid w:val="001559A2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1559A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A63FE2"/>
    <w:rPr>
      <w:kern w:val="2"/>
    </w:rPr>
  </w:style>
  <w:style w:type="table" w:customStyle="1" w:styleId="17">
    <w:name w:val="表格格線1"/>
    <w:basedOn w:val="a1"/>
    <w:next w:val="ae"/>
    <w:uiPriority w:val="59"/>
    <w:rsid w:val="00A1507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e"/>
    <w:uiPriority w:val="59"/>
    <w:rsid w:val="00FC11E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e"/>
    <w:uiPriority w:val="59"/>
    <w:rsid w:val="00FC11E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DD5D5E"/>
    <w:pPr>
      <w:spacing w:after="120"/>
    </w:pPr>
  </w:style>
  <w:style w:type="character" w:customStyle="1" w:styleId="af8">
    <w:name w:val="本文 字元"/>
    <w:link w:val="af7"/>
    <w:rsid w:val="00DD5D5E"/>
    <w:rPr>
      <w:kern w:val="2"/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3135BF"/>
    <w:pPr>
      <w:ind w:leftChars="200" w:left="480"/>
    </w:pPr>
  </w:style>
  <w:style w:type="character" w:customStyle="1" w:styleId="a7">
    <w:name w:val="註腳文字 字元"/>
    <w:basedOn w:val="a0"/>
    <w:link w:val="a6"/>
    <w:uiPriority w:val="99"/>
    <w:semiHidden/>
    <w:rsid w:val="00FE417F"/>
    <w:rPr>
      <w:kern w:val="2"/>
    </w:rPr>
  </w:style>
  <w:style w:type="table" w:customStyle="1" w:styleId="41">
    <w:name w:val="表格格線4"/>
    <w:basedOn w:val="a1"/>
    <w:next w:val="ae"/>
    <w:rsid w:val="00FE417F"/>
    <w:pPr>
      <w:widowControl w:val="0"/>
      <w:adjustRightInd w:val="0"/>
      <w:spacing w:line="360" w:lineRule="atLeast"/>
      <w:textAlignment w:val="center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字元 字元"/>
    <w:basedOn w:val="a"/>
    <w:semiHidden/>
    <w:rsid w:val="00FE417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c">
    <w:name w:val="Note Heading"/>
    <w:basedOn w:val="a"/>
    <w:next w:val="a"/>
    <w:link w:val="afd"/>
    <w:rsid w:val="00FE417F"/>
    <w:pPr>
      <w:jc w:val="center"/>
    </w:pPr>
    <w:rPr>
      <w:rFonts w:eastAsia="標楷體"/>
      <w:b/>
      <w:bCs/>
      <w:sz w:val="32"/>
      <w:szCs w:val="32"/>
    </w:rPr>
  </w:style>
  <w:style w:type="character" w:customStyle="1" w:styleId="afd">
    <w:name w:val="註釋標題 字元"/>
    <w:basedOn w:val="a0"/>
    <w:link w:val="afc"/>
    <w:rsid w:val="00FE417F"/>
    <w:rPr>
      <w:rFonts w:eastAsia="標楷體"/>
      <w:b/>
      <w:bCs/>
      <w:kern w:val="2"/>
      <w:sz w:val="32"/>
      <w:szCs w:val="32"/>
    </w:rPr>
  </w:style>
  <w:style w:type="paragraph" w:styleId="afe">
    <w:name w:val="Closing"/>
    <w:basedOn w:val="a"/>
    <w:link w:val="aff"/>
    <w:rsid w:val="00FE417F"/>
    <w:pPr>
      <w:ind w:leftChars="1800" w:left="100"/>
    </w:pPr>
    <w:rPr>
      <w:rFonts w:eastAsia="標楷體"/>
      <w:b/>
      <w:bCs/>
      <w:sz w:val="32"/>
      <w:szCs w:val="32"/>
    </w:rPr>
  </w:style>
  <w:style w:type="character" w:customStyle="1" w:styleId="aff">
    <w:name w:val="結語 字元"/>
    <w:basedOn w:val="a0"/>
    <w:link w:val="afe"/>
    <w:rsid w:val="00FE417F"/>
    <w:rPr>
      <w:rFonts w:eastAsia="標楷體"/>
      <w:b/>
      <w:bCs/>
      <w:kern w:val="2"/>
      <w:sz w:val="32"/>
      <w:szCs w:val="32"/>
    </w:rPr>
  </w:style>
  <w:style w:type="character" w:customStyle="1" w:styleId="ad">
    <w:name w:val="頁首 字元"/>
    <w:basedOn w:val="a0"/>
    <w:link w:val="ac"/>
    <w:uiPriority w:val="99"/>
    <w:rsid w:val="00FE417F"/>
    <w:rPr>
      <w:kern w:val="2"/>
    </w:rPr>
  </w:style>
  <w:style w:type="paragraph" w:customStyle="1" w:styleId="18">
    <w:name w:val="字元 字元1 字元 字元 字元 字元 字元 字元 字元 字元 字元 字元 字元 字元"/>
    <w:basedOn w:val="a"/>
    <w:rsid w:val="00FE417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5">
    <w:name w:val="表格格線5"/>
    <w:basedOn w:val="a1"/>
    <w:next w:val="ae"/>
    <w:uiPriority w:val="59"/>
    <w:rsid w:val="00FE41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e"/>
    <w:uiPriority w:val="59"/>
    <w:rsid w:val="00323BB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字元 字元1 字元 字元 字元 字元 字元 字元 字元 字元 字元 字元 字元 字元"/>
    <w:basedOn w:val="a"/>
    <w:rsid w:val="00F50F1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k1a">
    <w:name w:val="k1a"/>
    <w:basedOn w:val="a"/>
    <w:link w:val="k1a0"/>
    <w:rsid w:val="00395EF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pacing w:before="120" w:after="120" w:line="450" w:lineRule="exact"/>
      <w:ind w:left="284" w:hanging="284"/>
      <w:jc w:val="both"/>
      <w:textAlignment w:val="center"/>
    </w:pPr>
    <w:rPr>
      <w:rFonts w:eastAsia="標楷體"/>
      <w:kern w:val="0"/>
      <w:sz w:val="28"/>
      <w:szCs w:val="20"/>
    </w:rPr>
  </w:style>
  <w:style w:type="table" w:customStyle="1" w:styleId="6">
    <w:name w:val="表格格線6"/>
    <w:basedOn w:val="a1"/>
    <w:next w:val="ae"/>
    <w:rsid w:val="00395EFD"/>
    <w:pPr>
      <w:widowControl w:val="0"/>
      <w:adjustRightInd w:val="0"/>
      <w:spacing w:line="360" w:lineRule="atLeast"/>
      <w:textAlignment w:val="center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e"/>
    <w:uiPriority w:val="59"/>
    <w:rsid w:val="003F1CA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e"/>
    <w:uiPriority w:val="59"/>
    <w:rsid w:val="000B6A5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標題 3 字元"/>
    <w:basedOn w:val="a0"/>
    <w:link w:val="30"/>
    <w:uiPriority w:val="9"/>
    <w:semiHidden/>
    <w:rsid w:val="000B6A5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B6A54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120">
    <w:name w:val="表格格線12"/>
    <w:basedOn w:val="a1"/>
    <w:next w:val="ae"/>
    <w:rsid w:val="000B6A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字元 字元 字元"/>
    <w:basedOn w:val="a"/>
    <w:rsid w:val="00D22EF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4">
    <w:name w:val="字元 字元3 字元 字元 字元"/>
    <w:basedOn w:val="a"/>
    <w:rsid w:val="00D22EF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a">
    <w:name w:val="字元 字元 字元1 字元 字元 字元 字元 字元 字元 字元 字元"/>
    <w:basedOn w:val="a"/>
    <w:semiHidden/>
    <w:rsid w:val="00D22EF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b">
    <w:name w:val="字元 字元1"/>
    <w:basedOn w:val="a"/>
    <w:semiHidden/>
    <w:rsid w:val="00D22EF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1">
    <w:name w:val="字元 字元"/>
    <w:basedOn w:val="a"/>
    <w:rsid w:val="00D22E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4">
    <w:name w:val="字元 字元2"/>
    <w:basedOn w:val="a"/>
    <w:rsid w:val="00D22E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2">
    <w:name w:val="No Spacing"/>
    <w:uiPriority w:val="1"/>
    <w:qFormat/>
    <w:rsid w:val="00D22EF8"/>
    <w:pPr>
      <w:widowControl w:val="0"/>
    </w:pPr>
    <w:rPr>
      <w:kern w:val="2"/>
      <w:sz w:val="24"/>
      <w:szCs w:val="24"/>
    </w:rPr>
  </w:style>
  <w:style w:type="paragraph" w:styleId="aff3">
    <w:name w:val="Revision"/>
    <w:hidden/>
    <w:uiPriority w:val="99"/>
    <w:semiHidden/>
    <w:rsid w:val="00D22EF8"/>
    <w:rPr>
      <w:kern w:val="2"/>
      <w:sz w:val="24"/>
      <w:szCs w:val="24"/>
    </w:rPr>
  </w:style>
  <w:style w:type="table" w:customStyle="1" w:styleId="9">
    <w:name w:val="表格格線9"/>
    <w:basedOn w:val="a1"/>
    <w:next w:val="ae"/>
    <w:uiPriority w:val="59"/>
    <w:rsid w:val="009E0FC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f9"/>
    <w:link w:val="1c"/>
    <w:qFormat/>
    <w:rsid w:val="007F182C"/>
    <w:pPr>
      <w:numPr>
        <w:numId w:val="1"/>
      </w:numPr>
      <w:tabs>
        <w:tab w:val="left" w:pos="1276"/>
      </w:tabs>
      <w:autoSpaceDE w:val="0"/>
      <w:spacing w:before="120" w:line="520" w:lineRule="exact"/>
      <w:ind w:leftChars="0" w:left="0"/>
      <w:jc w:val="both"/>
    </w:pPr>
    <w:rPr>
      <w:rFonts w:eastAsia="標楷體"/>
      <w:b/>
      <w:sz w:val="32"/>
      <w:szCs w:val="32"/>
    </w:rPr>
  </w:style>
  <w:style w:type="paragraph" w:customStyle="1" w:styleId="2">
    <w:name w:val="標題2"/>
    <w:basedOn w:val="af9"/>
    <w:link w:val="25"/>
    <w:qFormat/>
    <w:rsid w:val="001B6FAA"/>
    <w:pPr>
      <w:numPr>
        <w:ilvl w:val="1"/>
        <w:numId w:val="3"/>
      </w:numPr>
      <w:autoSpaceDE w:val="0"/>
      <w:spacing w:before="120" w:line="520" w:lineRule="exact"/>
      <w:ind w:leftChars="0" w:left="0"/>
      <w:jc w:val="both"/>
    </w:pPr>
    <w:rPr>
      <w:rFonts w:eastAsia="標楷體"/>
      <w:b/>
      <w:sz w:val="36"/>
      <w:szCs w:val="36"/>
    </w:rPr>
  </w:style>
  <w:style w:type="character" w:customStyle="1" w:styleId="afa">
    <w:name w:val="清單段落 字元"/>
    <w:basedOn w:val="a0"/>
    <w:link w:val="af9"/>
    <w:uiPriority w:val="34"/>
    <w:rsid w:val="007F182C"/>
    <w:rPr>
      <w:kern w:val="2"/>
      <w:sz w:val="24"/>
      <w:szCs w:val="24"/>
    </w:rPr>
  </w:style>
  <w:style w:type="character" w:customStyle="1" w:styleId="1c">
    <w:name w:val="樣式1 字元"/>
    <w:basedOn w:val="afa"/>
    <w:link w:val="10"/>
    <w:rsid w:val="007F182C"/>
    <w:rPr>
      <w:rFonts w:eastAsia="標楷體"/>
      <w:b/>
      <w:kern w:val="2"/>
      <w:sz w:val="32"/>
      <w:szCs w:val="32"/>
    </w:rPr>
  </w:style>
  <w:style w:type="paragraph" w:customStyle="1" w:styleId="3">
    <w:name w:val="標題3"/>
    <w:basedOn w:val="2"/>
    <w:link w:val="35"/>
    <w:qFormat/>
    <w:rsid w:val="002A49BF"/>
    <w:pPr>
      <w:numPr>
        <w:ilvl w:val="2"/>
      </w:numPr>
      <w:tabs>
        <w:tab w:val="left" w:pos="1701"/>
      </w:tabs>
    </w:pPr>
    <w:rPr>
      <w:sz w:val="32"/>
      <w:szCs w:val="32"/>
    </w:rPr>
  </w:style>
  <w:style w:type="character" w:customStyle="1" w:styleId="25">
    <w:name w:val="標題2 字元"/>
    <w:basedOn w:val="afa"/>
    <w:link w:val="2"/>
    <w:rsid w:val="001B6FAA"/>
    <w:rPr>
      <w:rFonts w:eastAsia="標楷體"/>
      <w:b/>
      <w:kern w:val="2"/>
      <w:sz w:val="36"/>
      <w:szCs w:val="36"/>
    </w:rPr>
  </w:style>
  <w:style w:type="paragraph" w:customStyle="1" w:styleId="42">
    <w:name w:val="標題4"/>
    <w:basedOn w:val="3"/>
    <w:link w:val="43"/>
    <w:qFormat/>
    <w:rsid w:val="001F78C8"/>
    <w:pPr>
      <w:numPr>
        <w:ilvl w:val="0"/>
        <w:numId w:val="0"/>
      </w:numPr>
    </w:pPr>
  </w:style>
  <w:style w:type="character" w:customStyle="1" w:styleId="35">
    <w:name w:val="標題3 字元"/>
    <w:basedOn w:val="1c"/>
    <w:link w:val="3"/>
    <w:rsid w:val="002A49BF"/>
    <w:rPr>
      <w:rFonts w:eastAsia="標楷體"/>
      <w:b/>
      <w:kern w:val="2"/>
      <w:sz w:val="32"/>
      <w:szCs w:val="32"/>
    </w:rPr>
  </w:style>
  <w:style w:type="paragraph" w:customStyle="1" w:styleId="1">
    <w:name w:val="標題1"/>
    <w:basedOn w:val="10"/>
    <w:link w:val="1d"/>
    <w:qFormat/>
    <w:rsid w:val="001B6FAA"/>
    <w:pPr>
      <w:numPr>
        <w:numId w:val="2"/>
      </w:numPr>
      <w:tabs>
        <w:tab w:val="clear" w:pos="1276"/>
      </w:tabs>
    </w:pPr>
    <w:rPr>
      <w:b w:val="0"/>
      <w:sz w:val="40"/>
      <w:szCs w:val="40"/>
    </w:rPr>
  </w:style>
  <w:style w:type="character" w:customStyle="1" w:styleId="43">
    <w:name w:val="標題4 字元"/>
    <w:basedOn w:val="a0"/>
    <w:link w:val="42"/>
    <w:rsid w:val="001F78C8"/>
    <w:rPr>
      <w:rFonts w:eastAsia="標楷體"/>
      <w:b/>
      <w:kern w:val="2"/>
      <w:sz w:val="32"/>
      <w:szCs w:val="32"/>
    </w:rPr>
  </w:style>
  <w:style w:type="character" w:customStyle="1" w:styleId="1d">
    <w:name w:val="標題1 字元"/>
    <w:basedOn w:val="1c"/>
    <w:link w:val="1"/>
    <w:rsid w:val="001B6FAA"/>
    <w:rPr>
      <w:rFonts w:eastAsia="標楷體"/>
      <w:b w:val="0"/>
      <w:kern w:val="2"/>
      <w:sz w:val="40"/>
      <w:szCs w:val="40"/>
    </w:rPr>
  </w:style>
  <w:style w:type="paragraph" w:customStyle="1" w:styleId="1e">
    <w:name w:val="專題樣式1"/>
    <w:basedOn w:val="af9"/>
    <w:link w:val="1f"/>
    <w:qFormat/>
    <w:rsid w:val="001A0556"/>
    <w:pPr>
      <w:tabs>
        <w:tab w:val="left" w:pos="709"/>
      </w:tabs>
      <w:spacing w:beforeLines="100" w:before="240" w:line="500" w:lineRule="exact"/>
      <w:ind w:leftChars="0" w:left="0"/>
    </w:pPr>
    <w:rPr>
      <w:rFonts w:ascii="標楷體" w:eastAsia="標楷體" w:hAnsi="標楷體" w:cstheme="minorBidi"/>
      <w:b/>
      <w:sz w:val="32"/>
      <w:szCs w:val="32"/>
    </w:rPr>
  </w:style>
  <w:style w:type="character" w:customStyle="1" w:styleId="1f">
    <w:name w:val="專題樣式1 字元"/>
    <w:basedOn w:val="afa"/>
    <w:link w:val="1e"/>
    <w:rsid w:val="001A0556"/>
    <w:rPr>
      <w:rFonts w:ascii="標楷體" w:eastAsia="標楷體" w:hAnsi="標楷體" w:cstheme="minorBidi"/>
      <w:b/>
      <w:kern w:val="2"/>
      <w:sz w:val="32"/>
      <w:szCs w:val="32"/>
    </w:rPr>
  </w:style>
  <w:style w:type="paragraph" w:styleId="1f0">
    <w:name w:val="toc 1"/>
    <w:basedOn w:val="a"/>
    <w:next w:val="a"/>
    <w:autoRedefine/>
    <w:uiPriority w:val="39"/>
    <w:unhideWhenUsed/>
    <w:qFormat/>
    <w:rsid w:val="003C11D5"/>
    <w:pPr>
      <w:widowControl/>
      <w:tabs>
        <w:tab w:val="right" w:leader="dot" w:pos="8296"/>
      </w:tabs>
      <w:snapToGrid w:val="0"/>
      <w:spacing w:beforeLines="50" w:before="180" w:line="480" w:lineRule="exact"/>
    </w:pPr>
    <w:rPr>
      <w:rFonts w:ascii="微軟正黑體" w:eastAsia="微軟正黑體" w:hAnsi="微軟正黑體" w:cstheme="minorBidi"/>
      <w:b/>
      <w:noProof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qFormat/>
    <w:rsid w:val="00430C5A"/>
    <w:pPr>
      <w:widowControl/>
      <w:snapToGrid w:val="0"/>
      <w:spacing w:after="180" w:line="276" w:lineRule="auto"/>
      <w:ind w:leftChars="101" w:left="283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f4">
    <w:name w:val="TOC Heading"/>
    <w:basedOn w:val="11"/>
    <w:next w:val="a"/>
    <w:uiPriority w:val="39"/>
    <w:semiHidden/>
    <w:unhideWhenUsed/>
    <w:qFormat/>
    <w:rsid w:val="00430C5A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f1">
    <w:name w:val="字元 字元1 字元 字元 字元 字元 字元 字元 字元 字元 字元 字元 字元 字元"/>
    <w:basedOn w:val="a"/>
    <w:rsid w:val="00F801F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numbering" w:customStyle="1" w:styleId="1f2">
    <w:name w:val="無清單1"/>
    <w:next w:val="a2"/>
    <w:uiPriority w:val="99"/>
    <w:semiHidden/>
    <w:unhideWhenUsed/>
    <w:rsid w:val="00DC506C"/>
  </w:style>
  <w:style w:type="table" w:customStyle="1" w:styleId="100">
    <w:name w:val="表格格線10"/>
    <w:basedOn w:val="a1"/>
    <w:next w:val="ae"/>
    <w:uiPriority w:val="59"/>
    <w:rsid w:val="00DC506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日期 字元"/>
    <w:basedOn w:val="a0"/>
    <w:link w:val="af3"/>
    <w:uiPriority w:val="99"/>
    <w:rsid w:val="00DC506C"/>
    <w:rPr>
      <w:kern w:val="2"/>
      <w:sz w:val="24"/>
      <w:szCs w:val="24"/>
    </w:rPr>
  </w:style>
  <w:style w:type="numbering" w:customStyle="1" w:styleId="27">
    <w:name w:val="無清單2"/>
    <w:next w:val="a2"/>
    <w:uiPriority w:val="99"/>
    <w:semiHidden/>
    <w:unhideWhenUsed/>
    <w:rsid w:val="001F22C0"/>
  </w:style>
  <w:style w:type="table" w:customStyle="1" w:styleId="130">
    <w:name w:val="表格格線13"/>
    <w:basedOn w:val="a1"/>
    <w:next w:val="ae"/>
    <w:rsid w:val="001F22C0"/>
    <w:pPr>
      <w:widowControl w:val="0"/>
      <w:spacing w:line="240" w:lineRule="exact"/>
    </w:pPr>
    <w:rPr>
      <w:rFonts w:eastAsia="微軟正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e"/>
    <w:uiPriority w:val="59"/>
    <w:rsid w:val="001F22C0"/>
    <w:pPr>
      <w:spacing w:line="240" w:lineRule="exact"/>
    </w:pPr>
    <w:rPr>
      <w:rFonts w:ascii="Calibri" w:eastAsia="微軟正黑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"/>
    <w:basedOn w:val="a1"/>
    <w:next w:val="ae"/>
    <w:uiPriority w:val="59"/>
    <w:rsid w:val="001F22C0"/>
    <w:pPr>
      <w:spacing w:line="240" w:lineRule="exact"/>
    </w:pPr>
    <w:rPr>
      <w:rFonts w:ascii="Calibri" w:eastAsia="微軟正黑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e"/>
    <w:uiPriority w:val="59"/>
    <w:rsid w:val="001F22C0"/>
    <w:pPr>
      <w:spacing w:line="240" w:lineRule="exact"/>
    </w:pPr>
    <w:rPr>
      <w:rFonts w:ascii="Calibri" w:eastAsia="微軟正黑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字元 字元5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table" w:customStyle="1" w:styleId="51">
    <w:name w:val="表格格線5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字元 字元1 字元 字元 字元 字元 字元 字元 字元 字元 字元 字元 字元 字元2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table" w:customStyle="1" w:styleId="71">
    <w:name w:val="表格格線7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1"/>
    <w:next w:val="ae"/>
    <w:rsid w:val="001F22C0"/>
    <w:pPr>
      <w:widowControl w:val="0"/>
      <w:spacing w:line="240" w:lineRule="exact"/>
    </w:pPr>
    <w:rPr>
      <w:rFonts w:eastAsia="微軟正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字元 字元 字元2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20">
    <w:name w:val="字元 字元3 字元 字元 字元2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22">
    <w:name w:val="字元 字元 字元1 字元 字元 字元 字元 字元 字元 字元 字元2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paragraph" w:customStyle="1" w:styleId="123">
    <w:name w:val="字元 字元12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paragraph" w:customStyle="1" w:styleId="44">
    <w:name w:val="字元 字元4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paragraph" w:customStyle="1" w:styleId="220">
    <w:name w:val="字元 字元22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table" w:customStyle="1" w:styleId="91">
    <w:name w:val="表格格線9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字元 字元1 字元 字元 字元 字元 字元 字元 字元 字元 字元 字元 字元 字元1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numbering" w:customStyle="1" w:styleId="113">
    <w:name w:val="無清單11"/>
    <w:next w:val="a2"/>
    <w:uiPriority w:val="99"/>
    <w:semiHidden/>
    <w:unhideWhenUsed/>
    <w:rsid w:val="001F22C0"/>
  </w:style>
  <w:style w:type="table" w:customStyle="1" w:styleId="101">
    <w:name w:val="表格格線101"/>
    <w:basedOn w:val="a1"/>
    <w:next w:val="ae"/>
    <w:uiPriority w:val="59"/>
    <w:rsid w:val="001F22C0"/>
    <w:pPr>
      <w:spacing w:line="240" w:lineRule="exac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0"/>
    <w:link w:val="11"/>
    <w:rsid w:val="001F22C0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rsid w:val="001F22C0"/>
    <w:rPr>
      <w:rFonts w:ascii="Arial" w:hAnsi="Arial"/>
      <w:b/>
      <w:bCs/>
      <w:kern w:val="2"/>
      <w:sz w:val="48"/>
      <w:szCs w:val="48"/>
    </w:rPr>
  </w:style>
  <w:style w:type="paragraph" w:customStyle="1" w:styleId="1f3">
    <w:name w:val="字元 字元 字元1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z-0">
    <w:name w:val="z-表單的頂端 字元"/>
    <w:basedOn w:val="a0"/>
    <w:link w:val="z-"/>
    <w:rsid w:val="001F22C0"/>
    <w:rPr>
      <w:rFonts w:ascii="Arial" w:hAnsi="Arial" w:cs="新細明體"/>
      <w:vanish/>
      <w:sz w:val="16"/>
      <w:szCs w:val="16"/>
      <w:lang w:bidi="hi-IN"/>
    </w:rPr>
  </w:style>
  <w:style w:type="character" w:customStyle="1" w:styleId="z-2">
    <w:name w:val="z-表單的底部 字元"/>
    <w:basedOn w:val="a0"/>
    <w:link w:val="z-1"/>
    <w:rsid w:val="001F22C0"/>
    <w:rPr>
      <w:rFonts w:ascii="Arial" w:hAnsi="Arial" w:cs="新細明體"/>
      <w:vanish/>
      <w:sz w:val="16"/>
      <w:szCs w:val="16"/>
      <w:lang w:bidi="hi-IN"/>
    </w:rPr>
  </w:style>
  <w:style w:type="paragraph" w:customStyle="1" w:styleId="311">
    <w:name w:val="字元 字元3 字元 字元 字元1"/>
    <w:basedOn w:val="a"/>
    <w:rsid w:val="001F22C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14">
    <w:name w:val="字元 字元 字元1 字元 字元 字元 字元 字元 字元 字元 字元1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character" w:customStyle="1" w:styleId="af0">
    <w:name w:val="本文縮排 字元"/>
    <w:basedOn w:val="a0"/>
    <w:link w:val="af"/>
    <w:rsid w:val="001F22C0"/>
    <w:rPr>
      <w:kern w:val="2"/>
      <w:sz w:val="24"/>
      <w:szCs w:val="24"/>
    </w:rPr>
  </w:style>
  <w:style w:type="character" w:customStyle="1" w:styleId="HTML0">
    <w:name w:val="HTML 預設格式 字元"/>
    <w:basedOn w:val="a0"/>
    <w:link w:val="HTML"/>
    <w:rsid w:val="001F22C0"/>
    <w:rPr>
      <w:rFonts w:ascii="細明體" w:eastAsia="細明體" w:hAnsi="細明體" w:cs="細明體"/>
      <w:color w:val="000000"/>
      <w:sz w:val="24"/>
      <w:szCs w:val="24"/>
      <w:lang w:bidi="hi-IN"/>
    </w:rPr>
  </w:style>
  <w:style w:type="paragraph" w:customStyle="1" w:styleId="115">
    <w:name w:val="字元 字元11"/>
    <w:basedOn w:val="a"/>
    <w:semiHidden/>
    <w:rsid w:val="001F22C0"/>
    <w:pPr>
      <w:widowControl/>
      <w:spacing w:after="160" w:line="240" w:lineRule="exact"/>
    </w:pPr>
    <w:rPr>
      <w:rFonts w:ascii="Verdana" w:eastAsia="Times New Roman" w:hAnsi="Verdana" w:cs="Mangal"/>
      <w:kern w:val="0"/>
      <w:sz w:val="20"/>
      <w:szCs w:val="20"/>
      <w:lang w:eastAsia="en-US" w:bidi="hi-IN"/>
    </w:rPr>
  </w:style>
  <w:style w:type="paragraph" w:customStyle="1" w:styleId="36">
    <w:name w:val="字元 字元3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paragraph" w:customStyle="1" w:styleId="212">
    <w:name w:val="字元 字元21"/>
    <w:basedOn w:val="a"/>
    <w:rsid w:val="001F22C0"/>
    <w:pPr>
      <w:widowControl/>
      <w:spacing w:after="160" w:line="240" w:lineRule="exact"/>
    </w:pPr>
    <w:rPr>
      <w:rFonts w:ascii="Tahoma" w:eastAsia="微軟正黑體" w:hAnsi="Tahoma"/>
      <w:kern w:val="0"/>
      <w:sz w:val="20"/>
      <w:szCs w:val="20"/>
      <w:lang w:eastAsia="en-US"/>
    </w:rPr>
  </w:style>
  <w:style w:type="numbering" w:customStyle="1" w:styleId="213">
    <w:name w:val="無清單21"/>
    <w:next w:val="a2"/>
    <w:uiPriority w:val="99"/>
    <w:semiHidden/>
    <w:unhideWhenUsed/>
    <w:rsid w:val="001F22C0"/>
  </w:style>
  <w:style w:type="table" w:customStyle="1" w:styleId="131">
    <w:name w:val="表格格線131"/>
    <w:basedOn w:val="a1"/>
    <w:next w:val="ae"/>
    <w:rsid w:val="001F2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next w:val="ae"/>
    <w:uiPriority w:val="59"/>
    <w:rsid w:val="001F22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1"/>
    <w:next w:val="ae"/>
    <w:uiPriority w:val="59"/>
    <w:rsid w:val="001F22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1"/>
    <w:next w:val="ae"/>
    <w:uiPriority w:val="59"/>
    <w:rsid w:val="001F22C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next w:val="ae"/>
    <w:rsid w:val="001F2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uiPriority w:val="99"/>
    <w:semiHidden/>
    <w:unhideWhenUsed/>
    <w:rsid w:val="001F22C0"/>
  </w:style>
  <w:style w:type="table" w:customStyle="1" w:styleId="1011">
    <w:name w:val="表格格線1011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next w:val="ae"/>
    <w:uiPriority w:val="59"/>
    <w:rsid w:val="001F22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0"/>
    <w:uiPriority w:val="99"/>
    <w:semiHidden/>
    <w:unhideWhenUsed/>
    <w:rsid w:val="005334B6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5334B6"/>
  </w:style>
  <w:style w:type="character" w:customStyle="1" w:styleId="aff7">
    <w:name w:val="註解文字 字元"/>
    <w:basedOn w:val="a0"/>
    <w:link w:val="aff6"/>
    <w:uiPriority w:val="99"/>
    <w:semiHidden/>
    <w:rsid w:val="005334B6"/>
    <w:rPr>
      <w:kern w:val="2"/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334B6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5334B6"/>
    <w:rPr>
      <w:b/>
      <w:bCs/>
      <w:kern w:val="2"/>
      <w:sz w:val="24"/>
      <w:szCs w:val="24"/>
    </w:rPr>
  </w:style>
  <w:style w:type="table" w:customStyle="1" w:styleId="151">
    <w:name w:val="表格格線151"/>
    <w:basedOn w:val="a1"/>
    <w:next w:val="ae"/>
    <w:uiPriority w:val="59"/>
    <w:rsid w:val="003B719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981221"/>
    <w:pPr>
      <w:snapToGrid w:val="0"/>
    </w:pPr>
  </w:style>
  <w:style w:type="character" w:customStyle="1" w:styleId="affb">
    <w:name w:val="章節附註文字 字元"/>
    <w:basedOn w:val="a0"/>
    <w:link w:val="affa"/>
    <w:uiPriority w:val="99"/>
    <w:semiHidden/>
    <w:rsid w:val="00981221"/>
    <w:rPr>
      <w:kern w:val="2"/>
      <w:sz w:val="24"/>
      <w:szCs w:val="24"/>
    </w:rPr>
  </w:style>
  <w:style w:type="character" w:styleId="affc">
    <w:name w:val="endnote reference"/>
    <w:basedOn w:val="a0"/>
    <w:uiPriority w:val="99"/>
    <w:semiHidden/>
    <w:unhideWhenUsed/>
    <w:rsid w:val="00981221"/>
    <w:rPr>
      <w:vertAlign w:val="superscript"/>
    </w:rPr>
  </w:style>
  <w:style w:type="table" w:customStyle="1" w:styleId="1311">
    <w:name w:val="表格格線1311"/>
    <w:basedOn w:val="a1"/>
    <w:next w:val="ae"/>
    <w:rsid w:val="00AE41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next w:val="ae"/>
    <w:uiPriority w:val="59"/>
    <w:rsid w:val="00C4181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next w:val="ae"/>
    <w:uiPriority w:val="59"/>
    <w:rsid w:val="00D745B1"/>
    <w:rPr>
      <w:kern w:val="2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1a0">
    <w:name w:val="k1a 字元"/>
    <w:basedOn w:val="a0"/>
    <w:link w:val="k1a"/>
    <w:rsid w:val="00D745B1"/>
    <w:rPr>
      <w:rFonts w:eastAsia="標楷體"/>
      <w:sz w:val="28"/>
    </w:rPr>
  </w:style>
  <w:style w:type="paragraph" w:customStyle="1" w:styleId="k00t18">
    <w:name w:val="k00t18"/>
    <w:basedOn w:val="a"/>
    <w:rsid w:val="00D745B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240" w:line="460" w:lineRule="exact"/>
      <w:jc w:val="center"/>
      <w:textAlignment w:val="baseline"/>
    </w:pPr>
    <w:rPr>
      <w:rFonts w:eastAsia="文鼎中楷" w:hAnsi="Clarendon Condensed"/>
      <w:kern w:val="0"/>
      <w:sz w:val="36"/>
      <w:szCs w:val="20"/>
    </w:rPr>
  </w:style>
  <w:style w:type="table" w:styleId="-1">
    <w:name w:val="Light Shading Accent 1"/>
    <w:basedOn w:val="a1"/>
    <w:uiPriority w:val="60"/>
    <w:rsid w:val="00D745B1"/>
    <w:rPr>
      <w:rFonts w:asciiTheme="minorHAnsi" w:eastAsiaTheme="minorEastAsia" w:hAnsiTheme="minorHAnsi" w:cstheme="minorBidi"/>
      <w:color w:val="365F91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7">
    <w:name w:val="toc 3"/>
    <w:basedOn w:val="a"/>
    <w:next w:val="a"/>
    <w:autoRedefine/>
    <w:uiPriority w:val="39"/>
    <w:semiHidden/>
    <w:unhideWhenUsed/>
    <w:qFormat/>
    <w:rsid w:val="006F111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70">
    <w:name w:val="字元 字元7"/>
    <w:basedOn w:val="a"/>
    <w:semiHidden/>
    <w:rsid w:val="006D728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42">
    <w:name w:val="字元 字元1 字元 字元 字元 字元 字元 字元 字元 字元 字元 字元 字元 字元4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8">
    <w:name w:val="字元 字元 字元3"/>
    <w:basedOn w:val="a"/>
    <w:rsid w:val="006D728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30">
    <w:name w:val="字元 字元3 字元 字元 字元3"/>
    <w:basedOn w:val="a"/>
    <w:rsid w:val="006D728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32">
    <w:name w:val="字元 字元 字元1 字元 字元 字元 字元 字元 字元 字元 字元3"/>
    <w:basedOn w:val="a"/>
    <w:semiHidden/>
    <w:rsid w:val="006D728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33">
    <w:name w:val="字元 字元13"/>
    <w:basedOn w:val="a"/>
    <w:semiHidden/>
    <w:rsid w:val="006D728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60">
    <w:name w:val="字元 字元6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30">
    <w:name w:val="字元 字元23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4">
    <w:name w:val="字元 字元1 字元 字元 字元 字元 字元 字元 字元 字元 字元 字元 字元 字元3"/>
    <w:basedOn w:val="a"/>
    <w:rsid w:val="006D72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10-con1">
    <w:name w:val="f10-con1"/>
    <w:basedOn w:val="a0"/>
    <w:rsid w:val="006D7283"/>
    <w:rPr>
      <w:rFonts w:ascii="Verdana" w:hAnsi="Verdana" w:hint="default"/>
      <w:color w:val="666666"/>
      <w:sz w:val="20"/>
      <w:szCs w:val="20"/>
    </w:rPr>
  </w:style>
  <w:style w:type="paragraph" w:customStyle="1" w:styleId="90">
    <w:name w:val="字元 字元9"/>
    <w:basedOn w:val="a"/>
    <w:semiHidden/>
    <w:rsid w:val="001F4DA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61">
    <w:name w:val="字元 字元1 字元 字元 字元 字元 字元 字元 字元 字元 字元 字元 字元 字元6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45">
    <w:name w:val="字元 字元 字元4"/>
    <w:basedOn w:val="a"/>
    <w:rsid w:val="001F4DA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40">
    <w:name w:val="字元 字元3 字元 字元 字元4"/>
    <w:basedOn w:val="a"/>
    <w:rsid w:val="001F4DA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43">
    <w:name w:val="字元 字元 字元1 字元 字元 字元 字元 字元 字元 字元 字元4"/>
    <w:basedOn w:val="a"/>
    <w:semiHidden/>
    <w:rsid w:val="001F4DA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44">
    <w:name w:val="字元 字元14"/>
    <w:basedOn w:val="a"/>
    <w:semiHidden/>
    <w:rsid w:val="001F4DA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80">
    <w:name w:val="字元 字元8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40">
    <w:name w:val="字元 字元24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3">
    <w:name w:val="字元 字元1 字元 字元 字元 字元 字元 字元 字元 字元 字元 字元 字元 字元5"/>
    <w:basedOn w:val="a"/>
    <w:rsid w:val="001F4DA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70">
    <w:name w:val="表格格線17"/>
    <w:basedOn w:val="a1"/>
    <w:next w:val="ae"/>
    <w:uiPriority w:val="59"/>
    <w:rsid w:val="00CD59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next w:val="ae"/>
    <w:uiPriority w:val="59"/>
    <w:rsid w:val="00CD59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next w:val="ae"/>
    <w:uiPriority w:val="59"/>
    <w:rsid w:val="00CD59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549">
      <w:bodyDiv w:val="1"/>
      <w:marLeft w:val="0"/>
      <w:marRight w:val="0"/>
      <w:marTop w:val="2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chart" Target="charts/chart6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chart" Target="charts/chart5.xml"/><Relationship Id="rId33" Type="http://schemas.openxmlformats.org/officeDocument/2006/relationships/chart" Target="charts/chart10.xml"/><Relationship Id="rId38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chart" Target="charts/chart4.xml"/><Relationship Id="rId32" Type="http://schemas.openxmlformats.org/officeDocument/2006/relationships/footer" Target="footer15.xml"/><Relationship Id="rId37" Type="http://schemas.openxmlformats.org/officeDocument/2006/relationships/image" Target="media/image2.jp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36" Type="http://schemas.openxmlformats.org/officeDocument/2006/relationships/image" Target="media/image1.jpg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footer" Target="footer13.xml"/><Relationship Id="rId35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adamchen\Desktop\&#22823;&#38520;&#32113;&#35336;&#36039;&#26009;\&#35079;&#26412;%20&#21295;&#35920;&#20013;&#22283;PMI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adamchen\Desktop\&#32147;&#28639;&#23560;&#25991;\&#32147;&#28639;&#26032;&#24120;&#24907;\&#25903;&#20986;&#38754;&#36002;&#29563;&#29575;.xls" TargetMode="External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s\hsinyi\Desktop\2014&#24180;&#22577;\2014&#24180;&#22577;&#34920;&#2193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sers\hsinyi\Desktop\2014&#24180;&#22577;\2014&#24180;&#22577;&#34920;&#21934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Users\hsinyi\Desktop\2014&#24180;&#22577;&#34920;&#2193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hsinyi\Desktop\2014&#24180;&#22577;&#34920;&#2193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hsinyi\Desktop\2014&#24180;&#22577;&#34920;&#21934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yimin5573\Desktop\&#23395;&#22577;&#36039;&#26009;&#22846;\2014\&#39321;&#28207;&#25151;&#20729;q3.xlsx" TargetMode="External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hsinyi\Desktop\2014&#24180;&#22577;&#34920;&#2193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hsinyi\Desktop\2014&#24180;&#22577;\2014&#24180;&#22577;&#34920;&#2193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工作表1!$D$1</c:f>
              <c:strCache>
                <c:ptCount val="1"/>
                <c:pt idx="0">
                  <c:v>匯豐</c:v>
                </c:pt>
              </c:strCache>
            </c:strRef>
          </c:tx>
          <c:marker>
            <c:symbol val="none"/>
          </c:marker>
          <c:dLbls>
            <c:dLbl>
              <c:idx val="23"/>
              <c:layout>
                <c:manualLayout>
                  <c:x val="-1.3259082471492973E-2"/>
                  <c:y val="4.2432814710042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multiLvlStrRef>
              <c:f>工作表1!$B$44:$C$67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工作表1!$D$44:$D$67</c:f>
              <c:numCache>
                <c:formatCode>General</c:formatCode>
                <c:ptCount val="24"/>
                <c:pt idx="0">
                  <c:v>52.3</c:v>
                </c:pt>
                <c:pt idx="1">
                  <c:v>50.4</c:v>
                </c:pt>
                <c:pt idx="2">
                  <c:v>51.6</c:v>
                </c:pt>
                <c:pt idx="3">
                  <c:v>50.4</c:v>
                </c:pt>
                <c:pt idx="4">
                  <c:v>49.2</c:v>
                </c:pt>
                <c:pt idx="5">
                  <c:v>48.2</c:v>
                </c:pt>
                <c:pt idx="6">
                  <c:v>47.7</c:v>
                </c:pt>
                <c:pt idx="7">
                  <c:v>50.1</c:v>
                </c:pt>
                <c:pt idx="8">
                  <c:v>50.2</c:v>
                </c:pt>
                <c:pt idx="9">
                  <c:v>50.9</c:v>
                </c:pt>
                <c:pt idx="10">
                  <c:v>50.8</c:v>
                </c:pt>
                <c:pt idx="11">
                  <c:v>50.5</c:v>
                </c:pt>
                <c:pt idx="12">
                  <c:v>49.5</c:v>
                </c:pt>
                <c:pt idx="13">
                  <c:v>48.5</c:v>
                </c:pt>
                <c:pt idx="14">
                  <c:v>48</c:v>
                </c:pt>
                <c:pt idx="15">
                  <c:v>48.1</c:v>
                </c:pt>
                <c:pt idx="16">
                  <c:v>49.4</c:v>
                </c:pt>
                <c:pt idx="17">
                  <c:v>50.7</c:v>
                </c:pt>
                <c:pt idx="18">
                  <c:v>51.7</c:v>
                </c:pt>
                <c:pt idx="19">
                  <c:v>50.3</c:v>
                </c:pt>
                <c:pt idx="20">
                  <c:v>50.2</c:v>
                </c:pt>
                <c:pt idx="21">
                  <c:v>50.4</c:v>
                </c:pt>
                <c:pt idx="22" formatCode="0.0_ ">
                  <c:v>50</c:v>
                </c:pt>
                <c:pt idx="23">
                  <c:v>49.6</c:v>
                </c:pt>
              </c:numCache>
            </c:numRef>
          </c:val>
          <c:smooth val="0"/>
        </c:ser>
        <c:ser>
          <c:idx val="3"/>
          <c:order val="1"/>
          <c:spPr>
            <a:ln>
              <a:prstDash val="sysDot"/>
            </a:ln>
          </c:spPr>
          <c:marker>
            <c:symbol val="none"/>
          </c:marker>
          <c:cat>
            <c:multiLvlStrRef>
              <c:f>工作表1!$B$44:$C$67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工作表1!$E$44:$E$67</c:f>
              <c:numCache>
                <c:formatCode>General</c:formatCode>
                <c:ptCount val="24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工作表1!$F$1</c:f>
              <c:strCache>
                <c:ptCount val="1"/>
                <c:pt idx="0">
                  <c:v>官方</c:v>
                </c:pt>
              </c:strCache>
            </c:strRef>
          </c:tx>
          <c:spPr>
            <a:ln w="38100">
              <a:prstDash val="solid"/>
            </a:ln>
          </c:spPr>
          <c:marker>
            <c:symbol val="diamond"/>
            <c:size val="5"/>
          </c:marker>
          <c:dLbls>
            <c:dLbl>
              <c:idx val="23"/>
              <c:layout>
                <c:manualLayout>
                  <c:x val="-1.0607265977194379E-2"/>
                  <c:y val="-4.7147571900047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multiLvlStrRef>
              <c:f>工作表1!$B$44:$C$67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工作表1!$F$44:$F$67</c:f>
              <c:numCache>
                <c:formatCode>General</c:formatCode>
                <c:ptCount val="24"/>
                <c:pt idx="0">
                  <c:v>50.4</c:v>
                </c:pt>
                <c:pt idx="1">
                  <c:v>50.1</c:v>
                </c:pt>
                <c:pt idx="2">
                  <c:v>50.9</c:v>
                </c:pt>
                <c:pt idx="3">
                  <c:v>50.6</c:v>
                </c:pt>
                <c:pt idx="4">
                  <c:v>50.8</c:v>
                </c:pt>
                <c:pt idx="5">
                  <c:v>50.1</c:v>
                </c:pt>
                <c:pt idx="6">
                  <c:v>50.3</c:v>
                </c:pt>
                <c:pt idx="7">
                  <c:v>51</c:v>
                </c:pt>
                <c:pt idx="8">
                  <c:v>51.1</c:v>
                </c:pt>
                <c:pt idx="9">
                  <c:v>51.4</c:v>
                </c:pt>
                <c:pt idx="10">
                  <c:v>51.4</c:v>
                </c:pt>
                <c:pt idx="11">
                  <c:v>51</c:v>
                </c:pt>
                <c:pt idx="12">
                  <c:v>50.5</c:v>
                </c:pt>
                <c:pt idx="13">
                  <c:v>50.2</c:v>
                </c:pt>
                <c:pt idx="14">
                  <c:v>50.3</c:v>
                </c:pt>
                <c:pt idx="15">
                  <c:v>50.4</c:v>
                </c:pt>
                <c:pt idx="16">
                  <c:v>50.8</c:v>
                </c:pt>
                <c:pt idx="17">
                  <c:v>51</c:v>
                </c:pt>
                <c:pt idx="18">
                  <c:v>51.7</c:v>
                </c:pt>
                <c:pt idx="19">
                  <c:v>51.1</c:v>
                </c:pt>
                <c:pt idx="20">
                  <c:v>51.1</c:v>
                </c:pt>
                <c:pt idx="21">
                  <c:v>50.8</c:v>
                </c:pt>
                <c:pt idx="22">
                  <c:v>50.3</c:v>
                </c:pt>
                <c:pt idx="23">
                  <c:v>50.1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30176"/>
        <c:axId val="129340160"/>
      </c:lineChart>
      <c:catAx>
        <c:axId val="12933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129340160"/>
        <c:crosses val="autoZero"/>
        <c:auto val="1"/>
        <c:lblAlgn val="ctr"/>
        <c:lblOffset val="100"/>
        <c:noMultiLvlLbl val="0"/>
      </c:catAx>
      <c:valAx>
        <c:axId val="129340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zh-TW"/>
          </a:p>
        </c:txPr>
        <c:crossAx val="12933017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egendEntry>
        <c:idx val="1"/>
        <c:delete val="1"/>
      </c:legendEntry>
      <c:layout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818465249647259E-2"/>
          <c:y val="0.17956913801616381"/>
          <c:w val="0.91805713592159366"/>
          <c:h val="0.71708245627712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中國大陸GDP</c:v>
                </c:pt>
              </c:strCache>
            </c:strRef>
          </c:tx>
          <c:invertIfNegative val="0"/>
          <c:dLbls>
            <c:dLbl>
              <c:idx val="10"/>
              <c:layout>
                <c:manualLayout>
                  <c:x val="0"/>
                  <c:y val="8.2539674286746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4.5470445463571194E-3"/>
                  <c:y val="1.6507934857349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8.2539674286747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2.2735222731785597E-3"/>
                  <c:y val="1.23809511430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8.3361520350483909E-17"/>
                  <c:y val="-4.1269837143373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工作表1!$A$2:$A$37</c:f>
              <c:numCache>
                <c:formatCode>General</c:formatCode>
                <c:ptCount val="36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</c:numCache>
            </c:numRef>
          </c:cat>
          <c:val>
            <c:numRef>
              <c:f>工作表1!$B$2:$B$37</c:f>
              <c:numCache>
                <c:formatCode>0.0_ </c:formatCode>
                <c:ptCount val="36"/>
                <c:pt idx="0">
                  <c:v>11.700000000000003</c:v>
                </c:pt>
                <c:pt idx="1">
                  <c:v>7.5999999999999943</c:v>
                </c:pt>
                <c:pt idx="2">
                  <c:v>7.7999999999999972</c:v>
                </c:pt>
                <c:pt idx="3">
                  <c:v>5.2000000000000028</c:v>
                </c:pt>
                <c:pt idx="4">
                  <c:v>9.0999999999999943</c:v>
                </c:pt>
                <c:pt idx="5">
                  <c:v>10.900000000000006</c:v>
                </c:pt>
                <c:pt idx="6">
                  <c:v>15.200000000000003</c:v>
                </c:pt>
                <c:pt idx="7">
                  <c:v>13.5</c:v>
                </c:pt>
                <c:pt idx="8">
                  <c:v>8.7999999999999972</c:v>
                </c:pt>
                <c:pt idx="9">
                  <c:v>11.599999999999994</c:v>
                </c:pt>
                <c:pt idx="10">
                  <c:v>11.299999999999997</c:v>
                </c:pt>
                <c:pt idx="11">
                  <c:v>4.0999999999999943</c:v>
                </c:pt>
                <c:pt idx="12">
                  <c:v>3.7999999999999972</c:v>
                </c:pt>
                <c:pt idx="13">
                  <c:v>9.2000000000000028</c:v>
                </c:pt>
                <c:pt idx="14">
                  <c:v>14.200000000000003</c:v>
                </c:pt>
                <c:pt idx="15">
                  <c:v>14</c:v>
                </c:pt>
                <c:pt idx="16">
                  <c:v>13.099999999999994</c:v>
                </c:pt>
                <c:pt idx="17">
                  <c:v>10.900000000000006</c:v>
                </c:pt>
                <c:pt idx="18">
                  <c:v>10</c:v>
                </c:pt>
                <c:pt idx="19">
                  <c:v>9.2999999999999972</c:v>
                </c:pt>
                <c:pt idx="20">
                  <c:v>7.7999999999999972</c:v>
                </c:pt>
                <c:pt idx="21">
                  <c:v>7.5999999999999943</c:v>
                </c:pt>
                <c:pt idx="22">
                  <c:v>8.4000000000000057</c:v>
                </c:pt>
                <c:pt idx="23">
                  <c:v>8.2999999999999972</c:v>
                </c:pt>
                <c:pt idx="24">
                  <c:v>9.0999999999999943</c:v>
                </c:pt>
                <c:pt idx="25">
                  <c:v>10</c:v>
                </c:pt>
                <c:pt idx="26">
                  <c:v>10.099999999999994</c:v>
                </c:pt>
                <c:pt idx="27">
                  <c:v>11.299999999999997</c:v>
                </c:pt>
                <c:pt idx="28">
                  <c:v>12.700000000000003</c:v>
                </c:pt>
                <c:pt idx="29">
                  <c:v>14.200000000000003</c:v>
                </c:pt>
                <c:pt idx="30">
                  <c:v>9.5999999999999943</c:v>
                </c:pt>
                <c:pt idx="31">
                  <c:v>9.2000000000000028</c:v>
                </c:pt>
                <c:pt idx="32">
                  <c:v>10.400000000000006</c:v>
                </c:pt>
                <c:pt idx="33">
                  <c:v>9.2999999999999972</c:v>
                </c:pt>
                <c:pt idx="34">
                  <c:v>7.7000000000000028</c:v>
                </c:pt>
                <c:pt idx="35">
                  <c:v>7.7000000000000028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225216"/>
        <c:axId val="121226752"/>
      </c:barChart>
      <c:catAx>
        <c:axId val="12122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226752"/>
        <c:crosses val="autoZero"/>
        <c:auto val="1"/>
        <c:lblAlgn val="ctr"/>
        <c:lblOffset val="100"/>
        <c:tickLblSkip val="5"/>
        <c:noMultiLvlLbl val="0"/>
      </c:catAx>
      <c:valAx>
        <c:axId val="121226752"/>
        <c:scaling>
          <c:orientation val="minMax"/>
          <c:min val="2"/>
        </c:scaling>
        <c:delete val="0"/>
        <c:axPos val="l"/>
        <c:numFmt formatCode="0_ " sourceLinked="0"/>
        <c:majorTickMark val="out"/>
        <c:minorTickMark val="none"/>
        <c:tickLblPos val="nextTo"/>
        <c:crossAx val="121225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344685039370078"/>
          <c:y val="5.1400554097404488E-2"/>
          <c:w val="0.85881846019247599"/>
          <c:h val="0.66134660250801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myreport!$R$3</c:f>
              <c:strCache>
                <c:ptCount val="1"/>
                <c:pt idx="0">
                  <c:v>消費</c:v>
                </c:pt>
              </c:strCache>
            </c:strRef>
          </c:tx>
          <c:spPr>
            <a:pattFill prst="dk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1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myreport!$Q$4:$Q$18</c:f>
              <c:strCache>
                <c:ptCount val="15"/>
                <c:pt idx="0">
                  <c:v>2000年</c:v>
                </c:pt>
                <c:pt idx="1">
                  <c:v>2001年</c:v>
                </c:pt>
                <c:pt idx="2">
                  <c:v>2002年</c:v>
                </c:pt>
                <c:pt idx="3">
                  <c:v>2003年</c:v>
                </c:pt>
                <c:pt idx="4">
                  <c:v>2004年</c:v>
                </c:pt>
                <c:pt idx="5">
                  <c:v>2005年</c:v>
                </c:pt>
                <c:pt idx="6">
                  <c:v>2006年</c:v>
                </c:pt>
                <c:pt idx="7">
                  <c:v>2007年</c:v>
                </c:pt>
                <c:pt idx="8">
                  <c:v>2008年</c:v>
                </c:pt>
                <c:pt idx="9">
                  <c:v>2009年</c:v>
                </c:pt>
                <c:pt idx="10">
                  <c:v>2010年</c:v>
                </c:pt>
                <c:pt idx="11">
                  <c:v>2011年</c:v>
                </c:pt>
                <c:pt idx="12">
                  <c:v>2012年</c:v>
                </c:pt>
                <c:pt idx="13">
                  <c:v>2013年</c:v>
                </c:pt>
                <c:pt idx="14">
                  <c:v>2014年/I~III</c:v>
                </c:pt>
              </c:strCache>
            </c:strRef>
          </c:cat>
          <c:val>
            <c:numRef>
              <c:f>myreport!$R$4:$R$18</c:f>
              <c:numCache>
                <c:formatCode>0.0_ </c:formatCode>
                <c:ptCount val="15"/>
                <c:pt idx="0">
                  <c:v>65.099999999999994</c:v>
                </c:pt>
                <c:pt idx="1">
                  <c:v>50.2</c:v>
                </c:pt>
                <c:pt idx="2">
                  <c:v>43.9</c:v>
                </c:pt>
                <c:pt idx="3">
                  <c:v>35.799999999999997</c:v>
                </c:pt>
                <c:pt idx="4">
                  <c:v>39</c:v>
                </c:pt>
                <c:pt idx="5">
                  <c:v>39</c:v>
                </c:pt>
                <c:pt idx="6">
                  <c:v>40.299999999999997</c:v>
                </c:pt>
                <c:pt idx="7">
                  <c:v>39.6</c:v>
                </c:pt>
                <c:pt idx="8">
                  <c:v>44.2</c:v>
                </c:pt>
                <c:pt idx="9">
                  <c:v>49.8</c:v>
                </c:pt>
                <c:pt idx="10">
                  <c:v>43.1</c:v>
                </c:pt>
                <c:pt idx="11">
                  <c:v>56.5</c:v>
                </c:pt>
                <c:pt idx="12">
                  <c:v>55</c:v>
                </c:pt>
                <c:pt idx="13">
                  <c:v>50</c:v>
                </c:pt>
                <c:pt idx="14">
                  <c:v>48.5</c:v>
                </c:pt>
              </c:numCache>
            </c:numRef>
          </c:val>
        </c:ser>
        <c:ser>
          <c:idx val="1"/>
          <c:order val="1"/>
          <c:tx>
            <c:strRef>
              <c:f>myreport!$S$3</c:f>
              <c:strCache>
                <c:ptCount val="1"/>
                <c:pt idx="0">
                  <c:v>投資</c:v>
                </c:pt>
              </c:strCache>
            </c:strRef>
          </c:tx>
          <c:invertIfNegative val="0"/>
          <c:dLbls>
            <c:dLbl>
              <c:idx val="14"/>
              <c:layout>
                <c:manualLayout>
                  <c:x val="1.5217410323709536E-2"/>
                  <c:y val="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myreport!$Q$4:$Q$18</c:f>
              <c:strCache>
                <c:ptCount val="15"/>
                <c:pt idx="0">
                  <c:v>2000年</c:v>
                </c:pt>
                <c:pt idx="1">
                  <c:v>2001年</c:v>
                </c:pt>
                <c:pt idx="2">
                  <c:v>2002年</c:v>
                </c:pt>
                <c:pt idx="3">
                  <c:v>2003年</c:v>
                </c:pt>
                <c:pt idx="4">
                  <c:v>2004年</c:v>
                </c:pt>
                <c:pt idx="5">
                  <c:v>2005年</c:v>
                </c:pt>
                <c:pt idx="6">
                  <c:v>2006年</c:v>
                </c:pt>
                <c:pt idx="7">
                  <c:v>2007年</c:v>
                </c:pt>
                <c:pt idx="8">
                  <c:v>2008年</c:v>
                </c:pt>
                <c:pt idx="9">
                  <c:v>2009年</c:v>
                </c:pt>
                <c:pt idx="10">
                  <c:v>2010年</c:v>
                </c:pt>
                <c:pt idx="11">
                  <c:v>2011年</c:v>
                </c:pt>
                <c:pt idx="12">
                  <c:v>2012年</c:v>
                </c:pt>
                <c:pt idx="13">
                  <c:v>2013年</c:v>
                </c:pt>
                <c:pt idx="14">
                  <c:v>2014年/I~III</c:v>
                </c:pt>
              </c:strCache>
            </c:strRef>
          </c:cat>
          <c:val>
            <c:numRef>
              <c:f>myreport!$S$4:$S$18</c:f>
              <c:numCache>
                <c:formatCode>0.0_ </c:formatCode>
                <c:ptCount val="15"/>
                <c:pt idx="0">
                  <c:v>22.4</c:v>
                </c:pt>
                <c:pt idx="1">
                  <c:v>49.9</c:v>
                </c:pt>
                <c:pt idx="2">
                  <c:v>48.5</c:v>
                </c:pt>
                <c:pt idx="3">
                  <c:v>63.3</c:v>
                </c:pt>
                <c:pt idx="4">
                  <c:v>54</c:v>
                </c:pt>
                <c:pt idx="5">
                  <c:v>38.799999999999997</c:v>
                </c:pt>
                <c:pt idx="6">
                  <c:v>43.6</c:v>
                </c:pt>
                <c:pt idx="7">
                  <c:v>42.4</c:v>
                </c:pt>
                <c:pt idx="8">
                  <c:v>47</c:v>
                </c:pt>
                <c:pt idx="9">
                  <c:v>87.6</c:v>
                </c:pt>
                <c:pt idx="10">
                  <c:v>52.9</c:v>
                </c:pt>
                <c:pt idx="11">
                  <c:v>47.7</c:v>
                </c:pt>
                <c:pt idx="12">
                  <c:v>47.1</c:v>
                </c:pt>
                <c:pt idx="13">
                  <c:v>54.4</c:v>
                </c:pt>
                <c:pt idx="14">
                  <c:v>41.5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55328"/>
        <c:axId val="144356864"/>
      </c:barChart>
      <c:catAx>
        <c:axId val="14435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356864"/>
        <c:crosses val="autoZero"/>
        <c:auto val="1"/>
        <c:lblAlgn val="ctr"/>
        <c:lblOffset val="100"/>
        <c:noMultiLvlLbl val="0"/>
      </c:catAx>
      <c:valAx>
        <c:axId val="1443568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_ " sourceLinked="1"/>
        <c:majorTickMark val="out"/>
        <c:minorTickMark val="none"/>
        <c:tickLblPos val="nextTo"/>
        <c:crossAx val="1443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059864391951"/>
          <c:y val="8.2949475065616798E-2"/>
          <c:w val="0.10273468941382327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860854459666525E-2"/>
          <c:y val="0.10807180062244541"/>
          <c:w val="0.9057031156682106"/>
          <c:h val="0.7891602349211298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第一產業（農林漁牧）</c:v>
                </c:pt>
              </c:strCache>
            </c:strRef>
          </c:tx>
          <c:spPr>
            <a:ln w="31750"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6838489339380036E-2"/>
                  <c:y val="1.6519170204359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0"/>
                  <c:y val="3.7168132959809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工作表1!$A$2:$A$37</c:f>
              <c:numCache>
                <c:formatCode>General</c:formatCode>
                <c:ptCount val="36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</c:numCache>
            </c:numRef>
          </c:cat>
          <c:val>
            <c:numRef>
              <c:f>工作表1!$B$2:$B$37</c:f>
              <c:numCache>
                <c:formatCode>0.0_ </c:formatCode>
                <c:ptCount val="36"/>
                <c:pt idx="0">
                  <c:v>28.188422097980371</c:v>
                </c:pt>
                <c:pt idx="1">
                  <c:v>31.265599692806052</c:v>
                </c:pt>
                <c:pt idx="2">
                  <c:v>30.173881670707186</c:v>
                </c:pt>
                <c:pt idx="3">
                  <c:v>31.880627039226749</c:v>
                </c:pt>
                <c:pt idx="4">
                  <c:v>33.388749565593095</c:v>
                </c:pt>
                <c:pt idx="5">
                  <c:v>33.179710363680584</c:v>
                </c:pt>
                <c:pt idx="6">
                  <c:v>32.131991315265573</c:v>
                </c:pt>
                <c:pt idx="7">
                  <c:v>28.44264222430246</c:v>
                </c:pt>
                <c:pt idx="8">
                  <c:v>27.140059833501702</c:v>
                </c:pt>
                <c:pt idx="9">
                  <c:v>26.811028127596686</c:v>
                </c:pt>
                <c:pt idx="10">
                  <c:v>25.695713968524519</c:v>
                </c:pt>
                <c:pt idx="11">
                  <c:v>25.104988606617578</c:v>
                </c:pt>
                <c:pt idx="12">
                  <c:v>27.116181750199004</c:v>
                </c:pt>
                <c:pt idx="13">
                  <c:v>24.526318205816864</c:v>
                </c:pt>
                <c:pt idx="14">
                  <c:v>21.789902345462028</c:v>
                </c:pt>
                <c:pt idx="15">
                  <c:v>19.708427482713496</c:v>
                </c:pt>
                <c:pt idx="16">
                  <c:v>19.861234502942661</c:v>
                </c:pt>
                <c:pt idx="17">
                  <c:v>19.962272425133314</c:v>
                </c:pt>
                <c:pt idx="18">
                  <c:v>19.69101076632078</c:v>
                </c:pt>
                <c:pt idx="19">
                  <c:v>18.287116500405265</c:v>
                </c:pt>
                <c:pt idx="20">
                  <c:v>17.555959388774806</c:v>
                </c:pt>
                <c:pt idx="21">
                  <c:v>16.470245174211239</c:v>
                </c:pt>
                <c:pt idx="22">
                  <c:v>15.063032589474023</c:v>
                </c:pt>
                <c:pt idx="23">
                  <c:v>14.391724530635447</c:v>
                </c:pt>
                <c:pt idx="24">
                  <c:v>13.742749372593599</c:v>
                </c:pt>
                <c:pt idx="25">
                  <c:v>12.797354434558686</c:v>
                </c:pt>
                <c:pt idx="26">
                  <c:v>13.393140058872266</c:v>
                </c:pt>
                <c:pt idx="27">
                  <c:v>12.123023053696503</c:v>
                </c:pt>
                <c:pt idx="28">
                  <c:v>11.113451839528228</c:v>
                </c:pt>
                <c:pt idx="29">
                  <c:v>10.769710174146367</c:v>
                </c:pt>
                <c:pt idx="30">
                  <c:v>10.731568359393098</c:v>
                </c:pt>
                <c:pt idx="31">
                  <c:v>10.333150377962564</c:v>
                </c:pt>
                <c:pt idx="32">
                  <c:v>10.095219878419815</c:v>
                </c:pt>
                <c:pt idx="33">
                  <c:v>10.037159901717182</c:v>
                </c:pt>
                <c:pt idx="34">
                  <c:v>10.082125997242189</c:v>
                </c:pt>
                <c:pt idx="35">
                  <c:v>10.012741427496595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第二產業（製造業）</c:v>
                </c:pt>
              </c:strCache>
            </c:strRef>
          </c:tx>
          <c:spPr>
            <a:ln w="31750"/>
          </c:spPr>
          <c:marker>
            <c:symbol val="none"/>
          </c:marker>
          <c:dLbls>
            <c:dLbl>
              <c:idx val="0"/>
              <c:layout>
                <c:manualLayout>
                  <c:x val="-2.1649486293488618E-2"/>
                  <c:y val="-2.4778755306539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0"/>
                  <c:y val="3.712871287128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工作表1!$A$2:$A$37</c:f>
              <c:numCache>
                <c:formatCode>General</c:formatCode>
                <c:ptCount val="36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</c:numCache>
            </c:numRef>
          </c:cat>
          <c:val>
            <c:numRef>
              <c:f>工作表1!$C$2:$C$37</c:f>
              <c:numCache>
                <c:formatCode>0.0_ </c:formatCode>
                <c:ptCount val="36"/>
                <c:pt idx="0">
                  <c:v>47.876397035021213</c:v>
                </c:pt>
                <c:pt idx="1">
                  <c:v>47.100610941815304</c:v>
                </c:pt>
                <c:pt idx="2">
                  <c:v>48.222244710292543</c:v>
                </c:pt>
                <c:pt idx="3">
                  <c:v>46.110034426645072</c:v>
                </c:pt>
                <c:pt idx="4">
                  <c:v>44.765044567800352</c:v>
                </c:pt>
                <c:pt idx="5">
                  <c:v>44.379596320428</c:v>
                </c:pt>
                <c:pt idx="6">
                  <c:v>43.08654906666851</c:v>
                </c:pt>
                <c:pt idx="7">
                  <c:v>42.885790213885471</c:v>
                </c:pt>
                <c:pt idx="8">
                  <c:v>43.723808244721745</c:v>
                </c:pt>
                <c:pt idx="9">
                  <c:v>43.550588707497212</c:v>
                </c:pt>
                <c:pt idx="10">
                  <c:v>43.789661778841996</c:v>
                </c:pt>
                <c:pt idx="11">
                  <c:v>42.831114291632929</c:v>
                </c:pt>
                <c:pt idx="12">
                  <c:v>41.340660023505684</c:v>
                </c:pt>
                <c:pt idx="13">
                  <c:v>41.788673874618368</c:v>
                </c:pt>
                <c:pt idx="14">
                  <c:v>43.454635136319673</c:v>
                </c:pt>
                <c:pt idx="15">
                  <c:v>46.56836829879051</c:v>
                </c:pt>
                <c:pt idx="16">
                  <c:v>46.569287516084742</c:v>
                </c:pt>
                <c:pt idx="17">
                  <c:v>47.175029398590937</c:v>
                </c:pt>
                <c:pt idx="18">
                  <c:v>47.53664090960244</c:v>
                </c:pt>
                <c:pt idx="19">
                  <c:v>47.539014268542054</c:v>
                </c:pt>
                <c:pt idx="20">
                  <c:v>46.212246872951781</c:v>
                </c:pt>
                <c:pt idx="21">
                  <c:v>45.757058243998884</c:v>
                </c:pt>
                <c:pt idx="22">
                  <c:v>45.916531395848693</c:v>
                </c:pt>
                <c:pt idx="23">
                  <c:v>45.152718289525247</c:v>
                </c:pt>
                <c:pt idx="24">
                  <c:v>44.789799014714951</c:v>
                </c:pt>
                <c:pt idx="25">
                  <c:v>45.968959841487532</c:v>
                </c:pt>
                <c:pt idx="26">
                  <c:v>46.225342344685338</c:v>
                </c:pt>
                <c:pt idx="27">
                  <c:v>47.366354350124048</c:v>
                </c:pt>
                <c:pt idx="28">
                  <c:v>47.94850718003417</c:v>
                </c:pt>
                <c:pt idx="29">
                  <c:v>47.338780801993721</c:v>
                </c:pt>
                <c:pt idx="30">
                  <c:v>47.446460214370894</c:v>
                </c:pt>
                <c:pt idx="31">
                  <c:v>46.241560754515341</c:v>
                </c:pt>
                <c:pt idx="32">
                  <c:v>46.669299210386313</c:v>
                </c:pt>
                <c:pt idx="33">
                  <c:v>46.588654229444877</c:v>
                </c:pt>
                <c:pt idx="34">
                  <c:v>45.269591069822887</c:v>
                </c:pt>
                <c:pt idx="35">
                  <c:v>43.893209542891292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第三產業（服務業）</c:v>
                </c:pt>
              </c:strCache>
            </c:strRef>
          </c:tx>
          <c:spPr>
            <a:ln w="31750" cmpd="dbl">
              <a:solidFill>
                <a:srgbClr val="3366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4054984770542909E-2"/>
                  <c:y val="4.9557510613079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5"/>
              <c:layout>
                <c:manualLayout>
                  <c:x val="0"/>
                  <c:y val="-2.4778755306539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6600"/>
                    </a:solidFill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工作表1!$A$2:$A$37</c:f>
              <c:numCache>
                <c:formatCode>General</c:formatCode>
                <c:ptCount val="36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</c:numCache>
            </c:numRef>
          </c:cat>
          <c:val>
            <c:numRef>
              <c:f>工作表1!$D$2:$D$37</c:f>
              <c:numCache>
                <c:formatCode>0.0_ </c:formatCode>
                <c:ptCount val="36"/>
                <c:pt idx="0">
                  <c:v>23.934906535133685</c:v>
                </c:pt>
                <c:pt idx="1">
                  <c:v>21.63378936537865</c:v>
                </c:pt>
                <c:pt idx="2">
                  <c:v>21.603873619000268</c:v>
                </c:pt>
                <c:pt idx="3">
                  <c:v>22.009338534128169</c:v>
                </c:pt>
                <c:pt idx="4">
                  <c:v>21.846205866606553</c:v>
                </c:pt>
                <c:pt idx="5">
                  <c:v>22.440693315891423</c:v>
                </c:pt>
                <c:pt idx="6">
                  <c:v>24.781459618065913</c:v>
                </c:pt>
                <c:pt idx="7">
                  <c:v>28.671567561812054</c:v>
                </c:pt>
                <c:pt idx="8">
                  <c:v>29.136131921776553</c:v>
                </c:pt>
                <c:pt idx="9">
                  <c:v>29.638300236677161</c:v>
                </c:pt>
                <c:pt idx="10">
                  <c:v>30.514624252633482</c:v>
                </c:pt>
                <c:pt idx="11">
                  <c:v>32.063897101749497</c:v>
                </c:pt>
                <c:pt idx="12">
                  <c:v>31.543158226295304</c:v>
                </c:pt>
                <c:pt idx="13">
                  <c:v>33.685007919564768</c:v>
                </c:pt>
                <c:pt idx="14">
                  <c:v>34.755462518218295</c:v>
                </c:pt>
                <c:pt idx="15">
                  <c:v>33.723204218495994</c:v>
                </c:pt>
                <c:pt idx="16">
                  <c:v>33.569457233163462</c:v>
                </c:pt>
                <c:pt idx="17">
                  <c:v>32.862698176275742</c:v>
                </c:pt>
                <c:pt idx="18">
                  <c:v>32.772348324076781</c:v>
                </c:pt>
                <c:pt idx="19">
                  <c:v>34.173881893603422</c:v>
                </c:pt>
                <c:pt idx="20">
                  <c:v>36.231805586294591</c:v>
                </c:pt>
                <c:pt idx="21">
                  <c:v>37.77269658178988</c:v>
                </c:pt>
                <c:pt idx="22">
                  <c:v>39.02043601467728</c:v>
                </c:pt>
                <c:pt idx="23">
                  <c:v>40.45555717983931</c:v>
                </c:pt>
                <c:pt idx="24">
                  <c:v>41.467451612691448</c:v>
                </c:pt>
                <c:pt idx="25">
                  <c:v>41.233685723953776</c:v>
                </c:pt>
                <c:pt idx="26">
                  <c:v>40.381511341686441</c:v>
                </c:pt>
                <c:pt idx="27">
                  <c:v>40.510622596179452</c:v>
                </c:pt>
                <c:pt idx="28">
                  <c:v>40.938036357537499</c:v>
                </c:pt>
                <c:pt idx="29">
                  <c:v>41.891509023859911</c:v>
                </c:pt>
                <c:pt idx="30">
                  <c:v>41.821971426236004</c:v>
                </c:pt>
                <c:pt idx="31">
                  <c:v>43.425291800909477</c:v>
                </c:pt>
                <c:pt idx="32">
                  <c:v>43.235478420613241</c:v>
                </c:pt>
                <c:pt idx="33">
                  <c:v>43.374183755138006</c:v>
                </c:pt>
                <c:pt idx="34">
                  <c:v>44.648282932934933</c:v>
                </c:pt>
                <c:pt idx="35">
                  <c:v>46.094049029612115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179968"/>
        <c:axId val="146181504"/>
      </c:lineChart>
      <c:catAx>
        <c:axId val="1461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81504"/>
        <c:crosses val="autoZero"/>
        <c:auto val="1"/>
        <c:lblAlgn val="ctr"/>
        <c:lblOffset val="100"/>
        <c:tickLblSkip val="5"/>
        <c:noMultiLvlLbl val="0"/>
      </c:catAx>
      <c:valAx>
        <c:axId val="146181504"/>
        <c:scaling>
          <c:orientation val="minMax"/>
          <c:max val="60"/>
        </c:scaling>
        <c:delete val="0"/>
        <c:axPos val="l"/>
        <c:numFmt formatCode="0_ " sourceLinked="0"/>
        <c:majorTickMark val="out"/>
        <c:minorTickMark val="none"/>
        <c:tickLblPos val="nextTo"/>
        <c:crossAx val="1461799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5740163168262769E-2"/>
          <c:y val="2.4778755306539543E-2"/>
          <c:w val="0.92211929143338178"/>
          <c:h val="0.14316267317894846"/>
        </c:manualLayout>
      </c:layout>
      <c:overlay val="0"/>
      <c:txPr>
        <a:bodyPr/>
        <a:lstStyle/>
        <a:p>
          <a:pPr>
            <a:defRPr sz="900"/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0.12547462817147856"/>
          <c:w val="0.8624676290463692"/>
          <c:h val="0.78169364246135897"/>
        </c:manualLayout>
      </c:layout>
      <c:areaChart>
        <c:grouping val="standard"/>
        <c:varyColors val="0"/>
        <c:ser>
          <c:idx val="0"/>
          <c:order val="0"/>
          <c:tx>
            <c:strRef>
              <c:f>'M1(CEIC)'!$H$1</c:f>
              <c:strCache>
                <c:ptCount val="1"/>
                <c:pt idx="0">
                  <c:v>M1(左軸)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cat>
            <c:numRef>
              <c:f>'M1(CEIC)'!$Q$14:$Q$85</c:f>
              <c:numCache>
                <c:formatCode>\ [$-1028]yyyy/m</c:formatCode>
                <c:ptCount val="72"/>
                <c:pt idx="0">
                  <c:v>39814</c:v>
                </c:pt>
                <c:pt idx="1">
                  <c:v>39845</c:v>
                </c:pt>
                <c:pt idx="2">
                  <c:v>39873</c:v>
                </c:pt>
                <c:pt idx="3">
                  <c:v>39904</c:v>
                </c:pt>
                <c:pt idx="4">
                  <c:v>39934</c:v>
                </c:pt>
                <c:pt idx="5">
                  <c:v>39965</c:v>
                </c:pt>
                <c:pt idx="6">
                  <c:v>39995</c:v>
                </c:pt>
                <c:pt idx="7">
                  <c:v>40026</c:v>
                </c:pt>
                <c:pt idx="8">
                  <c:v>40057</c:v>
                </c:pt>
                <c:pt idx="9">
                  <c:v>40087</c:v>
                </c:pt>
                <c:pt idx="10">
                  <c:v>40118</c:v>
                </c:pt>
                <c:pt idx="11">
                  <c:v>40148</c:v>
                </c:pt>
                <c:pt idx="12">
                  <c:v>40179</c:v>
                </c:pt>
                <c:pt idx="13">
                  <c:v>40210</c:v>
                </c:pt>
                <c:pt idx="14">
                  <c:v>40238</c:v>
                </c:pt>
                <c:pt idx="15">
                  <c:v>40269</c:v>
                </c:pt>
                <c:pt idx="16">
                  <c:v>40299</c:v>
                </c:pt>
                <c:pt idx="17">
                  <c:v>40330</c:v>
                </c:pt>
                <c:pt idx="18">
                  <c:v>40360</c:v>
                </c:pt>
                <c:pt idx="19">
                  <c:v>40391</c:v>
                </c:pt>
                <c:pt idx="20">
                  <c:v>40422</c:v>
                </c:pt>
                <c:pt idx="21">
                  <c:v>40452</c:v>
                </c:pt>
                <c:pt idx="22">
                  <c:v>40483</c:v>
                </c:pt>
                <c:pt idx="23">
                  <c:v>40513</c:v>
                </c:pt>
                <c:pt idx="24">
                  <c:v>40544</c:v>
                </c:pt>
                <c:pt idx="25">
                  <c:v>40575</c:v>
                </c:pt>
                <c:pt idx="26">
                  <c:v>40603</c:v>
                </c:pt>
                <c:pt idx="27">
                  <c:v>40634</c:v>
                </c:pt>
                <c:pt idx="28">
                  <c:v>40664</c:v>
                </c:pt>
                <c:pt idx="29">
                  <c:v>40695</c:v>
                </c:pt>
                <c:pt idx="30">
                  <c:v>40725</c:v>
                </c:pt>
                <c:pt idx="31">
                  <c:v>40756</c:v>
                </c:pt>
                <c:pt idx="32">
                  <c:v>40787</c:v>
                </c:pt>
                <c:pt idx="33">
                  <c:v>40817</c:v>
                </c:pt>
                <c:pt idx="34">
                  <c:v>40848</c:v>
                </c:pt>
                <c:pt idx="35">
                  <c:v>40878</c:v>
                </c:pt>
                <c:pt idx="36">
                  <c:v>40909</c:v>
                </c:pt>
                <c:pt idx="37">
                  <c:v>40940</c:v>
                </c:pt>
                <c:pt idx="38">
                  <c:v>40969</c:v>
                </c:pt>
                <c:pt idx="39">
                  <c:v>41000</c:v>
                </c:pt>
                <c:pt idx="40">
                  <c:v>41030</c:v>
                </c:pt>
                <c:pt idx="41">
                  <c:v>41061</c:v>
                </c:pt>
                <c:pt idx="42">
                  <c:v>41091</c:v>
                </c:pt>
                <c:pt idx="43">
                  <c:v>41122</c:v>
                </c:pt>
                <c:pt idx="44">
                  <c:v>41153</c:v>
                </c:pt>
                <c:pt idx="45">
                  <c:v>41183</c:v>
                </c:pt>
                <c:pt idx="46">
                  <c:v>41214</c:v>
                </c:pt>
                <c:pt idx="47">
                  <c:v>41244</c:v>
                </c:pt>
                <c:pt idx="48">
                  <c:v>41275</c:v>
                </c:pt>
                <c:pt idx="49">
                  <c:v>41306</c:v>
                </c:pt>
                <c:pt idx="50">
                  <c:v>41334</c:v>
                </c:pt>
                <c:pt idx="51">
                  <c:v>41365</c:v>
                </c:pt>
                <c:pt idx="52">
                  <c:v>41395</c:v>
                </c:pt>
                <c:pt idx="53">
                  <c:v>41426</c:v>
                </c:pt>
                <c:pt idx="54">
                  <c:v>41456</c:v>
                </c:pt>
                <c:pt idx="55">
                  <c:v>41487</c:v>
                </c:pt>
                <c:pt idx="56">
                  <c:v>41518</c:v>
                </c:pt>
                <c:pt idx="57">
                  <c:v>41548</c:v>
                </c:pt>
                <c:pt idx="58">
                  <c:v>41579</c:v>
                </c:pt>
                <c:pt idx="59">
                  <c:v>41609</c:v>
                </c:pt>
                <c:pt idx="60">
                  <c:v>41640</c:v>
                </c:pt>
                <c:pt idx="61">
                  <c:v>41671</c:v>
                </c:pt>
                <c:pt idx="62">
                  <c:v>41699</c:v>
                </c:pt>
                <c:pt idx="63">
                  <c:v>41730</c:v>
                </c:pt>
                <c:pt idx="64">
                  <c:v>41760</c:v>
                </c:pt>
                <c:pt idx="65">
                  <c:v>41791</c:v>
                </c:pt>
                <c:pt idx="66">
                  <c:v>41821</c:v>
                </c:pt>
                <c:pt idx="67">
                  <c:v>41852</c:v>
                </c:pt>
                <c:pt idx="68">
                  <c:v>41883</c:v>
                </c:pt>
                <c:pt idx="69">
                  <c:v>41913</c:v>
                </c:pt>
                <c:pt idx="70">
                  <c:v>41944</c:v>
                </c:pt>
                <c:pt idx="71">
                  <c:v>41974</c:v>
                </c:pt>
              </c:numCache>
            </c:numRef>
          </c:cat>
          <c:val>
            <c:numRef>
              <c:f>'M1(CEIC)'!$T$14:$T$85</c:f>
              <c:numCache>
                <c:formatCode>0_ </c:formatCode>
                <c:ptCount val="72"/>
                <c:pt idx="0">
                  <c:v>16.521434133350002</c:v>
                </c:pt>
                <c:pt idx="1">
                  <c:v>16.614960118840003</c:v>
                </c:pt>
                <c:pt idx="2">
                  <c:v>17.654113133199999</c:v>
                </c:pt>
                <c:pt idx="3">
                  <c:v>17.821356827029998</c:v>
                </c:pt>
                <c:pt idx="4">
                  <c:v>18.202558</c:v>
                </c:pt>
                <c:pt idx="5">
                  <c:v>19.313814999999998</c:v>
                </c:pt>
                <c:pt idx="6">
                  <c:v>19.588926999999998</c:v>
                </c:pt>
                <c:pt idx="7">
                  <c:v>20.03948261</c:v>
                </c:pt>
                <c:pt idx="8">
                  <c:v>20.170813975479998</c:v>
                </c:pt>
                <c:pt idx="9">
                  <c:v>20.75457431237</c:v>
                </c:pt>
                <c:pt idx="10">
                  <c:v>21.249320374909999</c:v>
                </c:pt>
                <c:pt idx="11">
                  <c:v>22.144580999999999</c:v>
                </c:pt>
                <c:pt idx="12">
                  <c:v>22.958898000000001</c:v>
                </c:pt>
                <c:pt idx="13">
                  <c:v>22.428695438609999</c:v>
                </c:pt>
                <c:pt idx="14">
                  <c:v>22.939793320910002</c:v>
                </c:pt>
                <c:pt idx="15">
                  <c:v>23.39097597112</c:v>
                </c:pt>
                <c:pt idx="16">
                  <c:v>23.649788313129999</c:v>
                </c:pt>
                <c:pt idx="17">
                  <c:v>24.05799975</c:v>
                </c:pt>
                <c:pt idx="18">
                  <c:v>24.066406960590001</c:v>
                </c:pt>
                <c:pt idx="19">
                  <c:v>24.434064211180001</c:v>
                </c:pt>
                <c:pt idx="20">
                  <c:v>24.382189999999998</c:v>
                </c:pt>
                <c:pt idx="21">
                  <c:v>25.331316925140001</c:v>
                </c:pt>
                <c:pt idx="22">
                  <c:v>25.942031999999998</c:v>
                </c:pt>
                <c:pt idx="23">
                  <c:v>26.662153999999997</c:v>
                </c:pt>
                <c:pt idx="24">
                  <c:v>26.176500600000001</c:v>
                </c:pt>
                <c:pt idx="25">
                  <c:v>25.92004996</c:v>
                </c:pt>
                <c:pt idx="26">
                  <c:v>26.625547999999998</c:v>
                </c:pt>
                <c:pt idx="27">
                  <c:v>26.676691454470003</c:v>
                </c:pt>
                <c:pt idx="28">
                  <c:v>26.928962552730002</c:v>
                </c:pt>
                <c:pt idx="29">
                  <c:v>27.466257000000002</c:v>
                </c:pt>
                <c:pt idx="30">
                  <c:v>27.054565497880002</c:v>
                </c:pt>
                <c:pt idx="31">
                  <c:v>27.33937738386</c:v>
                </c:pt>
                <c:pt idx="32">
                  <c:v>26.719316132349999</c:v>
                </c:pt>
                <c:pt idx="33">
                  <c:v>27.655267107229999</c:v>
                </c:pt>
                <c:pt idx="34">
                  <c:v>28.141637250479999</c:v>
                </c:pt>
                <c:pt idx="35">
                  <c:v>28.984769658169999</c:v>
                </c:pt>
                <c:pt idx="36">
                  <c:v>27.001039710939999</c:v>
                </c:pt>
                <c:pt idx="37">
                  <c:v>27.031210999999999</c:v>
                </c:pt>
                <c:pt idx="38">
                  <c:v>27.799811397079999</c:v>
                </c:pt>
                <c:pt idx="39">
                  <c:v>27.498382469999999</c:v>
                </c:pt>
                <c:pt idx="40">
                  <c:v>27.86563104295</c:v>
                </c:pt>
                <c:pt idx="41">
                  <c:v>28.752616999999997</c:v>
                </c:pt>
                <c:pt idx="42">
                  <c:v>28.309068089209998</c:v>
                </c:pt>
                <c:pt idx="43">
                  <c:v>28.573926528360001</c:v>
                </c:pt>
                <c:pt idx="44">
                  <c:v>28.678820605609999</c:v>
                </c:pt>
                <c:pt idx="45">
                  <c:v>29.330978487140001</c:v>
                </c:pt>
                <c:pt idx="46">
                  <c:v>29.688304552320002</c:v>
                </c:pt>
                <c:pt idx="47">
                  <c:v>30.866423124820002</c:v>
                </c:pt>
                <c:pt idx="48">
                  <c:v>31.122854569819999</c:v>
                </c:pt>
                <c:pt idx="49">
                  <c:v>29.6103237184</c:v>
                </c:pt>
                <c:pt idx="50">
                  <c:v>31.089829314750002</c:v>
                </c:pt>
                <c:pt idx="51">
                  <c:v>30.76484202428</c:v>
                </c:pt>
                <c:pt idx="52">
                  <c:v>31.020447836210003</c:v>
                </c:pt>
                <c:pt idx="53">
                  <c:v>31.349982000000001</c:v>
                </c:pt>
                <c:pt idx="54">
                  <c:v>31.059646349999998</c:v>
                </c:pt>
                <c:pt idx="55">
                  <c:v>31.4085908309</c:v>
                </c:pt>
                <c:pt idx="56">
                  <c:v>31.233034331020001</c:v>
                </c:pt>
                <c:pt idx="57">
                  <c:v>31.95093799699</c:v>
                </c:pt>
                <c:pt idx="58">
                  <c:v>32.482192275239996</c:v>
                </c:pt>
                <c:pt idx="59">
                  <c:v>33.729105049659999</c:v>
                </c:pt>
                <c:pt idx="60">
                  <c:v>31.490055248529998</c:v>
                </c:pt>
                <c:pt idx="61">
                  <c:v>31.662511394509998</c:v>
                </c:pt>
                <c:pt idx="62">
                  <c:v>32.768374477560002</c:v>
                </c:pt>
                <c:pt idx="63">
                  <c:v>32.448251989189998</c:v>
                </c:pt>
                <c:pt idx="64">
                  <c:v>32.783956496289996</c:v>
                </c:pt>
                <c:pt idx="65">
                  <c:v>34.148744548190002</c:v>
                </c:pt>
                <c:pt idx="66">
                  <c:v>33.134731653449997</c:v>
                </c:pt>
                <c:pt idx="67">
                  <c:v>33.202322514740004</c:v>
                </c:pt>
                <c:pt idx="68">
                  <c:v>32.722020786670001</c:v>
                </c:pt>
                <c:pt idx="69">
                  <c:v>32.961773208389999</c:v>
                </c:pt>
                <c:pt idx="70">
                  <c:v>33.511413473350004</c:v>
                </c:pt>
                <c:pt idx="71">
                  <c:v>34.8056408948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369600"/>
        <c:axId val="129371136"/>
      </c:areaChart>
      <c:lineChart>
        <c:grouping val="standard"/>
        <c:varyColors val="0"/>
        <c:ser>
          <c:idx val="1"/>
          <c:order val="1"/>
          <c:tx>
            <c:strRef>
              <c:f>'M1(CEIC)'!$I$1</c:f>
              <c:strCache>
                <c:ptCount val="1"/>
                <c:pt idx="0">
                  <c:v>M1同比(右軸)</c:v>
                </c:pt>
              </c:strCache>
            </c:strRef>
          </c:tx>
          <c:marker>
            <c:symbol val="none"/>
          </c:marker>
          <c:cat>
            <c:numRef>
              <c:f>'M1(CEIC)'!$Q$14:$Q$85</c:f>
              <c:numCache>
                <c:formatCode>\ [$-1028]yyyy/m</c:formatCode>
                <c:ptCount val="72"/>
                <c:pt idx="0">
                  <c:v>39814</c:v>
                </c:pt>
                <c:pt idx="1">
                  <c:v>39845</c:v>
                </c:pt>
                <c:pt idx="2">
                  <c:v>39873</c:v>
                </c:pt>
                <c:pt idx="3">
                  <c:v>39904</c:v>
                </c:pt>
                <c:pt idx="4">
                  <c:v>39934</c:v>
                </c:pt>
                <c:pt idx="5">
                  <c:v>39965</c:v>
                </c:pt>
                <c:pt idx="6">
                  <c:v>39995</c:v>
                </c:pt>
                <c:pt idx="7">
                  <c:v>40026</c:v>
                </c:pt>
                <c:pt idx="8">
                  <c:v>40057</c:v>
                </c:pt>
                <c:pt idx="9">
                  <c:v>40087</c:v>
                </c:pt>
                <c:pt idx="10">
                  <c:v>40118</c:v>
                </c:pt>
                <c:pt idx="11">
                  <c:v>40148</c:v>
                </c:pt>
                <c:pt idx="12">
                  <c:v>40179</c:v>
                </c:pt>
                <c:pt idx="13">
                  <c:v>40210</c:v>
                </c:pt>
                <c:pt idx="14">
                  <c:v>40238</c:v>
                </c:pt>
                <c:pt idx="15">
                  <c:v>40269</c:v>
                </c:pt>
                <c:pt idx="16">
                  <c:v>40299</c:v>
                </c:pt>
                <c:pt idx="17">
                  <c:v>40330</c:v>
                </c:pt>
                <c:pt idx="18">
                  <c:v>40360</c:v>
                </c:pt>
                <c:pt idx="19">
                  <c:v>40391</c:v>
                </c:pt>
                <c:pt idx="20">
                  <c:v>40422</c:v>
                </c:pt>
                <c:pt idx="21">
                  <c:v>40452</c:v>
                </c:pt>
                <c:pt idx="22">
                  <c:v>40483</c:v>
                </c:pt>
                <c:pt idx="23">
                  <c:v>40513</c:v>
                </c:pt>
                <c:pt idx="24">
                  <c:v>40544</c:v>
                </c:pt>
                <c:pt idx="25">
                  <c:v>40575</c:v>
                </c:pt>
                <c:pt idx="26">
                  <c:v>40603</c:v>
                </c:pt>
                <c:pt idx="27">
                  <c:v>40634</c:v>
                </c:pt>
                <c:pt idx="28">
                  <c:v>40664</c:v>
                </c:pt>
                <c:pt idx="29">
                  <c:v>40695</c:v>
                </c:pt>
                <c:pt idx="30">
                  <c:v>40725</c:v>
                </c:pt>
                <c:pt idx="31">
                  <c:v>40756</c:v>
                </c:pt>
                <c:pt idx="32">
                  <c:v>40787</c:v>
                </c:pt>
                <c:pt idx="33">
                  <c:v>40817</c:v>
                </c:pt>
                <c:pt idx="34">
                  <c:v>40848</c:v>
                </c:pt>
                <c:pt idx="35">
                  <c:v>40878</c:v>
                </c:pt>
                <c:pt idx="36">
                  <c:v>40909</c:v>
                </c:pt>
                <c:pt idx="37">
                  <c:v>40940</c:v>
                </c:pt>
                <c:pt idx="38">
                  <c:v>40969</c:v>
                </c:pt>
                <c:pt idx="39">
                  <c:v>41000</c:v>
                </c:pt>
                <c:pt idx="40">
                  <c:v>41030</c:v>
                </c:pt>
                <c:pt idx="41">
                  <c:v>41061</c:v>
                </c:pt>
                <c:pt idx="42">
                  <c:v>41091</c:v>
                </c:pt>
                <c:pt idx="43">
                  <c:v>41122</c:v>
                </c:pt>
                <c:pt idx="44">
                  <c:v>41153</c:v>
                </c:pt>
                <c:pt idx="45">
                  <c:v>41183</c:v>
                </c:pt>
                <c:pt idx="46">
                  <c:v>41214</c:v>
                </c:pt>
                <c:pt idx="47">
                  <c:v>41244</c:v>
                </c:pt>
                <c:pt idx="48">
                  <c:v>41275</c:v>
                </c:pt>
                <c:pt idx="49">
                  <c:v>41306</c:v>
                </c:pt>
                <c:pt idx="50">
                  <c:v>41334</c:v>
                </c:pt>
                <c:pt idx="51">
                  <c:v>41365</c:v>
                </c:pt>
                <c:pt idx="52">
                  <c:v>41395</c:v>
                </c:pt>
                <c:pt idx="53">
                  <c:v>41426</c:v>
                </c:pt>
                <c:pt idx="54">
                  <c:v>41456</c:v>
                </c:pt>
                <c:pt idx="55">
                  <c:v>41487</c:v>
                </c:pt>
                <c:pt idx="56">
                  <c:v>41518</c:v>
                </c:pt>
                <c:pt idx="57">
                  <c:v>41548</c:v>
                </c:pt>
                <c:pt idx="58">
                  <c:v>41579</c:v>
                </c:pt>
                <c:pt idx="59">
                  <c:v>41609</c:v>
                </c:pt>
                <c:pt idx="60">
                  <c:v>41640</c:v>
                </c:pt>
                <c:pt idx="61">
                  <c:v>41671</c:v>
                </c:pt>
                <c:pt idx="62">
                  <c:v>41699</c:v>
                </c:pt>
                <c:pt idx="63">
                  <c:v>41730</c:v>
                </c:pt>
                <c:pt idx="64">
                  <c:v>41760</c:v>
                </c:pt>
                <c:pt idx="65">
                  <c:v>41791</c:v>
                </c:pt>
                <c:pt idx="66">
                  <c:v>41821</c:v>
                </c:pt>
                <c:pt idx="67">
                  <c:v>41852</c:v>
                </c:pt>
                <c:pt idx="68">
                  <c:v>41883</c:v>
                </c:pt>
                <c:pt idx="69">
                  <c:v>41913</c:v>
                </c:pt>
                <c:pt idx="70">
                  <c:v>41944</c:v>
                </c:pt>
                <c:pt idx="71">
                  <c:v>41974</c:v>
                </c:pt>
              </c:numCache>
            </c:numRef>
          </c:cat>
          <c:val>
            <c:numRef>
              <c:f>'M1(CEIC)'!$S$14:$S$85</c:f>
              <c:numCache>
                <c:formatCode>#,##0.000</c:formatCode>
                <c:ptCount val="72"/>
                <c:pt idx="0">
                  <c:v>6.68</c:v>
                </c:pt>
                <c:pt idx="1">
                  <c:v>10.63</c:v>
                </c:pt>
                <c:pt idx="2">
                  <c:v>17.04</c:v>
                </c:pt>
                <c:pt idx="3">
                  <c:v>17.48</c:v>
                </c:pt>
                <c:pt idx="4">
                  <c:v>18.690000000000001</c:v>
                </c:pt>
                <c:pt idx="5">
                  <c:v>24.79</c:v>
                </c:pt>
                <c:pt idx="6">
                  <c:v>26.37</c:v>
                </c:pt>
                <c:pt idx="7">
                  <c:v>27.72</c:v>
                </c:pt>
                <c:pt idx="8">
                  <c:v>29.51</c:v>
                </c:pt>
                <c:pt idx="9">
                  <c:v>32.03</c:v>
                </c:pt>
                <c:pt idx="10">
                  <c:v>34.630000000000003</c:v>
                </c:pt>
                <c:pt idx="11">
                  <c:v>32.35</c:v>
                </c:pt>
                <c:pt idx="12">
                  <c:v>38.96</c:v>
                </c:pt>
                <c:pt idx="13">
                  <c:v>34.99</c:v>
                </c:pt>
                <c:pt idx="14">
                  <c:v>29.94</c:v>
                </c:pt>
                <c:pt idx="15">
                  <c:v>31.25</c:v>
                </c:pt>
                <c:pt idx="16">
                  <c:v>29.93</c:v>
                </c:pt>
                <c:pt idx="17">
                  <c:v>24.56</c:v>
                </c:pt>
                <c:pt idx="18">
                  <c:v>22.86</c:v>
                </c:pt>
                <c:pt idx="19">
                  <c:v>21.93</c:v>
                </c:pt>
                <c:pt idx="20">
                  <c:v>20.87</c:v>
                </c:pt>
                <c:pt idx="21">
                  <c:v>22.1</c:v>
                </c:pt>
                <c:pt idx="22">
                  <c:v>22.07</c:v>
                </c:pt>
                <c:pt idx="23">
                  <c:v>21.19</c:v>
                </c:pt>
                <c:pt idx="24">
                  <c:v>13.55</c:v>
                </c:pt>
                <c:pt idx="25">
                  <c:v>14.49</c:v>
                </c:pt>
                <c:pt idx="26">
                  <c:v>15.01</c:v>
                </c:pt>
                <c:pt idx="27">
                  <c:v>12.89</c:v>
                </c:pt>
                <c:pt idx="28">
                  <c:v>12.68</c:v>
                </c:pt>
                <c:pt idx="29">
                  <c:v>13.05</c:v>
                </c:pt>
                <c:pt idx="30">
                  <c:v>11.56</c:v>
                </c:pt>
                <c:pt idx="31">
                  <c:v>11.2</c:v>
                </c:pt>
                <c:pt idx="32">
                  <c:v>8.85</c:v>
                </c:pt>
                <c:pt idx="33">
                  <c:v>8.42</c:v>
                </c:pt>
                <c:pt idx="34">
                  <c:v>7.77</c:v>
                </c:pt>
                <c:pt idx="35">
                  <c:v>7.85</c:v>
                </c:pt>
                <c:pt idx="36">
                  <c:v>3.15</c:v>
                </c:pt>
                <c:pt idx="37">
                  <c:v>4.29</c:v>
                </c:pt>
                <c:pt idx="38">
                  <c:v>4.41</c:v>
                </c:pt>
                <c:pt idx="39">
                  <c:v>3.08</c:v>
                </c:pt>
                <c:pt idx="40">
                  <c:v>3.48</c:v>
                </c:pt>
                <c:pt idx="41">
                  <c:v>4.68</c:v>
                </c:pt>
                <c:pt idx="42">
                  <c:v>4.6399999999999997</c:v>
                </c:pt>
                <c:pt idx="43">
                  <c:v>4.5199999999999996</c:v>
                </c:pt>
                <c:pt idx="44">
                  <c:v>7.33</c:v>
                </c:pt>
                <c:pt idx="45">
                  <c:v>6.06</c:v>
                </c:pt>
                <c:pt idx="46">
                  <c:v>5.5</c:v>
                </c:pt>
                <c:pt idx="47">
                  <c:v>6.49</c:v>
                </c:pt>
                <c:pt idx="48">
                  <c:v>15.27</c:v>
                </c:pt>
                <c:pt idx="49">
                  <c:v>9.5399999999999991</c:v>
                </c:pt>
                <c:pt idx="50">
                  <c:v>11.83</c:v>
                </c:pt>
                <c:pt idx="51">
                  <c:v>11.88</c:v>
                </c:pt>
                <c:pt idx="52">
                  <c:v>11.32</c:v>
                </c:pt>
                <c:pt idx="53">
                  <c:v>9.0299999999999994</c:v>
                </c:pt>
                <c:pt idx="54">
                  <c:v>9.7200000000000006</c:v>
                </c:pt>
                <c:pt idx="55">
                  <c:v>9.92</c:v>
                </c:pt>
                <c:pt idx="56">
                  <c:v>8.91</c:v>
                </c:pt>
                <c:pt idx="57">
                  <c:v>8.91</c:v>
                </c:pt>
                <c:pt idx="58">
                  <c:v>9.41</c:v>
                </c:pt>
                <c:pt idx="59">
                  <c:v>9.27</c:v>
                </c:pt>
                <c:pt idx="60">
                  <c:v>1.18</c:v>
                </c:pt>
                <c:pt idx="61">
                  <c:v>6.93</c:v>
                </c:pt>
                <c:pt idx="62">
                  <c:v>5.4</c:v>
                </c:pt>
                <c:pt idx="63">
                  <c:v>5.47</c:v>
                </c:pt>
                <c:pt idx="64">
                  <c:v>5.68</c:v>
                </c:pt>
                <c:pt idx="65">
                  <c:v>8.93</c:v>
                </c:pt>
                <c:pt idx="66">
                  <c:v>6.68</c:v>
                </c:pt>
                <c:pt idx="67">
                  <c:v>5.71</c:v>
                </c:pt>
                <c:pt idx="68">
                  <c:v>4.7699999999999996</c:v>
                </c:pt>
                <c:pt idx="69">
                  <c:v>3.16</c:v>
                </c:pt>
                <c:pt idx="70">
                  <c:v>3.17</c:v>
                </c:pt>
                <c:pt idx="71">
                  <c:v>3.19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82656"/>
        <c:axId val="129381120"/>
      </c:lineChart>
      <c:dateAx>
        <c:axId val="129369600"/>
        <c:scaling>
          <c:orientation val="minMax"/>
        </c:scaling>
        <c:delete val="0"/>
        <c:axPos val="b"/>
        <c:numFmt formatCode="yyyy;@" sourceLinked="0"/>
        <c:majorTickMark val="out"/>
        <c:minorTickMark val="none"/>
        <c:tickLblPos val="nextTo"/>
        <c:crossAx val="129371136"/>
        <c:crosses val="autoZero"/>
        <c:auto val="1"/>
        <c:lblOffset val="100"/>
        <c:baseTimeUnit val="months"/>
        <c:majorUnit val="1"/>
        <c:majorTimeUnit val="years"/>
      </c:dateAx>
      <c:valAx>
        <c:axId val="129371136"/>
        <c:scaling>
          <c:orientation val="minMax"/>
        </c:scaling>
        <c:delete val="0"/>
        <c:axPos val="l"/>
        <c:majorGridlines/>
        <c:numFmt formatCode="0_ " sourceLinked="1"/>
        <c:majorTickMark val="out"/>
        <c:minorTickMark val="none"/>
        <c:tickLblPos val="nextTo"/>
        <c:crossAx val="129369600"/>
        <c:crosses val="autoZero"/>
        <c:crossBetween val="between"/>
      </c:valAx>
      <c:valAx>
        <c:axId val="129381120"/>
        <c:scaling>
          <c:orientation val="minMax"/>
        </c:scaling>
        <c:delete val="0"/>
        <c:axPos val="r"/>
        <c:numFmt formatCode="#,##0" sourceLinked="0"/>
        <c:majorTickMark val="out"/>
        <c:minorTickMark val="none"/>
        <c:tickLblPos val="nextTo"/>
        <c:crossAx val="129382656"/>
        <c:crosses val="max"/>
        <c:crossBetween val="between"/>
      </c:valAx>
      <c:dateAx>
        <c:axId val="129382656"/>
        <c:scaling>
          <c:orientation val="minMax"/>
        </c:scaling>
        <c:delete val="1"/>
        <c:axPos val="b"/>
        <c:numFmt formatCode="\ [$-1028]yyyy/m" sourceLinked="1"/>
        <c:majorTickMark val="out"/>
        <c:minorTickMark val="none"/>
        <c:tickLblPos val="nextTo"/>
        <c:crossAx val="129381120"/>
        <c:crosses val="autoZero"/>
        <c:auto val="1"/>
        <c:lblOffset val="100"/>
        <c:baseTimeUnit val="months"/>
      </c:dateAx>
    </c:plotArea>
    <c:legend>
      <c:legendPos val="t"/>
      <c:layout>
        <c:manualLayout>
          <c:xMode val="edge"/>
          <c:yMode val="edge"/>
          <c:x val="5.7784449792440636E-2"/>
          <c:y val="3.5211267605633804E-2"/>
          <c:w val="0.87453990358030176"/>
          <c:h val="0.1061203837196406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0.12547462817147856"/>
          <c:w val="0.8624676290463692"/>
          <c:h val="0.78169364246135897"/>
        </c:manualLayout>
      </c:layout>
      <c:areaChart>
        <c:grouping val="standard"/>
        <c:varyColors val="0"/>
        <c:ser>
          <c:idx val="0"/>
          <c:order val="0"/>
          <c:tx>
            <c:strRef>
              <c:f>'M2(CEIC)'!$D$2</c:f>
              <c:strCache>
                <c:ptCount val="1"/>
                <c:pt idx="0">
                  <c:v>M2(左軸)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cat>
            <c:numRef>
              <c:f>'M2(CEIC)'!$A$15:$A$86</c:f>
              <c:numCache>
                <c:formatCode>\ [$-1028]yyyy/m</c:formatCode>
                <c:ptCount val="72"/>
                <c:pt idx="0">
                  <c:v>39814</c:v>
                </c:pt>
                <c:pt idx="1">
                  <c:v>39845</c:v>
                </c:pt>
                <c:pt idx="2">
                  <c:v>39873</c:v>
                </c:pt>
                <c:pt idx="3">
                  <c:v>39904</c:v>
                </c:pt>
                <c:pt idx="4">
                  <c:v>39934</c:v>
                </c:pt>
                <c:pt idx="5">
                  <c:v>39965</c:v>
                </c:pt>
                <c:pt idx="6">
                  <c:v>39995</c:v>
                </c:pt>
                <c:pt idx="7">
                  <c:v>40026</c:v>
                </c:pt>
                <c:pt idx="8">
                  <c:v>40057</c:v>
                </c:pt>
                <c:pt idx="9">
                  <c:v>40087</c:v>
                </c:pt>
                <c:pt idx="10">
                  <c:v>40118</c:v>
                </c:pt>
                <c:pt idx="11">
                  <c:v>40148</c:v>
                </c:pt>
                <c:pt idx="12">
                  <c:v>40179</c:v>
                </c:pt>
                <c:pt idx="13">
                  <c:v>40210</c:v>
                </c:pt>
                <c:pt idx="14">
                  <c:v>40238</c:v>
                </c:pt>
                <c:pt idx="15">
                  <c:v>40269</c:v>
                </c:pt>
                <c:pt idx="16">
                  <c:v>40299</c:v>
                </c:pt>
                <c:pt idx="17">
                  <c:v>40330</c:v>
                </c:pt>
                <c:pt idx="18">
                  <c:v>40360</c:v>
                </c:pt>
                <c:pt idx="19">
                  <c:v>40391</c:v>
                </c:pt>
                <c:pt idx="20">
                  <c:v>40422</c:v>
                </c:pt>
                <c:pt idx="21">
                  <c:v>40452</c:v>
                </c:pt>
                <c:pt idx="22">
                  <c:v>40483</c:v>
                </c:pt>
                <c:pt idx="23">
                  <c:v>40513</c:v>
                </c:pt>
                <c:pt idx="24">
                  <c:v>40544</c:v>
                </c:pt>
                <c:pt idx="25">
                  <c:v>40575</c:v>
                </c:pt>
                <c:pt idx="26">
                  <c:v>40603</c:v>
                </c:pt>
                <c:pt idx="27">
                  <c:v>40634</c:v>
                </c:pt>
                <c:pt idx="28">
                  <c:v>40664</c:v>
                </c:pt>
                <c:pt idx="29">
                  <c:v>40695</c:v>
                </c:pt>
                <c:pt idx="30">
                  <c:v>40725</c:v>
                </c:pt>
                <c:pt idx="31">
                  <c:v>40756</c:v>
                </c:pt>
                <c:pt idx="32">
                  <c:v>40787</c:v>
                </c:pt>
                <c:pt idx="33">
                  <c:v>40817</c:v>
                </c:pt>
                <c:pt idx="34">
                  <c:v>40848</c:v>
                </c:pt>
                <c:pt idx="35">
                  <c:v>40878</c:v>
                </c:pt>
                <c:pt idx="36">
                  <c:v>40909</c:v>
                </c:pt>
                <c:pt idx="37">
                  <c:v>40940</c:v>
                </c:pt>
                <c:pt idx="38">
                  <c:v>40969</c:v>
                </c:pt>
                <c:pt idx="39">
                  <c:v>41000</c:v>
                </c:pt>
                <c:pt idx="40">
                  <c:v>41030</c:v>
                </c:pt>
                <c:pt idx="41">
                  <c:v>41061</c:v>
                </c:pt>
                <c:pt idx="42">
                  <c:v>41091</c:v>
                </c:pt>
                <c:pt idx="43">
                  <c:v>41122</c:v>
                </c:pt>
                <c:pt idx="44">
                  <c:v>41153</c:v>
                </c:pt>
                <c:pt idx="45">
                  <c:v>41183</c:v>
                </c:pt>
                <c:pt idx="46">
                  <c:v>41214</c:v>
                </c:pt>
                <c:pt idx="47">
                  <c:v>41244</c:v>
                </c:pt>
                <c:pt idx="48">
                  <c:v>41275</c:v>
                </c:pt>
                <c:pt idx="49">
                  <c:v>41306</c:v>
                </c:pt>
                <c:pt idx="50">
                  <c:v>41334</c:v>
                </c:pt>
                <c:pt idx="51">
                  <c:v>41365</c:v>
                </c:pt>
                <c:pt idx="52">
                  <c:v>41395</c:v>
                </c:pt>
                <c:pt idx="53">
                  <c:v>41426</c:v>
                </c:pt>
                <c:pt idx="54">
                  <c:v>41456</c:v>
                </c:pt>
                <c:pt idx="55">
                  <c:v>41487</c:v>
                </c:pt>
                <c:pt idx="56">
                  <c:v>41518</c:v>
                </c:pt>
                <c:pt idx="57">
                  <c:v>41548</c:v>
                </c:pt>
                <c:pt idx="58">
                  <c:v>41579</c:v>
                </c:pt>
                <c:pt idx="59">
                  <c:v>41609</c:v>
                </c:pt>
                <c:pt idx="60">
                  <c:v>41640</c:v>
                </c:pt>
                <c:pt idx="61">
                  <c:v>41671</c:v>
                </c:pt>
                <c:pt idx="62">
                  <c:v>41699</c:v>
                </c:pt>
                <c:pt idx="63">
                  <c:v>41730</c:v>
                </c:pt>
                <c:pt idx="64">
                  <c:v>41760</c:v>
                </c:pt>
                <c:pt idx="65">
                  <c:v>41791</c:v>
                </c:pt>
                <c:pt idx="66">
                  <c:v>41821</c:v>
                </c:pt>
                <c:pt idx="67">
                  <c:v>41852</c:v>
                </c:pt>
                <c:pt idx="68">
                  <c:v>41883</c:v>
                </c:pt>
                <c:pt idx="69">
                  <c:v>41913</c:v>
                </c:pt>
                <c:pt idx="70">
                  <c:v>41944</c:v>
                </c:pt>
                <c:pt idx="71">
                  <c:v>41974</c:v>
                </c:pt>
              </c:numCache>
            </c:numRef>
          </c:cat>
          <c:val>
            <c:numRef>
              <c:f>'M2(CEIC)'!$D$15:$D$86</c:f>
              <c:numCache>
                <c:formatCode>0_ </c:formatCode>
                <c:ptCount val="72"/>
                <c:pt idx="0">
                  <c:v>49.613530776669997</c:v>
                </c:pt>
                <c:pt idx="1">
                  <c:v>50.670807000000003</c:v>
                </c:pt>
                <c:pt idx="2">
                  <c:v>53.062671177859997</c:v>
                </c:pt>
                <c:pt idx="3">
                  <c:v>54.048121372899999</c:v>
                </c:pt>
                <c:pt idx="4">
                  <c:v>54.826351000000003</c:v>
                </c:pt>
                <c:pt idx="5">
                  <c:v>56.891620000000003</c:v>
                </c:pt>
                <c:pt idx="6">
                  <c:v>57.31028517</c:v>
                </c:pt>
                <c:pt idx="7">
                  <c:v>57.669895349999997</c:v>
                </c:pt>
                <c:pt idx="8">
                  <c:v>58.540533733780002</c:v>
                </c:pt>
                <c:pt idx="9">
                  <c:v>58.664328866490003</c:v>
                </c:pt>
                <c:pt idx="10">
                  <c:v>59.460472130609993</c:v>
                </c:pt>
                <c:pt idx="11">
                  <c:v>61.022451999999994</c:v>
                </c:pt>
                <c:pt idx="12">
                  <c:v>62.560928999999994</c:v>
                </c:pt>
                <c:pt idx="13">
                  <c:v>63.607226457210004</c:v>
                </c:pt>
                <c:pt idx="14">
                  <c:v>64.994746426639992</c:v>
                </c:pt>
                <c:pt idx="15">
                  <c:v>65.656121695579998</c:v>
                </c:pt>
                <c:pt idx="16">
                  <c:v>66.335137000000003</c:v>
                </c:pt>
                <c:pt idx="17">
                  <c:v>67.39217239253</c:v>
                </c:pt>
                <c:pt idx="18">
                  <c:v>67.40514789481</c:v>
                </c:pt>
                <c:pt idx="19">
                  <c:v>68.750691826409991</c:v>
                </c:pt>
                <c:pt idx="20">
                  <c:v>69.647149999999996</c:v>
                </c:pt>
                <c:pt idx="21">
                  <c:v>69.977674085640004</c:v>
                </c:pt>
                <c:pt idx="22">
                  <c:v>71.033902499999996</c:v>
                </c:pt>
                <c:pt idx="23">
                  <c:v>72.585179000000011</c:v>
                </c:pt>
                <c:pt idx="24">
                  <c:v>73.388482969999998</c:v>
                </c:pt>
                <c:pt idx="25">
                  <c:v>73.613086330000002</c:v>
                </c:pt>
                <c:pt idx="26">
                  <c:v>75.813088000000008</c:v>
                </c:pt>
                <c:pt idx="27">
                  <c:v>75.738456189610005</c:v>
                </c:pt>
                <c:pt idx="28">
                  <c:v>76.340921506650005</c:v>
                </c:pt>
                <c:pt idx="29">
                  <c:v>78.082085000000006</c:v>
                </c:pt>
                <c:pt idx="30">
                  <c:v>77.292365130260009</c:v>
                </c:pt>
                <c:pt idx="31">
                  <c:v>78.085230212950009</c:v>
                </c:pt>
                <c:pt idx="32">
                  <c:v>78.740620380850004</c:v>
                </c:pt>
                <c:pt idx="33">
                  <c:v>81.682924886679999</c:v>
                </c:pt>
                <c:pt idx="34">
                  <c:v>82.549394446280004</c:v>
                </c:pt>
                <c:pt idx="35">
                  <c:v>85.159090007840007</c:v>
                </c:pt>
                <c:pt idx="36">
                  <c:v>85.589889139659988</c:v>
                </c:pt>
                <c:pt idx="37">
                  <c:v>86.71714200000001</c:v>
                </c:pt>
                <c:pt idx="38">
                  <c:v>89.556549664190001</c:v>
                </c:pt>
                <c:pt idx="39">
                  <c:v>88.960403619999994</c:v>
                </c:pt>
                <c:pt idx="40">
                  <c:v>90.004877427419999</c:v>
                </c:pt>
                <c:pt idx="41">
                  <c:v>92.499119999999991</c:v>
                </c:pt>
                <c:pt idx="42">
                  <c:v>91.907240194740012</c:v>
                </c:pt>
                <c:pt idx="43">
                  <c:v>92.489458647730004</c:v>
                </c:pt>
                <c:pt idx="44">
                  <c:v>94.368875343070002</c:v>
                </c:pt>
                <c:pt idx="45">
                  <c:v>93.640427922110007</c:v>
                </c:pt>
                <c:pt idx="46">
                  <c:v>94.483235141489999</c:v>
                </c:pt>
                <c:pt idx="47">
                  <c:v>97.414880202839996</c:v>
                </c:pt>
                <c:pt idx="48">
                  <c:v>99.212925225239999</c:v>
                </c:pt>
                <c:pt idx="49">
                  <c:v>99.860082892169999</c:v>
                </c:pt>
                <c:pt idx="50">
                  <c:v>103.58583706603</c:v>
                </c:pt>
                <c:pt idx="51">
                  <c:v>103.25519030094</c:v>
                </c:pt>
                <c:pt idx="52">
                  <c:v>104.21691621210999</c:v>
                </c:pt>
                <c:pt idx="53">
                  <c:v>105.44036918470999</c:v>
                </c:pt>
                <c:pt idx="54">
                  <c:v>105.2212344</c:v>
                </c:pt>
                <c:pt idx="55">
                  <c:v>106.12564257922</c:v>
                </c:pt>
                <c:pt idx="56">
                  <c:v>107.73791630477</c:v>
                </c:pt>
                <c:pt idx="57">
                  <c:v>107.02421666423</c:v>
                </c:pt>
                <c:pt idx="58">
                  <c:v>107.92570554777001</c:v>
                </c:pt>
                <c:pt idx="59">
                  <c:v>110.65249799232001</c:v>
                </c:pt>
                <c:pt idx="60">
                  <c:v>112.3521209563</c:v>
                </c:pt>
                <c:pt idx="61">
                  <c:v>113.1760833335</c:v>
                </c:pt>
                <c:pt idx="62">
                  <c:v>116.0687383042</c:v>
                </c:pt>
                <c:pt idx="63">
                  <c:v>116.88126734132</c:v>
                </c:pt>
                <c:pt idx="64">
                  <c:v>118.22939581582</c:v>
                </c:pt>
                <c:pt idx="65">
                  <c:v>120.95871973633</c:v>
                </c:pt>
                <c:pt idx="66">
                  <c:v>119.42492399166001</c:v>
                </c:pt>
                <c:pt idx="67">
                  <c:v>119.74990838463</c:v>
                </c:pt>
                <c:pt idx="68">
                  <c:v>120.20514118496</c:v>
                </c:pt>
                <c:pt idx="69">
                  <c:v>119.92363138159001</c:v>
                </c:pt>
                <c:pt idx="70">
                  <c:v>120.86059489083</c:v>
                </c:pt>
                <c:pt idx="71">
                  <c:v>122.83748065445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422464"/>
        <c:axId val="129424000"/>
      </c:areaChart>
      <c:lineChart>
        <c:grouping val="standard"/>
        <c:varyColors val="0"/>
        <c:ser>
          <c:idx val="1"/>
          <c:order val="1"/>
          <c:tx>
            <c:strRef>
              <c:f>'M2(CEIC)'!$C$2</c:f>
              <c:strCache>
                <c:ptCount val="1"/>
                <c:pt idx="0">
                  <c:v>M2同比(右軸)</c:v>
                </c:pt>
              </c:strCache>
            </c:strRef>
          </c:tx>
          <c:marker>
            <c:symbol val="none"/>
          </c:marker>
          <c:cat>
            <c:numRef>
              <c:f>'M2(CEIC)'!$A$15:$A$86</c:f>
              <c:numCache>
                <c:formatCode>\ [$-1028]yyyy/m</c:formatCode>
                <c:ptCount val="72"/>
                <c:pt idx="0">
                  <c:v>39814</c:v>
                </c:pt>
                <c:pt idx="1">
                  <c:v>39845</c:v>
                </c:pt>
                <c:pt idx="2">
                  <c:v>39873</c:v>
                </c:pt>
                <c:pt idx="3">
                  <c:v>39904</c:v>
                </c:pt>
                <c:pt idx="4">
                  <c:v>39934</c:v>
                </c:pt>
                <c:pt idx="5">
                  <c:v>39965</c:v>
                </c:pt>
                <c:pt idx="6">
                  <c:v>39995</c:v>
                </c:pt>
                <c:pt idx="7">
                  <c:v>40026</c:v>
                </c:pt>
                <c:pt idx="8">
                  <c:v>40057</c:v>
                </c:pt>
                <c:pt idx="9">
                  <c:v>40087</c:v>
                </c:pt>
                <c:pt idx="10">
                  <c:v>40118</c:v>
                </c:pt>
                <c:pt idx="11">
                  <c:v>40148</c:v>
                </c:pt>
                <c:pt idx="12">
                  <c:v>40179</c:v>
                </c:pt>
                <c:pt idx="13">
                  <c:v>40210</c:v>
                </c:pt>
                <c:pt idx="14">
                  <c:v>40238</c:v>
                </c:pt>
                <c:pt idx="15">
                  <c:v>40269</c:v>
                </c:pt>
                <c:pt idx="16">
                  <c:v>40299</c:v>
                </c:pt>
                <c:pt idx="17">
                  <c:v>40330</c:v>
                </c:pt>
                <c:pt idx="18">
                  <c:v>40360</c:v>
                </c:pt>
                <c:pt idx="19">
                  <c:v>40391</c:v>
                </c:pt>
                <c:pt idx="20">
                  <c:v>40422</c:v>
                </c:pt>
                <c:pt idx="21">
                  <c:v>40452</c:v>
                </c:pt>
                <c:pt idx="22">
                  <c:v>40483</c:v>
                </c:pt>
                <c:pt idx="23">
                  <c:v>40513</c:v>
                </c:pt>
                <c:pt idx="24">
                  <c:v>40544</c:v>
                </c:pt>
                <c:pt idx="25">
                  <c:v>40575</c:v>
                </c:pt>
                <c:pt idx="26">
                  <c:v>40603</c:v>
                </c:pt>
                <c:pt idx="27">
                  <c:v>40634</c:v>
                </c:pt>
                <c:pt idx="28">
                  <c:v>40664</c:v>
                </c:pt>
                <c:pt idx="29">
                  <c:v>40695</c:v>
                </c:pt>
                <c:pt idx="30">
                  <c:v>40725</c:v>
                </c:pt>
                <c:pt idx="31">
                  <c:v>40756</c:v>
                </c:pt>
                <c:pt idx="32">
                  <c:v>40787</c:v>
                </c:pt>
                <c:pt idx="33">
                  <c:v>40817</c:v>
                </c:pt>
                <c:pt idx="34">
                  <c:v>40848</c:v>
                </c:pt>
                <c:pt idx="35">
                  <c:v>40878</c:v>
                </c:pt>
                <c:pt idx="36">
                  <c:v>40909</c:v>
                </c:pt>
                <c:pt idx="37">
                  <c:v>40940</c:v>
                </c:pt>
                <c:pt idx="38">
                  <c:v>40969</c:v>
                </c:pt>
                <c:pt idx="39">
                  <c:v>41000</c:v>
                </c:pt>
                <c:pt idx="40">
                  <c:v>41030</c:v>
                </c:pt>
                <c:pt idx="41">
                  <c:v>41061</c:v>
                </c:pt>
                <c:pt idx="42">
                  <c:v>41091</c:v>
                </c:pt>
                <c:pt idx="43">
                  <c:v>41122</c:v>
                </c:pt>
                <c:pt idx="44">
                  <c:v>41153</c:v>
                </c:pt>
                <c:pt idx="45">
                  <c:v>41183</c:v>
                </c:pt>
                <c:pt idx="46">
                  <c:v>41214</c:v>
                </c:pt>
                <c:pt idx="47">
                  <c:v>41244</c:v>
                </c:pt>
                <c:pt idx="48">
                  <c:v>41275</c:v>
                </c:pt>
                <c:pt idx="49">
                  <c:v>41306</c:v>
                </c:pt>
                <c:pt idx="50">
                  <c:v>41334</c:v>
                </c:pt>
                <c:pt idx="51">
                  <c:v>41365</c:v>
                </c:pt>
                <c:pt idx="52">
                  <c:v>41395</c:v>
                </c:pt>
                <c:pt idx="53">
                  <c:v>41426</c:v>
                </c:pt>
                <c:pt idx="54">
                  <c:v>41456</c:v>
                </c:pt>
                <c:pt idx="55">
                  <c:v>41487</c:v>
                </c:pt>
                <c:pt idx="56">
                  <c:v>41518</c:v>
                </c:pt>
                <c:pt idx="57">
                  <c:v>41548</c:v>
                </c:pt>
                <c:pt idx="58">
                  <c:v>41579</c:v>
                </c:pt>
                <c:pt idx="59">
                  <c:v>41609</c:v>
                </c:pt>
                <c:pt idx="60">
                  <c:v>41640</c:v>
                </c:pt>
                <c:pt idx="61">
                  <c:v>41671</c:v>
                </c:pt>
                <c:pt idx="62">
                  <c:v>41699</c:v>
                </c:pt>
                <c:pt idx="63">
                  <c:v>41730</c:v>
                </c:pt>
                <c:pt idx="64">
                  <c:v>41760</c:v>
                </c:pt>
                <c:pt idx="65">
                  <c:v>41791</c:v>
                </c:pt>
                <c:pt idx="66">
                  <c:v>41821</c:v>
                </c:pt>
                <c:pt idx="67">
                  <c:v>41852</c:v>
                </c:pt>
                <c:pt idx="68">
                  <c:v>41883</c:v>
                </c:pt>
                <c:pt idx="69">
                  <c:v>41913</c:v>
                </c:pt>
                <c:pt idx="70">
                  <c:v>41944</c:v>
                </c:pt>
                <c:pt idx="71">
                  <c:v>41974</c:v>
                </c:pt>
              </c:numCache>
            </c:numRef>
          </c:cat>
          <c:val>
            <c:numRef>
              <c:f>'M2(CEIC)'!$C$15:$C$86</c:f>
              <c:numCache>
                <c:formatCode>#,##0.000</c:formatCode>
                <c:ptCount val="72"/>
                <c:pt idx="0">
                  <c:v>18.79</c:v>
                </c:pt>
                <c:pt idx="1">
                  <c:v>20.399999999999999</c:v>
                </c:pt>
                <c:pt idx="2">
                  <c:v>25.51</c:v>
                </c:pt>
                <c:pt idx="3">
                  <c:v>25.95</c:v>
                </c:pt>
                <c:pt idx="4">
                  <c:v>25.74</c:v>
                </c:pt>
                <c:pt idx="5">
                  <c:v>28.45</c:v>
                </c:pt>
                <c:pt idx="6">
                  <c:v>28.42</c:v>
                </c:pt>
                <c:pt idx="7">
                  <c:v>28.53</c:v>
                </c:pt>
                <c:pt idx="8">
                  <c:v>29.31</c:v>
                </c:pt>
                <c:pt idx="9">
                  <c:v>29.51</c:v>
                </c:pt>
                <c:pt idx="10">
                  <c:v>29.74</c:v>
                </c:pt>
                <c:pt idx="11">
                  <c:v>27.68</c:v>
                </c:pt>
                <c:pt idx="12">
                  <c:v>26.1</c:v>
                </c:pt>
                <c:pt idx="13">
                  <c:v>25.53</c:v>
                </c:pt>
                <c:pt idx="14">
                  <c:v>22.49</c:v>
                </c:pt>
                <c:pt idx="15">
                  <c:v>21.47</c:v>
                </c:pt>
                <c:pt idx="16">
                  <c:v>20.99</c:v>
                </c:pt>
                <c:pt idx="17">
                  <c:v>18.46</c:v>
                </c:pt>
                <c:pt idx="18">
                  <c:v>17.61</c:v>
                </c:pt>
                <c:pt idx="19">
                  <c:v>19.21</c:v>
                </c:pt>
                <c:pt idx="20">
                  <c:v>18.96</c:v>
                </c:pt>
                <c:pt idx="21">
                  <c:v>19.3</c:v>
                </c:pt>
                <c:pt idx="22">
                  <c:v>19.45</c:v>
                </c:pt>
                <c:pt idx="23">
                  <c:v>19.72</c:v>
                </c:pt>
                <c:pt idx="24">
                  <c:v>17.2</c:v>
                </c:pt>
                <c:pt idx="25">
                  <c:v>15.71</c:v>
                </c:pt>
                <c:pt idx="26">
                  <c:v>16.63</c:v>
                </c:pt>
                <c:pt idx="27">
                  <c:v>15.34</c:v>
                </c:pt>
                <c:pt idx="28">
                  <c:v>15.07</c:v>
                </c:pt>
                <c:pt idx="29">
                  <c:v>15.85</c:v>
                </c:pt>
                <c:pt idx="30">
                  <c:v>14.65</c:v>
                </c:pt>
                <c:pt idx="31">
                  <c:v>13.56</c:v>
                </c:pt>
                <c:pt idx="32">
                  <c:v>13.04</c:v>
                </c:pt>
                <c:pt idx="33">
                  <c:v>12.88</c:v>
                </c:pt>
                <c:pt idx="34">
                  <c:v>12.72</c:v>
                </c:pt>
                <c:pt idx="35">
                  <c:v>13.61</c:v>
                </c:pt>
                <c:pt idx="36">
                  <c:v>12.39</c:v>
                </c:pt>
                <c:pt idx="37">
                  <c:v>13.03</c:v>
                </c:pt>
                <c:pt idx="38">
                  <c:v>13.43</c:v>
                </c:pt>
                <c:pt idx="39">
                  <c:v>12.78</c:v>
                </c:pt>
                <c:pt idx="40">
                  <c:v>13.18</c:v>
                </c:pt>
                <c:pt idx="41">
                  <c:v>13.64</c:v>
                </c:pt>
                <c:pt idx="42">
                  <c:v>13.94</c:v>
                </c:pt>
                <c:pt idx="43">
                  <c:v>13.46</c:v>
                </c:pt>
                <c:pt idx="44">
                  <c:v>14.8</c:v>
                </c:pt>
                <c:pt idx="45">
                  <c:v>14.13</c:v>
                </c:pt>
                <c:pt idx="46">
                  <c:v>13.89</c:v>
                </c:pt>
                <c:pt idx="47">
                  <c:v>13.83</c:v>
                </c:pt>
                <c:pt idx="48">
                  <c:v>15.92</c:v>
                </c:pt>
                <c:pt idx="49">
                  <c:v>15.16</c:v>
                </c:pt>
                <c:pt idx="50">
                  <c:v>15.67</c:v>
                </c:pt>
                <c:pt idx="51">
                  <c:v>16.07</c:v>
                </c:pt>
                <c:pt idx="52">
                  <c:v>15.79</c:v>
                </c:pt>
                <c:pt idx="53">
                  <c:v>13.99</c:v>
                </c:pt>
                <c:pt idx="54">
                  <c:v>14.49</c:v>
                </c:pt>
                <c:pt idx="55">
                  <c:v>14.74</c:v>
                </c:pt>
                <c:pt idx="56">
                  <c:v>14.17</c:v>
                </c:pt>
                <c:pt idx="57">
                  <c:v>14.28</c:v>
                </c:pt>
                <c:pt idx="58">
                  <c:v>14.23</c:v>
                </c:pt>
                <c:pt idx="59">
                  <c:v>13.59</c:v>
                </c:pt>
                <c:pt idx="60">
                  <c:v>13.24</c:v>
                </c:pt>
                <c:pt idx="61">
                  <c:v>13.33</c:v>
                </c:pt>
                <c:pt idx="62">
                  <c:v>12.05</c:v>
                </c:pt>
                <c:pt idx="63">
                  <c:v>13.2</c:v>
                </c:pt>
                <c:pt idx="64">
                  <c:v>13.45</c:v>
                </c:pt>
                <c:pt idx="65">
                  <c:v>14.72</c:v>
                </c:pt>
                <c:pt idx="66">
                  <c:v>13.5</c:v>
                </c:pt>
                <c:pt idx="67">
                  <c:v>12.84</c:v>
                </c:pt>
                <c:pt idx="68">
                  <c:v>12.92</c:v>
                </c:pt>
                <c:pt idx="69">
                  <c:v>12.55</c:v>
                </c:pt>
                <c:pt idx="70">
                  <c:v>12.31</c:v>
                </c:pt>
                <c:pt idx="71">
                  <c:v>12.16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01056"/>
        <c:axId val="129499520"/>
      </c:lineChart>
      <c:dateAx>
        <c:axId val="129422464"/>
        <c:scaling>
          <c:orientation val="minMax"/>
        </c:scaling>
        <c:delete val="0"/>
        <c:axPos val="b"/>
        <c:numFmt formatCode="yyyy;@" sourceLinked="0"/>
        <c:majorTickMark val="out"/>
        <c:minorTickMark val="none"/>
        <c:tickLblPos val="nextTo"/>
        <c:crossAx val="129424000"/>
        <c:crosses val="autoZero"/>
        <c:auto val="1"/>
        <c:lblOffset val="100"/>
        <c:baseTimeUnit val="months"/>
        <c:majorUnit val="1"/>
        <c:majorTimeUnit val="years"/>
      </c:dateAx>
      <c:valAx>
        <c:axId val="129424000"/>
        <c:scaling>
          <c:orientation val="minMax"/>
        </c:scaling>
        <c:delete val="0"/>
        <c:axPos val="l"/>
        <c:majorGridlines/>
        <c:numFmt formatCode="0_ " sourceLinked="1"/>
        <c:majorTickMark val="out"/>
        <c:minorTickMark val="none"/>
        <c:tickLblPos val="nextTo"/>
        <c:crossAx val="129422464"/>
        <c:crosses val="autoZero"/>
        <c:crossBetween val="between"/>
      </c:valAx>
      <c:valAx>
        <c:axId val="129499520"/>
        <c:scaling>
          <c:orientation val="minMax"/>
        </c:scaling>
        <c:delete val="0"/>
        <c:axPos val="r"/>
        <c:numFmt formatCode="#,##0" sourceLinked="0"/>
        <c:majorTickMark val="out"/>
        <c:minorTickMark val="none"/>
        <c:tickLblPos val="nextTo"/>
        <c:crossAx val="129501056"/>
        <c:crosses val="max"/>
        <c:crossBetween val="between"/>
      </c:valAx>
      <c:dateAx>
        <c:axId val="129501056"/>
        <c:scaling>
          <c:orientation val="minMax"/>
        </c:scaling>
        <c:delete val="1"/>
        <c:axPos val="b"/>
        <c:numFmt formatCode="\ [$-1028]yyyy/m" sourceLinked="1"/>
        <c:majorTickMark val="out"/>
        <c:minorTickMark val="none"/>
        <c:tickLblPos val="nextTo"/>
        <c:crossAx val="129499520"/>
        <c:crosses val="autoZero"/>
        <c:auto val="1"/>
        <c:lblOffset val="100"/>
        <c:baseTimeUnit val="months"/>
      </c:date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'2014Q1社會融資規模總額(CEIC)'!$C$1</c:f>
              <c:strCache>
                <c:ptCount val="1"/>
                <c:pt idx="0">
                  <c:v>社會融資總量(億元)</c:v>
                </c:pt>
              </c:strCache>
            </c:strRef>
          </c:tx>
          <c:invertIfNegative val="0"/>
          <c:cat>
            <c:strRef>
              <c:f>'2014Q1社會融資規模總額(CEIC)'!$A$10:$A$33</c:f>
              <c:strCache>
                <c:ptCount val="24"/>
                <c:pt idx="0">
                  <c:v>2009Q1</c:v>
                </c:pt>
                <c:pt idx="1">
                  <c:v>2009Q2</c:v>
                </c:pt>
                <c:pt idx="2">
                  <c:v>2009Q3</c:v>
                </c:pt>
                <c:pt idx="3">
                  <c:v>2009Q4</c:v>
                </c:pt>
                <c:pt idx="4">
                  <c:v>2010Q1</c:v>
                </c:pt>
                <c:pt idx="5">
                  <c:v>2010Q2</c:v>
                </c:pt>
                <c:pt idx="6">
                  <c:v>2010Q3</c:v>
                </c:pt>
                <c:pt idx="7">
                  <c:v>2010Q4</c:v>
                </c:pt>
                <c:pt idx="8">
                  <c:v>2011Q1</c:v>
                </c:pt>
                <c:pt idx="9">
                  <c:v>2011Q2</c:v>
                </c:pt>
                <c:pt idx="10">
                  <c:v>2011Q3</c:v>
                </c:pt>
                <c:pt idx="11">
                  <c:v>2011Q4</c:v>
                </c:pt>
                <c:pt idx="12">
                  <c:v>2012Q1</c:v>
                </c:pt>
                <c:pt idx="13">
                  <c:v>2012Q2</c:v>
                </c:pt>
                <c:pt idx="14">
                  <c:v>2012Q3</c:v>
                </c:pt>
                <c:pt idx="15">
                  <c:v>2012Q4</c:v>
                </c:pt>
                <c:pt idx="16">
                  <c:v>2013Q1</c:v>
                </c:pt>
                <c:pt idx="17">
                  <c:v>2013Q2</c:v>
                </c:pt>
                <c:pt idx="18">
                  <c:v>2013Q3</c:v>
                </c:pt>
                <c:pt idx="19">
                  <c:v>2013Q4</c:v>
                </c:pt>
                <c:pt idx="20">
                  <c:v>2014Q1</c:v>
                </c:pt>
                <c:pt idx="21">
                  <c:v>2014Q2</c:v>
                </c:pt>
                <c:pt idx="22">
                  <c:v>2014Q3</c:v>
                </c:pt>
                <c:pt idx="23">
                  <c:v>2014Q4</c:v>
                </c:pt>
              </c:strCache>
            </c:strRef>
          </c:cat>
          <c:val>
            <c:numRef>
              <c:f>'2014Q1社會融資規模總額(CEIC)'!$C$10:$C$33</c:f>
              <c:numCache>
                <c:formatCode>#,##0_);[Red]\(#,##0\)</c:formatCode>
                <c:ptCount val="24"/>
                <c:pt idx="0">
                  <c:v>47132</c:v>
                </c:pt>
                <c:pt idx="1">
                  <c:v>88610</c:v>
                </c:pt>
                <c:pt idx="2">
                  <c:v>115519</c:v>
                </c:pt>
                <c:pt idx="3">
                  <c:v>139104</c:v>
                </c:pt>
                <c:pt idx="4">
                  <c:v>45257</c:v>
                </c:pt>
                <c:pt idx="5">
                  <c:v>81177</c:v>
                </c:pt>
                <c:pt idx="6">
                  <c:v>110249</c:v>
                </c:pt>
                <c:pt idx="7">
                  <c:v>140191</c:v>
                </c:pt>
                <c:pt idx="8">
                  <c:v>42240</c:v>
                </c:pt>
                <c:pt idx="9">
                  <c:v>77640</c:v>
                </c:pt>
                <c:pt idx="10">
                  <c:v>98053</c:v>
                </c:pt>
                <c:pt idx="11">
                  <c:v>128286.07</c:v>
                </c:pt>
                <c:pt idx="12">
                  <c:v>38888.856350000002</c:v>
                </c:pt>
                <c:pt idx="13">
                  <c:v>77759.585210999998</c:v>
                </c:pt>
                <c:pt idx="14">
                  <c:v>117218.721561</c:v>
                </c:pt>
                <c:pt idx="15">
                  <c:v>157631.27000000002</c:v>
                </c:pt>
                <c:pt idx="16">
                  <c:v>61654.120919999994</c:v>
                </c:pt>
                <c:pt idx="17">
                  <c:v>101529.3109</c:v>
                </c:pt>
                <c:pt idx="18">
                  <c:v>139681.31090000001</c:v>
                </c:pt>
                <c:pt idx="19">
                  <c:v>173168.31089999998</c:v>
                </c:pt>
                <c:pt idx="20">
                  <c:v>56308.205184999999</c:v>
                </c:pt>
                <c:pt idx="21">
                  <c:v>105254.082865</c:v>
                </c:pt>
                <c:pt idx="22">
                  <c:v>128922.543825</c:v>
                </c:pt>
                <c:pt idx="23">
                  <c:v>164571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24864"/>
        <c:axId val="129526400"/>
      </c:barChart>
      <c:lineChart>
        <c:grouping val="standard"/>
        <c:varyColors val="0"/>
        <c:ser>
          <c:idx val="1"/>
          <c:order val="1"/>
          <c:tx>
            <c:strRef>
              <c:f>'2014Q1社會融資規模總額(CEIC)'!$D$1</c:f>
              <c:strCache>
                <c:ptCount val="1"/>
                <c:pt idx="0">
                  <c:v>同比成長率(%)</c:v>
                </c:pt>
              </c:strCache>
            </c:strRef>
          </c:tx>
          <c:cat>
            <c:strRef>
              <c:f>'2014Q1社會融資規模總額(CEIC)'!$A$10:$A$33</c:f>
              <c:strCache>
                <c:ptCount val="24"/>
                <c:pt idx="0">
                  <c:v>2009Q1</c:v>
                </c:pt>
                <c:pt idx="1">
                  <c:v>2009Q2</c:v>
                </c:pt>
                <c:pt idx="2">
                  <c:v>2009Q3</c:v>
                </c:pt>
                <c:pt idx="3">
                  <c:v>2009Q4</c:v>
                </c:pt>
                <c:pt idx="4">
                  <c:v>2010Q1</c:v>
                </c:pt>
                <c:pt idx="5">
                  <c:v>2010Q2</c:v>
                </c:pt>
                <c:pt idx="6">
                  <c:v>2010Q3</c:v>
                </c:pt>
                <c:pt idx="7">
                  <c:v>2010Q4</c:v>
                </c:pt>
                <c:pt idx="8">
                  <c:v>2011Q1</c:v>
                </c:pt>
                <c:pt idx="9">
                  <c:v>2011Q2</c:v>
                </c:pt>
                <c:pt idx="10">
                  <c:v>2011Q3</c:v>
                </c:pt>
                <c:pt idx="11">
                  <c:v>2011Q4</c:v>
                </c:pt>
                <c:pt idx="12">
                  <c:v>2012Q1</c:v>
                </c:pt>
                <c:pt idx="13">
                  <c:v>2012Q2</c:v>
                </c:pt>
                <c:pt idx="14">
                  <c:v>2012Q3</c:v>
                </c:pt>
                <c:pt idx="15">
                  <c:v>2012Q4</c:v>
                </c:pt>
                <c:pt idx="16">
                  <c:v>2013Q1</c:v>
                </c:pt>
                <c:pt idx="17">
                  <c:v>2013Q2</c:v>
                </c:pt>
                <c:pt idx="18">
                  <c:v>2013Q3</c:v>
                </c:pt>
                <c:pt idx="19">
                  <c:v>2013Q4</c:v>
                </c:pt>
                <c:pt idx="20">
                  <c:v>2014Q1</c:v>
                </c:pt>
                <c:pt idx="21">
                  <c:v>2014Q2</c:v>
                </c:pt>
                <c:pt idx="22">
                  <c:v>2014Q3</c:v>
                </c:pt>
                <c:pt idx="23">
                  <c:v>2014Q4</c:v>
                </c:pt>
              </c:strCache>
            </c:strRef>
          </c:cat>
          <c:val>
            <c:numRef>
              <c:f>'2014Q1社會融資規模總額(CEIC)'!$D$10:$D$33</c:f>
              <c:numCache>
                <c:formatCode>0.00_ </c:formatCode>
                <c:ptCount val="24"/>
                <c:pt idx="0">
                  <c:v>114.42154588053319</c:v>
                </c:pt>
                <c:pt idx="1">
                  <c:v>117.65616172533221</c:v>
                </c:pt>
                <c:pt idx="2">
                  <c:v>106.89352556640101</c:v>
                </c:pt>
                <c:pt idx="3">
                  <c:v>99.283688146471448</c:v>
                </c:pt>
                <c:pt idx="4">
                  <c:v>-3.9781889162352542</c:v>
                </c:pt>
                <c:pt idx="5">
                  <c:v>-8.3884437422412841</c:v>
                </c:pt>
                <c:pt idx="6">
                  <c:v>-4.5620201005895131</c:v>
                </c:pt>
                <c:pt idx="7">
                  <c:v>0.78142972164711821</c:v>
                </c:pt>
                <c:pt idx="8">
                  <c:v>-6.6663720529420827</c:v>
                </c:pt>
                <c:pt idx="9">
                  <c:v>-4.3571454968771928</c:v>
                </c:pt>
                <c:pt idx="10">
                  <c:v>-11.062231856978297</c:v>
                </c:pt>
                <c:pt idx="11">
                  <c:v>-8.4919360015978231</c:v>
                </c:pt>
                <c:pt idx="12">
                  <c:v>-7.9335787168560579</c:v>
                </c:pt>
                <c:pt idx="13">
                  <c:v>0.15402525888717575</c:v>
                </c:pt>
                <c:pt idx="14">
                  <c:v>19.54628778415756</c:v>
                </c:pt>
                <c:pt idx="15">
                  <c:v>22.874814077631349</c:v>
                </c:pt>
                <c:pt idx="16">
                  <c:v>58.53930073209775</c:v>
                </c:pt>
                <c:pt idx="17">
                  <c:v>30.568225929319244</c:v>
                </c:pt>
                <c:pt idx="18">
                  <c:v>19.16297076086996</c:v>
                </c:pt>
                <c:pt idx="19">
                  <c:v>9.856572810711981</c:v>
                </c:pt>
                <c:pt idx="20">
                  <c:v>-8.6708165735371558</c:v>
                </c:pt>
                <c:pt idx="21">
                  <c:v>3.6686666460965807</c:v>
                </c:pt>
                <c:pt idx="22">
                  <c:v>-7.7023669134250747</c:v>
                </c:pt>
                <c:pt idx="23">
                  <c:v>-4.9647137258067531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37920"/>
        <c:axId val="129536384"/>
      </c:lineChart>
      <c:catAx>
        <c:axId val="12952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526400"/>
        <c:crosses val="autoZero"/>
        <c:auto val="1"/>
        <c:lblAlgn val="ctr"/>
        <c:lblOffset val="100"/>
        <c:noMultiLvlLbl val="0"/>
      </c:catAx>
      <c:valAx>
        <c:axId val="129526400"/>
        <c:scaling>
          <c:orientation val="minMax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crossAx val="129524864"/>
        <c:crosses val="autoZero"/>
        <c:crossBetween val="between"/>
      </c:valAx>
      <c:valAx>
        <c:axId val="129536384"/>
        <c:scaling>
          <c:orientation val="minMax"/>
        </c:scaling>
        <c:delete val="0"/>
        <c:axPos val="r"/>
        <c:numFmt formatCode="0_ " sourceLinked="0"/>
        <c:majorTickMark val="out"/>
        <c:minorTickMark val="none"/>
        <c:tickLblPos val="nextTo"/>
        <c:crossAx val="129537920"/>
        <c:crosses val="max"/>
        <c:crossBetween val="between"/>
      </c:valAx>
      <c:catAx>
        <c:axId val="1295379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9536384"/>
        <c:crosses val="autoZero"/>
        <c:auto val="1"/>
        <c:lblAlgn val="ctr"/>
        <c:lblOffset val="100"/>
        <c:noMultiLvlLbl val="0"/>
      </c:cat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795195691862721E-2"/>
          <c:y val="0.14604730115257331"/>
          <c:w val="0.80440960861627453"/>
          <c:h val="0.56823719045988819"/>
        </c:manualLayout>
      </c:layout>
      <c:lineChart>
        <c:grouping val="stacked"/>
        <c:varyColors val="0"/>
        <c:ser>
          <c:idx val="0"/>
          <c:order val="0"/>
          <c:tx>
            <c:strRef>
              <c:f>'股價走勢圖(CEIC)'!$B$1</c:f>
              <c:strCache>
                <c:ptCount val="1"/>
                <c:pt idx="0">
                  <c:v>上證綜合指數(左軸)</c:v>
                </c:pt>
              </c:strCache>
            </c:strRef>
          </c:tx>
          <c:marker>
            <c:symbol val="none"/>
          </c:marker>
          <c:cat>
            <c:numRef>
              <c:f>'股價走勢圖(CEIC)'!$A$4863:$A$5109</c:f>
              <c:numCache>
                <c:formatCode>\ [$-1028]yyyy/m/d</c:formatCode>
                <c:ptCount val="245"/>
                <c:pt idx="0">
                  <c:v>41641</c:v>
                </c:pt>
                <c:pt idx="1">
                  <c:v>41642</c:v>
                </c:pt>
                <c:pt idx="2">
                  <c:v>41645</c:v>
                </c:pt>
                <c:pt idx="3">
                  <c:v>41646</c:v>
                </c:pt>
                <c:pt idx="4">
                  <c:v>41647</c:v>
                </c:pt>
                <c:pt idx="5">
                  <c:v>41648</c:v>
                </c:pt>
                <c:pt idx="6">
                  <c:v>41649</c:v>
                </c:pt>
                <c:pt idx="7">
                  <c:v>41652</c:v>
                </c:pt>
                <c:pt idx="8">
                  <c:v>41653</c:v>
                </c:pt>
                <c:pt idx="9">
                  <c:v>41654</c:v>
                </c:pt>
                <c:pt idx="10">
                  <c:v>41655</c:v>
                </c:pt>
                <c:pt idx="11">
                  <c:v>41656</c:v>
                </c:pt>
                <c:pt idx="12">
                  <c:v>41659</c:v>
                </c:pt>
                <c:pt idx="13">
                  <c:v>41660</c:v>
                </c:pt>
                <c:pt idx="14">
                  <c:v>41661</c:v>
                </c:pt>
                <c:pt idx="15">
                  <c:v>41662</c:v>
                </c:pt>
                <c:pt idx="16">
                  <c:v>41663</c:v>
                </c:pt>
                <c:pt idx="17">
                  <c:v>41666</c:v>
                </c:pt>
                <c:pt idx="18">
                  <c:v>41667</c:v>
                </c:pt>
                <c:pt idx="19">
                  <c:v>41668</c:v>
                </c:pt>
                <c:pt idx="20">
                  <c:v>41669</c:v>
                </c:pt>
                <c:pt idx="21">
                  <c:v>41677</c:v>
                </c:pt>
                <c:pt idx="22">
                  <c:v>41680</c:v>
                </c:pt>
                <c:pt idx="23">
                  <c:v>41681</c:v>
                </c:pt>
                <c:pt idx="24">
                  <c:v>41682</c:v>
                </c:pt>
                <c:pt idx="25">
                  <c:v>41683</c:v>
                </c:pt>
                <c:pt idx="26">
                  <c:v>41684</c:v>
                </c:pt>
                <c:pt idx="27">
                  <c:v>41687</c:v>
                </c:pt>
                <c:pt idx="28">
                  <c:v>41688</c:v>
                </c:pt>
                <c:pt idx="29">
                  <c:v>41689</c:v>
                </c:pt>
                <c:pt idx="30">
                  <c:v>41690</c:v>
                </c:pt>
                <c:pt idx="31">
                  <c:v>41691</c:v>
                </c:pt>
                <c:pt idx="32">
                  <c:v>41694</c:v>
                </c:pt>
                <c:pt idx="33">
                  <c:v>41695</c:v>
                </c:pt>
                <c:pt idx="34">
                  <c:v>41696</c:v>
                </c:pt>
                <c:pt idx="35">
                  <c:v>41697</c:v>
                </c:pt>
                <c:pt idx="36">
                  <c:v>41698</c:v>
                </c:pt>
                <c:pt idx="37">
                  <c:v>41701</c:v>
                </c:pt>
                <c:pt idx="38">
                  <c:v>41702</c:v>
                </c:pt>
                <c:pt idx="39">
                  <c:v>41703</c:v>
                </c:pt>
                <c:pt idx="40">
                  <c:v>41704</c:v>
                </c:pt>
                <c:pt idx="41">
                  <c:v>41705</c:v>
                </c:pt>
                <c:pt idx="42">
                  <c:v>41708</c:v>
                </c:pt>
                <c:pt idx="43">
                  <c:v>41709</c:v>
                </c:pt>
                <c:pt idx="44">
                  <c:v>41710</c:v>
                </c:pt>
                <c:pt idx="45">
                  <c:v>41711</c:v>
                </c:pt>
                <c:pt idx="46">
                  <c:v>41712</c:v>
                </c:pt>
                <c:pt idx="47">
                  <c:v>41715</c:v>
                </c:pt>
                <c:pt idx="48">
                  <c:v>41716</c:v>
                </c:pt>
                <c:pt idx="49">
                  <c:v>41717</c:v>
                </c:pt>
                <c:pt idx="50">
                  <c:v>41718</c:v>
                </c:pt>
                <c:pt idx="51">
                  <c:v>41719</c:v>
                </c:pt>
                <c:pt idx="52">
                  <c:v>41722</c:v>
                </c:pt>
                <c:pt idx="53">
                  <c:v>41723</c:v>
                </c:pt>
                <c:pt idx="54">
                  <c:v>41724</c:v>
                </c:pt>
                <c:pt idx="55">
                  <c:v>41725</c:v>
                </c:pt>
                <c:pt idx="56">
                  <c:v>41726</c:v>
                </c:pt>
                <c:pt idx="57">
                  <c:v>41729</c:v>
                </c:pt>
                <c:pt idx="58">
                  <c:v>41730</c:v>
                </c:pt>
                <c:pt idx="59">
                  <c:v>41731</c:v>
                </c:pt>
                <c:pt idx="60">
                  <c:v>41732</c:v>
                </c:pt>
                <c:pt idx="61">
                  <c:v>41733</c:v>
                </c:pt>
                <c:pt idx="62">
                  <c:v>41737</c:v>
                </c:pt>
                <c:pt idx="63">
                  <c:v>41738</c:v>
                </c:pt>
                <c:pt idx="64">
                  <c:v>41739</c:v>
                </c:pt>
                <c:pt idx="65">
                  <c:v>41740</c:v>
                </c:pt>
                <c:pt idx="66">
                  <c:v>41743</c:v>
                </c:pt>
                <c:pt idx="67">
                  <c:v>41744</c:v>
                </c:pt>
                <c:pt idx="68">
                  <c:v>41745</c:v>
                </c:pt>
                <c:pt idx="69">
                  <c:v>41746</c:v>
                </c:pt>
                <c:pt idx="70">
                  <c:v>41747</c:v>
                </c:pt>
                <c:pt idx="71">
                  <c:v>41750</c:v>
                </c:pt>
                <c:pt idx="72">
                  <c:v>41751</c:v>
                </c:pt>
                <c:pt idx="73">
                  <c:v>41752</c:v>
                </c:pt>
                <c:pt idx="74">
                  <c:v>41753</c:v>
                </c:pt>
                <c:pt idx="75">
                  <c:v>41754</c:v>
                </c:pt>
                <c:pt idx="76">
                  <c:v>41757</c:v>
                </c:pt>
                <c:pt idx="77">
                  <c:v>41758</c:v>
                </c:pt>
                <c:pt idx="78">
                  <c:v>41759</c:v>
                </c:pt>
                <c:pt idx="79">
                  <c:v>41764</c:v>
                </c:pt>
                <c:pt idx="80">
                  <c:v>41765</c:v>
                </c:pt>
                <c:pt idx="81">
                  <c:v>41766</c:v>
                </c:pt>
                <c:pt idx="82">
                  <c:v>41767</c:v>
                </c:pt>
                <c:pt idx="83">
                  <c:v>41768</c:v>
                </c:pt>
                <c:pt idx="84">
                  <c:v>41771</c:v>
                </c:pt>
                <c:pt idx="85">
                  <c:v>41772</c:v>
                </c:pt>
                <c:pt idx="86">
                  <c:v>41773</c:v>
                </c:pt>
                <c:pt idx="87">
                  <c:v>41774</c:v>
                </c:pt>
                <c:pt idx="88">
                  <c:v>41775</c:v>
                </c:pt>
                <c:pt idx="89">
                  <c:v>41778</c:v>
                </c:pt>
                <c:pt idx="90">
                  <c:v>41779</c:v>
                </c:pt>
                <c:pt idx="91">
                  <c:v>41780</c:v>
                </c:pt>
                <c:pt idx="92">
                  <c:v>41781</c:v>
                </c:pt>
                <c:pt idx="93">
                  <c:v>41782</c:v>
                </c:pt>
                <c:pt idx="94">
                  <c:v>41785</c:v>
                </c:pt>
                <c:pt idx="95">
                  <c:v>41786</c:v>
                </c:pt>
                <c:pt idx="96">
                  <c:v>41787</c:v>
                </c:pt>
                <c:pt idx="97">
                  <c:v>41788</c:v>
                </c:pt>
                <c:pt idx="98">
                  <c:v>41789</c:v>
                </c:pt>
                <c:pt idx="99">
                  <c:v>41793</c:v>
                </c:pt>
                <c:pt idx="100">
                  <c:v>41794</c:v>
                </c:pt>
                <c:pt idx="101">
                  <c:v>41795</c:v>
                </c:pt>
                <c:pt idx="102">
                  <c:v>41796</c:v>
                </c:pt>
                <c:pt idx="103">
                  <c:v>41799</c:v>
                </c:pt>
                <c:pt idx="104">
                  <c:v>41800</c:v>
                </c:pt>
                <c:pt idx="105">
                  <c:v>41801</c:v>
                </c:pt>
                <c:pt idx="106">
                  <c:v>41802</c:v>
                </c:pt>
                <c:pt idx="107">
                  <c:v>41803</c:v>
                </c:pt>
                <c:pt idx="108">
                  <c:v>41806</c:v>
                </c:pt>
                <c:pt idx="109">
                  <c:v>41807</c:v>
                </c:pt>
                <c:pt idx="110">
                  <c:v>41808</c:v>
                </c:pt>
                <c:pt idx="111">
                  <c:v>41809</c:v>
                </c:pt>
                <c:pt idx="112">
                  <c:v>41810</c:v>
                </c:pt>
                <c:pt idx="113">
                  <c:v>41813</c:v>
                </c:pt>
                <c:pt idx="114">
                  <c:v>41814</c:v>
                </c:pt>
                <c:pt idx="115">
                  <c:v>41815</c:v>
                </c:pt>
                <c:pt idx="116">
                  <c:v>41816</c:v>
                </c:pt>
                <c:pt idx="117">
                  <c:v>41817</c:v>
                </c:pt>
                <c:pt idx="118">
                  <c:v>41820</c:v>
                </c:pt>
                <c:pt idx="119">
                  <c:v>41821</c:v>
                </c:pt>
                <c:pt idx="120">
                  <c:v>41822</c:v>
                </c:pt>
                <c:pt idx="121">
                  <c:v>41823</c:v>
                </c:pt>
                <c:pt idx="122">
                  <c:v>41824</c:v>
                </c:pt>
                <c:pt idx="123">
                  <c:v>41827</c:v>
                </c:pt>
                <c:pt idx="124">
                  <c:v>41828</c:v>
                </c:pt>
                <c:pt idx="125">
                  <c:v>41829</c:v>
                </c:pt>
                <c:pt idx="126">
                  <c:v>41830</c:v>
                </c:pt>
                <c:pt idx="127">
                  <c:v>41831</c:v>
                </c:pt>
                <c:pt idx="128">
                  <c:v>41834</c:v>
                </c:pt>
                <c:pt idx="129">
                  <c:v>41835</c:v>
                </c:pt>
                <c:pt idx="130">
                  <c:v>41836</c:v>
                </c:pt>
                <c:pt idx="131">
                  <c:v>41837</c:v>
                </c:pt>
                <c:pt idx="132">
                  <c:v>41838</c:v>
                </c:pt>
                <c:pt idx="133">
                  <c:v>41841</c:v>
                </c:pt>
                <c:pt idx="134">
                  <c:v>41842</c:v>
                </c:pt>
                <c:pt idx="135">
                  <c:v>41843</c:v>
                </c:pt>
                <c:pt idx="136">
                  <c:v>41844</c:v>
                </c:pt>
                <c:pt idx="137">
                  <c:v>41845</c:v>
                </c:pt>
                <c:pt idx="138">
                  <c:v>41848</c:v>
                </c:pt>
                <c:pt idx="139">
                  <c:v>41849</c:v>
                </c:pt>
                <c:pt idx="140">
                  <c:v>41850</c:v>
                </c:pt>
                <c:pt idx="141">
                  <c:v>41851</c:v>
                </c:pt>
                <c:pt idx="142">
                  <c:v>41852</c:v>
                </c:pt>
                <c:pt idx="143">
                  <c:v>41855</c:v>
                </c:pt>
                <c:pt idx="144">
                  <c:v>41856</c:v>
                </c:pt>
                <c:pt idx="145">
                  <c:v>41857</c:v>
                </c:pt>
                <c:pt idx="146">
                  <c:v>41858</c:v>
                </c:pt>
                <c:pt idx="147">
                  <c:v>41859</c:v>
                </c:pt>
                <c:pt idx="148">
                  <c:v>41862</c:v>
                </c:pt>
                <c:pt idx="149">
                  <c:v>41863</c:v>
                </c:pt>
                <c:pt idx="150">
                  <c:v>41864</c:v>
                </c:pt>
                <c:pt idx="151">
                  <c:v>41865</c:v>
                </c:pt>
                <c:pt idx="152">
                  <c:v>41866</c:v>
                </c:pt>
                <c:pt idx="153">
                  <c:v>41869</c:v>
                </c:pt>
                <c:pt idx="154">
                  <c:v>41870</c:v>
                </c:pt>
                <c:pt idx="155">
                  <c:v>41871</c:v>
                </c:pt>
                <c:pt idx="156">
                  <c:v>41872</c:v>
                </c:pt>
                <c:pt idx="157">
                  <c:v>41873</c:v>
                </c:pt>
                <c:pt idx="158">
                  <c:v>41876</c:v>
                </c:pt>
                <c:pt idx="159">
                  <c:v>41877</c:v>
                </c:pt>
                <c:pt idx="160">
                  <c:v>41878</c:v>
                </c:pt>
                <c:pt idx="161">
                  <c:v>41879</c:v>
                </c:pt>
                <c:pt idx="162">
                  <c:v>41880</c:v>
                </c:pt>
                <c:pt idx="163">
                  <c:v>41883</c:v>
                </c:pt>
                <c:pt idx="164">
                  <c:v>41884</c:v>
                </c:pt>
                <c:pt idx="165">
                  <c:v>41885</c:v>
                </c:pt>
                <c:pt idx="166">
                  <c:v>41886</c:v>
                </c:pt>
                <c:pt idx="167">
                  <c:v>41887</c:v>
                </c:pt>
                <c:pt idx="168">
                  <c:v>41891</c:v>
                </c:pt>
                <c:pt idx="169">
                  <c:v>41892</c:v>
                </c:pt>
                <c:pt idx="170">
                  <c:v>41893</c:v>
                </c:pt>
                <c:pt idx="171">
                  <c:v>41894</c:v>
                </c:pt>
                <c:pt idx="172">
                  <c:v>41897</c:v>
                </c:pt>
                <c:pt idx="173">
                  <c:v>41898</c:v>
                </c:pt>
                <c:pt idx="174">
                  <c:v>41899</c:v>
                </c:pt>
                <c:pt idx="175">
                  <c:v>41900</c:v>
                </c:pt>
                <c:pt idx="176">
                  <c:v>41901</c:v>
                </c:pt>
                <c:pt idx="177">
                  <c:v>41904</c:v>
                </c:pt>
                <c:pt idx="178">
                  <c:v>41905</c:v>
                </c:pt>
                <c:pt idx="179">
                  <c:v>41906</c:v>
                </c:pt>
                <c:pt idx="180">
                  <c:v>41907</c:v>
                </c:pt>
                <c:pt idx="181">
                  <c:v>41908</c:v>
                </c:pt>
                <c:pt idx="182">
                  <c:v>41911</c:v>
                </c:pt>
                <c:pt idx="183">
                  <c:v>41912</c:v>
                </c:pt>
                <c:pt idx="184">
                  <c:v>41920</c:v>
                </c:pt>
                <c:pt idx="185">
                  <c:v>41921</c:v>
                </c:pt>
                <c:pt idx="186">
                  <c:v>41922</c:v>
                </c:pt>
                <c:pt idx="187">
                  <c:v>41925</c:v>
                </c:pt>
                <c:pt idx="188">
                  <c:v>41926</c:v>
                </c:pt>
                <c:pt idx="189">
                  <c:v>41927</c:v>
                </c:pt>
                <c:pt idx="190">
                  <c:v>41928</c:v>
                </c:pt>
                <c:pt idx="191">
                  <c:v>41929</c:v>
                </c:pt>
                <c:pt idx="192">
                  <c:v>41932</c:v>
                </c:pt>
                <c:pt idx="193">
                  <c:v>41933</c:v>
                </c:pt>
                <c:pt idx="194">
                  <c:v>41934</c:v>
                </c:pt>
                <c:pt idx="195">
                  <c:v>41935</c:v>
                </c:pt>
                <c:pt idx="196">
                  <c:v>41936</c:v>
                </c:pt>
                <c:pt idx="197">
                  <c:v>41939</c:v>
                </c:pt>
                <c:pt idx="198">
                  <c:v>41940</c:v>
                </c:pt>
                <c:pt idx="199">
                  <c:v>41941</c:v>
                </c:pt>
                <c:pt idx="200">
                  <c:v>41942</c:v>
                </c:pt>
                <c:pt idx="201">
                  <c:v>41943</c:v>
                </c:pt>
                <c:pt idx="202">
                  <c:v>41946</c:v>
                </c:pt>
                <c:pt idx="203">
                  <c:v>41947</c:v>
                </c:pt>
                <c:pt idx="204">
                  <c:v>41948</c:v>
                </c:pt>
                <c:pt idx="205">
                  <c:v>41949</c:v>
                </c:pt>
                <c:pt idx="206">
                  <c:v>41950</c:v>
                </c:pt>
                <c:pt idx="207">
                  <c:v>41953</c:v>
                </c:pt>
                <c:pt idx="208">
                  <c:v>41954</c:v>
                </c:pt>
                <c:pt idx="209">
                  <c:v>41955</c:v>
                </c:pt>
                <c:pt idx="210">
                  <c:v>41956</c:v>
                </c:pt>
                <c:pt idx="211">
                  <c:v>41957</c:v>
                </c:pt>
                <c:pt idx="212">
                  <c:v>41960</c:v>
                </c:pt>
                <c:pt idx="213">
                  <c:v>41961</c:v>
                </c:pt>
                <c:pt idx="214">
                  <c:v>41962</c:v>
                </c:pt>
                <c:pt idx="215">
                  <c:v>41963</c:v>
                </c:pt>
                <c:pt idx="216">
                  <c:v>41964</c:v>
                </c:pt>
                <c:pt idx="217">
                  <c:v>41967</c:v>
                </c:pt>
                <c:pt idx="218">
                  <c:v>41968</c:v>
                </c:pt>
                <c:pt idx="219">
                  <c:v>41969</c:v>
                </c:pt>
                <c:pt idx="220">
                  <c:v>41970</c:v>
                </c:pt>
                <c:pt idx="221">
                  <c:v>41971</c:v>
                </c:pt>
                <c:pt idx="222">
                  <c:v>41974</c:v>
                </c:pt>
                <c:pt idx="223">
                  <c:v>41975</c:v>
                </c:pt>
                <c:pt idx="224">
                  <c:v>41976</c:v>
                </c:pt>
                <c:pt idx="225">
                  <c:v>41977</c:v>
                </c:pt>
                <c:pt idx="226">
                  <c:v>41978</c:v>
                </c:pt>
                <c:pt idx="227">
                  <c:v>41981</c:v>
                </c:pt>
                <c:pt idx="228">
                  <c:v>41982</c:v>
                </c:pt>
                <c:pt idx="229">
                  <c:v>41983</c:v>
                </c:pt>
                <c:pt idx="230">
                  <c:v>41984</c:v>
                </c:pt>
                <c:pt idx="231">
                  <c:v>41985</c:v>
                </c:pt>
                <c:pt idx="232">
                  <c:v>41988</c:v>
                </c:pt>
                <c:pt idx="233">
                  <c:v>41989</c:v>
                </c:pt>
                <c:pt idx="234">
                  <c:v>41990</c:v>
                </c:pt>
                <c:pt idx="235">
                  <c:v>41991</c:v>
                </c:pt>
                <c:pt idx="236">
                  <c:v>41992</c:v>
                </c:pt>
                <c:pt idx="237">
                  <c:v>41995</c:v>
                </c:pt>
                <c:pt idx="238">
                  <c:v>41996</c:v>
                </c:pt>
                <c:pt idx="239">
                  <c:v>41997</c:v>
                </c:pt>
                <c:pt idx="240">
                  <c:v>41998</c:v>
                </c:pt>
                <c:pt idx="241">
                  <c:v>41999</c:v>
                </c:pt>
                <c:pt idx="242">
                  <c:v>42002</c:v>
                </c:pt>
                <c:pt idx="243">
                  <c:v>42003</c:v>
                </c:pt>
                <c:pt idx="244">
                  <c:v>42004</c:v>
                </c:pt>
              </c:numCache>
            </c:numRef>
          </c:cat>
          <c:val>
            <c:numRef>
              <c:f>'股價走勢圖(CEIC)'!$B$4863:$B$5109</c:f>
              <c:numCache>
                <c:formatCode>#,##0.000</c:formatCode>
                <c:ptCount val="245"/>
                <c:pt idx="0">
                  <c:v>2109.39</c:v>
                </c:pt>
                <c:pt idx="1">
                  <c:v>2083.14</c:v>
                </c:pt>
                <c:pt idx="2">
                  <c:v>2045.71</c:v>
                </c:pt>
                <c:pt idx="3">
                  <c:v>2047.32</c:v>
                </c:pt>
                <c:pt idx="4">
                  <c:v>2044.34</c:v>
                </c:pt>
                <c:pt idx="5">
                  <c:v>2027.62</c:v>
                </c:pt>
                <c:pt idx="6">
                  <c:v>2013.3</c:v>
                </c:pt>
                <c:pt idx="7">
                  <c:v>2009.56</c:v>
                </c:pt>
                <c:pt idx="8">
                  <c:v>2026.84</c:v>
                </c:pt>
                <c:pt idx="9">
                  <c:v>2023.35</c:v>
                </c:pt>
                <c:pt idx="10">
                  <c:v>2023.7</c:v>
                </c:pt>
                <c:pt idx="11">
                  <c:v>2004.95</c:v>
                </c:pt>
                <c:pt idx="12">
                  <c:v>1991.25</c:v>
                </c:pt>
                <c:pt idx="13">
                  <c:v>2008.31</c:v>
                </c:pt>
                <c:pt idx="14">
                  <c:v>2051.75</c:v>
                </c:pt>
                <c:pt idx="15">
                  <c:v>2042.18</c:v>
                </c:pt>
                <c:pt idx="16">
                  <c:v>2054.39</c:v>
                </c:pt>
                <c:pt idx="17">
                  <c:v>2033.3</c:v>
                </c:pt>
                <c:pt idx="18">
                  <c:v>2038.51</c:v>
                </c:pt>
                <c:pt idx="19">
                  <c:v>2049.91</c:v>
                </c:pt>
                <c:pt idx="20">
                  <c:v>2033.08</c:v>
                </c:pt>
                <c:pt idx="21">
                  <c:v>2044.5</c:v>
                </c:pt>
                <c:pt idx="22">
                  <c:v>2086.0700000000002</c:v>
                </c:pt>
                <c:pt idx="23">
                  <c:v>2103.67</c:v>
                </c:pt>
                <c:pt idx="24">
                  <c:v>2109.96</c:v>
                </c:pt>
                <c:pt idx="25">
                  <c:v>2098.4</c:v>
                </c:pt>
                <c:pt idx="26">
                  <c:v>2115.85</c:v>
                </c:pt>
                <c:pt idx="27">
                  <c:v>2135.41</c:v>
                </c:pt>
                <c:pt idx="28">
                  <c:v>2119.0700000000002</c:v>
                </c:pt>
                <c:pt idx="29">
                  <c:v>2142.5500000000002</c:v>
                </c:pt>
                <c:pt idx="30">
                  <c:v>2138.7800000000002</c:v>
                </c:pt>
                <c:pt idx="31">
                  <c:v>2113.69</c:v>
                </c:pt>
                <c:pt idx="32">
                  <c:v>2076.69</c:v>
                </c:pt>
                <c:pt idx="33">
                  <c:v>2034.22</c:v>
                </c:pt>
                <c:pt idx="34">
                  <c:v>2041.25</c:v>
                </c:pt>
                <c:pt idx="35">
                  <c:v>2047.35</c:v>
                </c:pt>
                <c:pt idx="36">
                  <c:v>2056.3000000000002</c:v>
                </c:pt>
                <c:pt idx="37">
                  <c:v>2075.23</c:v>
                </c:pt>
                <c:pt idx="38">
                  <c:v>2071.4699999999998</c:v>
                </c:pt>
                <c:pt idx="39">
                  <c:v>2053.08</c:v>
                </c:pt>
                <c:pt idx="40">
                  <c:v>2059.58</c:v>
                </c:pt>
                <c:pt idx="41">
                  <c:v>2057.91</c:v>
                </c:pt>
                <c:pt idx="42">
                  <c:v>1999.06</c:v>
                </c:pt>
                <c:pt idx="43">
                  <c:v>2001.16</c:v>
                </c:pt>
                <c:pt idx="44">
                  <c:v>1997.69</c:v>
                </c:pt>
                <c:pt idx="45">
                  <c:v>2019.11</c:v>
                </c:pt>
                <c:pt idx="46">
                  <c:v>2004.34</c:v>
                </c:pt>
                <c:pt idx="47">
                  <c:v>2023.67</c:v>
                </c:pt>
                <c:pt idx="48">
                  <c:v>2025.2</c:v>
                </c:pt>
                <c:pt idx="49">
                  <c:v>2021.73</c:v>
                </c:pt>
                <c:pt idx="50">
                  <c:v>1993.48</c:v>
                </c:pt>
                <c:pt idx="51">
                  <c:v>2047.62</c:v>
                </c:pt>
                <c:pt idx="52">
                  <c:v>2066.2800000000002</c:v>
                </c:pt>
                <c:pt idx="53">
                  <c:v>2067.31</c:v>
                </c:pt>
                <c:pt idx="54">
                  <c:v>2063.67</c:v>
                </c:pt>
                <c:pt idx="55">
                  <c:v>2046.59</c:v>
                </c:pt>
                <c:pt idx="56">
                  <c:v>2041.71</c:v>
                </c:pt>
                <c:pt idx="57">
                  <c:v>2033.31</c:v>
                </c:pt>
                <c:pt idx="58">
                  <c:v>2047.46</c:v>
                </c:pt>
                <c:pt idx="59">
                  <c:v>2058.9899999999998</c:v>
                </c:pt>
                <c:pt idx="60">
                  <c:v>2043.7</c:v>
                </c:pt>
                <c:pt idx="61">
                  <c:v>2058.83</c:v>
                </c:pt>
                <c:pt idx="62">
                  <c:v>2098.2800000000002</c:v>
                </c:pt>
                <c:pt idx="63">
                  <c:v>2105.2399999999998</c:v>
                </c:pt>
                <c:pt idx="64">
                  <c:v>2134.3000000000002</c:v>
                </c:pt>
                <c:pt idx="65">
                  <c:v>2130.54</c:v>
                </c:pt>
                <c:pt idx="66">
                  <c:v>2131.54</c:v>
                </c:pt>
                <c:pt idx="67">
                  <c:v>2101.6</c:v>
                </c:pt>
                <c:pt idx="68">
                  <c:v>2105.12</c:v>
                </c:pt>
                <c:pt idx="69">
                  <c:v>2098.88</c:v>
                </c:pt>
                <c:pt idx="70">
                  <c:v>2097.75</c:v>
                </c:pt>
                <c:pt idx="71">
                  <c:v>2065.83</c:v>
                </c:pt>
                <c:pt idx="72">
                  <c:v>2072.83</c:v>
                </c:pt>
                <c:pt idx="73">
                  <c:v>2067.38</c:v>
                </c:pt>
                <c:pt idx="74">
                  <c:v>2057.0300000000002</c:v>
                </c:pt>
                <c:pt idx="75">
                  <c:v>2036.52</c:v>
                </c:pt>
                <c:pt idx="76">
                  <c:v>2003.49</c:v>
                </c:pt>
                <c:pt idx="77">
                  <c:v>2020.34</c:v>
                </c:pt>
                <c:pt idx="78">
                  <c:v>2026.36</c:v>
                </c:pt>
                <c:pt idx="79">
                  <c:v>2027.35</c:v>
                </c:pt>
                <c:pt idx="80">
                  <c:v>2028.04</c:v>
                </c:pt>
                <c:pt idx="81">
                  <c:v>2010.08</c:v>
                </c:pt>
                <c:pt idx="82">
                  <c:v>2015.27</c:v>
                </c:pt>
                <c:pt idx="83">
                  <c:v>2011.13</c:v>
                </c:pt>
                <c:pt idx="84">
                  <c:v>2052.87</c:v>
                </c:pt>
                <c:pt idx="85">
                  <c:v>2050.73</c:v>
                </c:pt>
                <c:pt idx="86">
                  <c:v>2047.91</c:v>
                </c:pt>
                <c:pt idx="87">
                  <c:v>2024.97</c:v>
                </c:pt>
                <c:pt idx="88">
                  <c:v>2026.5</c:v>
                </c:pt>
                <c:pt idx="89">
                  <c:v>2005.18</c:v>
                </c:pt>
                <c:pt idx="90">
                  <c:v>2008.12</c:v>
                </c:pt>
                <c:pt idx="91">
                  <c:v>2024.95</c:v>
                </c:pt>
                <c:pt idx="92">
                  <c:v>2021.29</c:v>
                </c:pt>
                <c:pt idx="93">
                  <c:v>2034.57</c:v>
                </c:pt>
                <c:pt idx="94">
                  <c:v>2041.48</c:v>
                </c:pt>
                <c:pt idx="95">
                  <c:v>2034.57</c:v>
                </c:pt>
                <c:pt idx="96">
                  <c:v>2050.23</c:v>
                </c:pt>
                <c:pt idx="97">
                  <c:v>2040.6</c:v>
                </c:pt>
                <c:pt idx="98">
                  <c:v>2039.21</c:v>
                </c:pt>
                <c:pt idx="99">
                  <c:v>2038.31</c:v>
                </c:pt>
                <c:pt idx="100">
                  <c:v>2024.83</c:v>
                </c:pt>
                <c:pt idx="101">
                  <c:v>2040.88</c:v>
                </c:pt>
                <c:pt idx="102">
                  <c:v>2029.96</c:v>
                </c:pt>
                <c:pt idx="103">
                  <c:v>2030.5</c:v>
                </c:pt>
                <c:pt idx="104">
                  <c:v>2052.5300000000002</c:v>
                </c:pt>
                <c:pt idx="105">
                  <c:v>2054.9499999999998</c:v>
                </c:pt>
                <c:pt idx="106">
                  <c:v>2051.71</c:v>
                </c:pt>
                <c:pt idx="107">
                  <c:v>2070.71</c:v>
                </c:pt>
                <c:pt idx="108">
                  <c:v>2085.98</c:v>
                </c:pt>
                <c:pt idx="109">
                  <c:v>2066.6999999999998</c:v>
                </c:pt>
                <c:pt idx="110">
                  <c:v>2055.52</c:v>
                </c:pt>
                <c:pt idx="111">
                  <c:v>2023.73</c:v>
                </c:pt>
                <c:pt idx="112">
                  <c:v>2026.67</c:v>
                </c:pt>
                <c:pt idx="113">
                  <c:v>2024.37</c:v>
                </c:pt>
                <c:pt idx="114">
                  <c:v>2033.93</c:v>
                </c:pt>
                <c:pt idx="115">
                  <c:v>2025.5</c:v>
                </c:pt>
                <c:pt idx="116">
                  <c:v>2038.68</c:v>
                </c:pt>
                <c:pt idx="117">
                  <c:v>2036.51</c:v>
                </c:pt>
                <c:pt idx="118">
                  <c:v>2048.33</c:v>
                </c:pt>
                <c:pt idx="119">
                  <c:v>2050.38</c:v>
                </c:pt>
                <c:pt idx="120">
                  <c:v>2059.42</c:v>
                </c:pt>
                <c:pt idx="121">
                  <c:v>2063.23</c:v>
                </c:pt>
                <c:pt idx="122">
                  <c:v>2059.37</c:v>
                </c:pt>
                <c:pt idx="123">
                  <c:v>2059.9299999999998</c:v>
                </c:pt>
                <c:pt idx="124">
                  <c:v>2064.02</c:v>
                </c:pt>
                <c:pt idx="125">
                  <c:v>2038.61</c:v>
                </c:pt>
                <c:pt idx="126">
                  <c:v>2038.34</c:v>
                </c:pt>
                <c:pt idx="127">
                  <c:v>2046.96</c:v>
                </c:pt>
                <c:pt idx="128">
                  <c:v>2066.65</c:v>
                </c:pt>
                <c:pt idx="129">
                  <c:v>2070.36</c:v>
                </c:pt>
                <c:pt idx="130">
                  <c:v>2067.2800000000002</c:v>
                </c:pt>
                <c:pt idx="131">
                  <c:v>2055.59</c:v>
                </c:pt>
                <c:pt idx="132">
                  <c:v>2059.0700000000002</c:v>
                </c:pt>
                <c:pt idx="133">
                  <c:v>2054.48</c:v>
                </c:pt>
                <c:pt idx="134">
                  <c:v>2075.48</c:v>
                </c:pt>
                <c:pt idx="135">
                  <c:v>2078.4899999999998</c:v>
                </c:pt>
                <c:pt idx="136">
                  <c:v>2105.06</c:v>
                </c:pt>
                <c:pt idx="137">
                  <c:v>2126.61</c:v>
                </c:pt>
                <c:pt idx="138">
                  <c:v>2177.9499999999998</c:v>
                </c:pt>
                <c:pt idx="139">
                  <c:v>2183.19</c:v>
                </c:pt>
                <c:pt idx="140">
                  <c:v>2181.2399999999998</c:v>
                </c:pt>
                <c:pt idx="141">
                  <c:v>2201.56</c:v>
                </c:pt>
                <c:pt idx="142">
                  <c:v>2185.3000000000002</c:v>
                </c:pt>
                <c:pt idx="143">
                  <c:v>2223.33</c:v>
                </c:pt>
                <c:pt idx="144">
                  <c:v>2219.9499999999998</c:v>
                </c:pt>
                <c:pt idx="145">
                  <c:v>2217.46</c:v>
                </c:pt>
                <c:pt idx="146">
                  <c:v>2187.67</c:v>
                </c:pt>
                <c:pt idx="147">
                  <c:v>2194.42</c:v>
                </c:pt>
                <c:pt idx="148">
                  <c:v>2224.65</c:v>
                </c:pt>
                <c:pt idx="149">
                  <c:v>2221.6</c:v>
                </c:pt>
                <c:pt idx="150">
                  <c:v>2222.88</c:v>
                </c:pt>
                <c:pt idx="151">
                  <c:v>2206.4699999999998</c:v>
                </c:pt>
                <c:pt idx="152">
                  <c:v>2226.73</c:v>
                </c:pt>
                <c:pt idx="153">
                  <c:v>2239.4699999999998</c:v>
                </c:pt>
                <c:pt idx="154">
                  <c:v>2245.33</c:v>
                </c:pt>
                <c:pt idx="155">
                  <c:v>2240.21</c:v>
                </c:pt>
                <c:pt idx="156">
                  <c:v>2230.46</c:v>
                </c:pt>
                <c:pt idx="157">
                  <c:v>2240.81</c:v>
                </c:pt>
                <c:pt idx="158">
                  <c:v>2229.27</c:v>
                </c:pt>
                <c:pt idx="159">
                  <c:v>2207.11</c:v>
                </c:pt>
                <c:pt idx="160">
                  <c:v>2209.4699999999998</c:v>
                </c:pt>
                <c:pt idx="161">
                  <c:v>2195.8200000000002</c:v>
                </c:pt>
                <c:pt idx="162">
                  <c:v>2217.1999999999998</c:v>
                </c:pt>
                <c:pt idx="163">
                  <c:v>2235.5100000000002</c:v>
                </c:pt>
                <c:pt idx="164">
                  <c:v>2266.0500000000002</c:v>
                </c:pt>
                <c:pt idx="165">
                  <c:v>2288.63</c:v>
                </c:pt>
                <c:pt idx="166">
                  <c:v>2306.86</c:v>
                </c:pt>
                <c:pt idx="167">
                  <c:v>2326.4299999999998</c:v>
                </c:pt>
                <c:pt idx="168">
                  <c:v>2326.5300000000002</c:v>
                </c:pt>
                <c:pt idx="169">
                  <c:v>2318.31</c:v>
                </c:pt>
                <c:pt idx="170">
                  <c:v>2311.6799999999998</c:v>
                </c:pt>
                <c:pt idx="171">
                  <c:v>2331.9499999999998</c:v>
                </c:pt>
                <c:pt idx="172">
                  <c:v>2339.14</c:v>
                </c:pt>
                <c:pt idx="173">
                  <c:v>2296.56</c:v>
                </c:pt>
                <c:pt idx="174">
                  <c:v>2307.89</c:v>
                </c:pt>
                <c:pt idx="175">
                  <c:v>2315.9299999999998</c:v>
                </c:pt>
                <c:pt idx="176">
                  <c:v>2329.4499999999998</c:v>
                </c:pt>
                <c:pt idx="177">
                  <c:v>2289.87</c:v>
                </c:pt>
                <c:pt idx="178">
                  <c:v>2309.7199999999998</c:v>
                </c:pt>
                <c:pt idx="179">
                  <c:v>2343.58</c:v>
                </c:pt>
                <c:pt idx="180">
                  <c:v>2345.1</c:v>
                </c:pt>
                <c:pt idx="181">
                  <c:v>2347.7199999999998</c:v>
                </c:pt>
                <c:pt idx="182">
                  <c:v>2357.71</c:v>
                </c:pt>
                <c:pt idx="183">
                  <c:v>2363.87</c:v>
                </c:pt>
                <c:pt idx="184">
                  <c:v>2382.79</c:v>
                </c:pt>
                <c:pt idx="185">
                  <c:v>2389.37</c:v>
                </c:pt>
                <c:pt idx="186">
                  <c:v>2374.54</c:v>
                </c:pt>
                <c:pt idx="187">
                  <c:v>2366.0100000000002</c:v>
                </c:pt>
                <c:pt idx="188">
                  <c:v>2359.48</c:v>
                </c:pt>
                <c:pt idx="189">
                  <c:v>2373.67</c:v>
                </c:pt>
                <c:pt idx="190">
                  <c:v>2356.5</c:v>
                </c:pt>
                <c:pt idx="191">
                  <c:v>2341.1799999999998</c:v>
                </c:pt>
                <c:pt idx="192">
                  <c:v>2356.73</c:v>
                </c:pt>
                <c:pt idx="193">
                  <c:v>2339.66</c:v>
                </c:pt>
                <c:pt idx="194">
                  <c:v>2326.5500000000002</c:v>
                </c:pt>
                <c:pt idx="195">
                  <c:v>2302.42</c:v>
                </c:pt>
                <c:pt idx="196">
                  <c:v>2302.2800000000002</c:v>
                </c:pt>
                <c:pt idx="197">
                  <c:v>2290.44</c:v>
                </c:pt>
                <c:pt idx="198">
                  <c:v>2337.87</c:v>
                </c:pt>
                <c:pt idx="199">
                  <c:v>2373.0300000000002</c:v>
                </c:pt>
                <c:pt idx="200">
                  <c:v>2391.08</c:v>
                </c:pt>
                <c:pt idx="201">
                  <c:v>2420.1799999999998</c:v>
                </c:pt>
                <c:pt idx="202">
                  <c:v>2430.0300000000002</c:v>
                </c:pt>
                <c:pt idx="203">
                  <c:v>2430.6799999999998</c:v>
                </c:pt>
                <c:pt idx="204">
                  <c:v>2419.25</c:v>
                </c:pt>
                <c:pt idx="205">
                  <c:v>2425.86</c:v>
                </c:pt>
                <c:pt idx="206">
                  <c:v>2418.17</c:v>
                </c:pt>
                <c:pt idx="207">
                  <c:v>2473.67</c:v>
                </c:pt>
                <c:pt idx="208">
                  <c:v>2469.67</c:v>
                </c:pt>
                <c:pt idx="209">
                  <c:v>2494.48</c:v>
                </c:pt>
                <c:pt idx="210">
                  <c:v>2485.61</c:v>
                </c:pt>
                <c:pt idx="211">
                  <c:v>2478.8200000000002</c:v>
                </c:pt>
                <c:pt idx="212">
                  <c:v>2474.0100000000002</c:v>
                </c:pt>
                <c:pt idx="213">
                  <c:v>2456.37</c:v>
                </c:pt>
                <c:pt idx="214">
                  <c:v>2450.9899999999998</c:v>
                </c:pt>
                <c:pt idx="215">
                  <c:v>2452.66</c:v>
                </c:pt>
                <c:pt idx="216">
                  <c:v>2486.79</c:v>
                </c:pt>
                <c:pt idx="217">
                  <c:v>2532.88</c:v>
                </c:pt>
                <c:pt idx="218">
                  <c:v>2567.6</c:v>
                </c:pt>
                <c:pt idx="219">
                  <c:v>2604.35</c:v>
                </c:pt>
                <c:pt idx="220">
                  <c:v>2630.49</c:v>
                </c:pt>
                <c:pt idx="221">
                  <c:v>2682.84</c:v>
                </c:pt>
                <c:pt idx="222">
                  <c:v>2680.16</c:v>
                </c:pt>
                <c:pt idx="223">
                  <c:v>2763.55</c:v>
                </c:pt>
                <c:pt idx="224">
                  <c:v>2779.53</c:v>
                </c:pt>
                <c:pt idx="225">
                  <c:v>2899.46</c:v>
                </c:pt>
                <c:pt idx="226">
                  <c:v>2937.65</c:v>
                </c:pt>
                <c:pt idx="227">
                  <c:v>3020.26</c:v>
                </c:pt>
                <c:pt idx="228">
                  <c:v>2856.27</c:v>
                </c:pt>
                <c:pt idx="229">
                  <c:v>2940.01</c:v>
                </c:pt>
                <c:pt idx="230">
                  <c:v>2925.74</c:v>
                </c:pt>
                <c:pt idx="231">
                  <c:v>2938.17</c:v>
                </c:pt>
                <c:pt idx="232">
                  <c:v>2953.42</c:v>
                </c:pt>
                <c:pt idx="233">
                  <c:v>3021.52</c:v>
                </c:pt>
                <c:pt idx="234">
                  <c:v>3061.02</c:v>
                </c:pt>
                <c:pt idx="235">
                  <c:v>3057.52</c:v>
                </c:pt>
                <c:pt idx="236">
                  <c:v>3108.6</c:v>
                </c:pt>
                <c:pt idx="237">
                  <c:v>3127.45</c:v>
                </c:pt>
                <c:pt idx="238">
                  <c:v>3032.61</c:v>
                </c:pt>
                <c:pt idx="239">
                  <c:v>2972.53</c:v>
                </c:pt>
                <c:pt idx="240">
                  <c:v>3072.54</c:v>
                </c:pt>
                <c:pt idx="241">
                  <c:v>3157.6</c:v>
                </c:pt>
                <c:pt idx="242">
                  <c:v>3168.02</c:v>
                </c:pt>
                <c:pt idx="243">
                  <c:v>3165.82</c:v>
                </c:pt>
                <c:pt idx="244">
                  <c:v>3234.68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59936"/>
        <c:axId val="144426112"/>
      </c:lineChart>
      <c:lineChart>
        <c:grouping val="stacked"/>
        <c:varyColors val="0"/>
        <c:ser>
          <c:idx val="1"/>
          <c:order val="1"/>
          <c:tx>
            <c:strRef>
              <c:f>'股價走勢圖(CEIC)'!$C$1</c:f>
              <c:strCache>
                <c:ptCount val="1"/>
                <c:pt idx="0">
                  <c:v>深圳綜合指數(右軸)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'股價走勢圖(CEIC)'!$A$4863:$A$5109</c:f>
              <c:numCache>
                <c:formatCode>\ [$-1028]yyyy/m/d</c:formatCode>
                <c:ptCount val="245"/>
                <c:pt idx="0">
                  <c:v>41641</c:v>
                </c:pt>
                <c:pt idx="1">
                  <c:v>41642</c:v>
                </c:pt>
                <c:pt idx="2">
                  <c:v>41645</c:v>
                </c:pt>
                <c:pt idx="3">
                  <c:v>41646</c:v>
                </c:pt>
                <c:pt idx="4">
                  <c:v>41647</c:v>
                </c:pt>
                <c:pt idx="5">
                  <c:v>41648</c:v>
                </c:pt>
                <c:pt idx="6">
                  <c:v>41649</c:v>
                </c:pt>
                <c:pt idx="7">
                  <c:v>41652</c:v>
                </c:pt>
                <c:pt idx="8">
                  <c:v>41653</c:v>
                </c:pt>
                <c:pt idx="9">
                  <c:v>41654</c:v>
                </c:pt>
                <c:pt idx="10">
                  <c:v>41655</c:v>
                </c:pt>
                <c:pt idx="11">
                  <c:v>41656</c:v>
                </c:pt>
                <c:pt idx="12">
                  <c:v>41659</c:v>
                </c:pt>
                <c:pt idx="13">
                  <c:v>41660</c:v>
                </c:pt>
                <c:pt idx="14">
                  <c:v>41661</c:v>
                </c:pt>
                <c:pt idx="15">
                  <c:v>41662</c:v>
                </c:pt>
                <c:pt idx="16">
                  <c:v>41663</c:v>
                </c:pt>
                <c:pt idx="17">
                  <c:v>41666</c:v>
                </c:pt>
                <c:pt idx="18">
                  <c:v>41667</c:v>
                </c:pt>
                <c:pt idx="19">
                  <c:v>41668</c:v>
                </c:pt>
                <c:pt idx="20">
                  <c:v>41669</c:v>
                </c:pt>
                <c:pt idx="21">
                  <c:v>41677</c:v>
                </c:pt>
                <c:pt idx="22">
                  <c:v>41680</c:v>
                </c:pt>
                <c:pt idx="23">
                  <c:v>41681</c:v>
                </c:pt>
                <c:pt idx="24">
                  <c:v>41682</c:v>
                </c:pt>
                <c:pt idx="25">
                  <c:v>41683</c:v>
                </c:pt>
                <c:pt idx="26">
                  <c:v>41684</c:v>
                </c:pt>
                <c:pt idx="27">
                  <c:v>41687</c:v>
                </c:pt>
                <c:pt idx="28">
                  <c:v>41688</c:v>
                </c:pt>
                <c:pt idx="29">
                  <c:v>41689</c:v>
                </c:pt>
                <c:pt idx="30">
                  <c:v>41690</c:v>
                </c:pt>
                <c:pt idx="31">
                  <c:v>41691</c:v>
                </c:pt>
                <c:pt idx="32">
                  <c:v>41694</c:v>
                </c:pt>
                <c:pt idx="33">
                  <c:v>41695</c:v>
                </c:pt>
                <c:pt idx="34">
                  <c:v>41696</c:v>
                </c:pt>
                <c:pt idx="35">
                  <c:v>41697</c:v>
                </c:pt>
                <c:pt idx="36">
                  <c:v>41698</c:v>
                </c:pt>
                <c:pt idx="37">
                  <c:v>41701</c:v>
                </c:pt>
                <c:pt idx="38">
                  <c:v>41702</c:v>
                </c:pt>
                <c:pt idx="39">
                  <c:v>41703</c:v>
                </c:pt>
                <c:pt idx="40">
                  <c:v>41704</c:v>
                </c:pt>
                <c:pt idx="41">
                  <c:v>41705</c:v>
                </c:pt>
                <c:pt idx="42">
                  <c:v>41708</c:v>
                </c:pt>
                <c:pt idx="43">
                  <c:v>41709</c:v>
                </c:pt>
                <c:pt idx="44">
                  <c:v>41710</c:v>
                </c:pt>
                <c:pt idx="45">
                  <c:v>41711</c:v>
                </c:pt>
                <c:pt idx="46">
                  <c:v>41712</c:v>
                </c:pt>
                <c:pt idx="47">
                  <c:v>41715</c:v>
                </c:pt>
                <c:pt idx="48">
                  <c:v>41716</c:v>
                </c:pt>
                <c:pt idx="49">
                  <c:v>41717</c:v>
                </c:pt>
                <c:pt idx="50">
                  <c:v>41718</c:v>
                </c:pt>
                <c:pt idx="51">
                  <c:v>41719</c:v>
                </c:pt>
                <c:pt idx="52">
                  <c:v>41722</c:v>
                </c:pt>
                <c:pt idx="53">
                  <c:v>41723</c:v>
                </c:pt>
                <c:pt idx="54">
                  <c:v>41724</c:v>
                </c:pt>
                <c:pt idx="55">
                  <c:v>41725</c:v>
                </c:pt>
                <c:pt idx="56">
                  <c:v>41726</c:v>
                </c:pt>
                <c:pt idx="57">
                  <c:v>41729</c:v>
                </c:pt>
                <c:pt idx="58">
                  <c:v>41730</c:v>
                </c:pt>
                <c:pt idx="59">
                  <c:v>41731</c:v>
                </c:pt>
                <c:pt idx="60">
                  <c:v>41732</c:v>
                </c:pt>
                <c:pt idx="61">
                  <c:v>41733</c:v>
                </c:pt>
                <c:pt idx="62">
                  <c:v>41737</c:v>
                </c:pt>
                <c:pt idx="63">
                  <c:v>41738</c:v>
                </c:pt>
                <c:pt idx="64">
                  <c:v>41739</c:v>
                </c:pt>
                <c:pt idx="65">
                  <c:v>41740</c:v>
                </c:pt>
                <c:pt idx="66">
                  <c:v>41743</c:v>
                </c:pt>
                <c:pt idx="67">
                  <c:v>41744</c:v>
                </c:pt>
                <c:pt idx="68">
                  <c:v>41745</c:v>
                </c:pt>
                <c:pt idx="69">
                  <c:v>41746</c:v>
                </c:pt>
                <c:pt idx="70">
                  <c:v>41747</c:v>
                </c:pt>
                <c:pt idx="71">
                  <c:v>41750</c:v>
                </c:pt>
                <c:pt idx="72">
                  <c:v>41751</c:v>
                </c:pt>
                <c:pt idx="73">
                  <c:v>41752</c:v>
                </c:pt>
                <c:pt idx="74">
                  <c:v>41753</c:v>
                </c:pt>
                <c:pt idx="75">
                  <c:v>41754</c:v>
                </c:pt>
                <c:pt idx="76">
                  <c:v>41757</c:v>
                </c:pt>
                <c:pt idx="77">
                  <c:v>41758</c:v>
                </c:pt>
                <c:pt idx="78">
                  <c:v>41759</c:v>
                </c:pt>
                <c:pt idx="79">
                  <c:v>41764</c:v>
                </c:pt>
                <c:pt idx="80">
                  <c:v>41765</c:v>
                </c:pt>
                <c:pt idx="81">
                  <c:v>41766</c:v>
                </c:pt>
                <c:pt idx="82">
                  <c:v>41767</c:v>
                </c:pt>
                <c:pt idx="83">
                  <c:v>41768</c:v>
                </c:pt>
                <c:pt idx="84">
                  <c:v>41771</c:v>
                </c:pt>
                <c:pt idx="85">
                  <c:v>41772</c:v>
                </c:pt>
                <c:pt idx="86">
                  <c:v>41773</c:v>
                </c:pt>
                <c:pt idx="87">
                  <c:v>41774</c:v>
                </c:pt>
                <c:pt idx="88">
                  <c:v>41775</c:v>
                </c:pt>
                <c:pt idx="89">
                  <c:v>41778</c:v>
                </c:pt>
                <c:pt idx="90">
                  <c:v>41779</c:v>
                </c:pt>
                <c:pt idx="91">
                  <c:v>41780</c:v>
                </c:pt>
                <c:pt idx="92">
                  <c:v>41781</c:v>
                </c:pt>
                <c:pt idx="93">
                  <c:v>41782</c:v>
                </c:pt>
                <c:pt idx="94">
                  <c:v>41785</c:v>
                </c:pt>
                <c:pt idx="95">
                  <c:v>41786</c:v>
                </c:pt>
                <c:pt idx="96">
                  <c:v>41787</c:v>
                </c:pt>
                <c:pt idx="97">
                  <c:v>41788</c:v>
                </c:pt>
                <c:pt idx="98">
                  <c:v>41789</c:v>
                </c:pt>
                <c:pt idx="99">
                  <c:v>41793</c:v>
                </c:pt>
                <c:pt idx="100">
                  <c:v>41794</c:v>
                </c:pt>
                <c:pt idx="101">
                  <c:v>41795</c:v>
                </c:pt>
                <c:pt idx="102">
                  <c:v>41796</c:v>
                </c:pt>
                <c:pt idx="103">
                  <c:v>41799</c:v>
                </c:pt>
                <c:pt idx="104">
                  <c:v>41800</c:v>
                </c:pt>
                <c:pt idx="105">
                  <c:v>41801</c:v>
                </c:pt>
                <c:pt idx="106">
                  <c:v>41802</c:v>
                </c:pt>
                <c:pt idx="107">
                  <c:v>41803</c:v>
                </c:pt>
                <c:pt idx="108">
                  <c:v>41806</c:v>
                </c:pt>
                <c:pt idx="109">
                  <c:v>41807</c:v>
                </c:pt>
                <c:pt idx="110">
                  <c:v>41808</c:v>
                </c:pt>
                <c:pt idx="111">
                  <c:v>41809</c:v>
                </c:pt>
                <c:pt idx="112">
                  <c:v>41810</c:v>
                </c:pt>
                <c:pt idx="113">
                  <c:v>41813</c:v>
                </c:pt>
                <c:pt idx="114">
                  <c:v>41814</c:v>
                </c:pt>
                <c:pt idx="115">
                  <c:v>41815</c:v>
                </c:pt>
                <c:pt idx="116">
                  <c:v>41816</c:v>
                </c:pt>
                <c:pt idx="117">
                  <c:v>41817</c:v>
                </c:pt>
                <c:pt idx="118">
                  <c:v>41820</c:v>
                </c:pt>
                <c:pt idx="119">
                  <c:v>41821</c:v>
                </c:pt>
                <c:pt idx="120">
                  <c:v>41822</c:v>
                </c:pt>
                <c:pt idx="121">
                  <c:v>41823</c:v>
                </c:pt>
                <c:pt idx="122">
                  <c:v>41824</c:v>
                </c:pt>
                <c:pt idx="123">
                  <c:v>41827</c:v>
                </c:pt>
                <c:pt idx="124">
                  <c:v>41828</c:v>
                </c:pt>
                <c:pt idx="125">
                  <c:v>41829</c:v>
                </c:pt>
                <c:pt idx="126">
                  <c:v>41830</c:v>
                </c:pt>
                <c:pt idx="127">
                  <c:v>41831</c:v>
                </c:pt>
                <c:pt idx="128">
                  <c:v>41834</c:v>
                </c:pt>
                <c:pt idx="129">
                  <c:v>41835</c:v>
                </c:pt>
                <c:pt idx="130">
                  <c:v>41836</c:v>
                </c:pt>
                <c:pt idx="131">
                  <c:v>41837</c:v>
                </c:pt>
                <c:pt idx="132">
                  <c:v>41838</c:v>
                </c:pt>
                <c:pt idx="133">
                  <c:v>41841</c:v>
                </c:pt>
                <c:pt idx="134">
                  <c:v>41842</c:v>
                </c:pt>
                <c:pt idx="135">
                  <c:v>41843</c:v>
                </c:pt>
                <c:pt idx="136">
                  <c:v>41844</c:v>
                </c:pt>
                <c:pt idx="137">
                  <c:v>41845</c:v>
                </c:pt>
                <c:pt idx="138">
                  <c:v>41848</c:v>
                </c:pt>
                <c:pt idx="139">
                  <c:v>41849</c:v>
                </c:pt>
                <c:pt idx="140">
                  <c:v>41850</c:v>
                </c:pt>
                <c:pt idx="141">
                  <c:v>41851</c:v>
                </c:pt>
                <c:pt idx="142">
                  <c:v>41852</c:v>
                </c:pt>
                <c:pt idx="143">
                  <c:v>41855</c:v>
                </c:pt>
                <c:pt idx="144">
                  <c:v>41856</c:v>
                </c:pt>
                <c:pt idx="145">
                  <c:v>41857</c:v>
                </c:pt>
                <c:pt idx="146">
                  <c:v>41858</c:v>
                </c:pt>
                <c:pt idx="147">
                  <c:v>41859</c:v>
                </c:pt>
                <c:pt idx="148">
                  <c:v>41862</c:v>
                </c:pt>
                <c:pt idx="149">
                  <c:v>41863</c:v>
                </c:pt>
                <c:pt idx="150">
                  <c:v>41864</c:v>
                </c:pt>
                <c:pt idx="151">
                  <c:v>41865</c:v>
                </c:pt>
                <c:pt idx="152">
                  <c:v>41866</c:v>
                </c:pt>
                <c:pt idx="153">
                  <c:v>41869</c:v>
                </c:pt>
                <c:pt idx="154">
                  <c:v>41870</c:v>
                </c:pt>
                <c:pt idx="155">
                  <c:v>41871</c:v>
                </c:pt>
                <c:pt idx="156">
                  <c:v>41872</c:v>
                </c:pt>
                <c:pt idx="157">
                  <c:v>41873</c:v>
                </c:pt>
                <c:pt idx="158">
                  <c:v>41876</c:v>
                </c:pt>
                <c:pt idx="159">
                  <c:v>41877</c:v>
                </c:pt>
                <c:pt idx="160">
                  <c:v>41878</c:v>
                </c:pt>
                <c:pt idx="161">
                  <c:v>41879</c:v>
                </c:pt>
                <c:pt idx="162">
                  <c:v>41880</c:v>
                </c:pt>
                <c:pt idx="163">
                  <c:v>41883</c:v>
                </c:pt>
                <c:pt idx="164">
                  <c:v>41884</c:v>
                </c:pt>
                <c:pt idx="165">
                  <c:v>41885</c:v>
                </c:pt>
                <c:pt idx="166">
                  <c:v>41886</c:v>
                </c:pt>
                <c:pt idx="167">
                  <c:v>41887</c:v>
                </c:pt>
                <c:pt idx="168">
                  <c:v>41891</c:v>
                </c:pt>
                <c:pt idx="169">
                  <c:v>41892</c:v>
                </c:pt>
                <c:pt idx="170">
                  <c:v>41893</c:v>
                </c:pt>
                <c:pt idx="171">
                  <c:v>41894</c:v>
                </c:pt>
                <c:pt idx="172">
                  <c:v>41897</c:v>
                </c:pt>
                <c:pt idx="173">
                  <c:v>41898</c:v>
                </c:pt>
                <c:pt idx="174">
                  <c:v>41899</c:v>
                </c:pt>
                <c:pt idx="175">
                  <c:v>41900</c:v>
                </c:pt>
                <c:pt idx="176">
                  <c:v>41901</c:v>
                </c:pt>
                <c:pt idx="177">
                  <c:v>41904</c:v>
                </c:pt>
                <c:pt idx="178">
                  <c:v>41905</c:v>
                </c:pt>
                <c:pt idx="179">
                  <c:v>41906</c:v>
                </c:pt>
                <c:pt idx="180">
                  <c:v>41907</c:v>
                </c:pt>
                <c:pt idx="181">
                  <c:v>41908</c:v>
                </c:pt>
                <c:pt idx="182">
                  <c:v>41911</c:v>
                </c:pt>
                <c:pt idx="183">
                  <c:v>41912</c:v>
                </c:pt>
                <c:pt idx="184">
                  <c:v>41920</c:v>
                </c:pt>
                <c:pt idx="185">
                  <c:v>41921</c:v>
                </c:pt>
                <c:pt idx="186">
                  <c:v>41922</c:v>
                </c:pt>
                <c:pt idx="187">
                  <c:v>41925</c:v>
                </c:pt>
                <c:pt idx="188">
                  <c:v>41926</c:v>
                </c:pt>
                <c:pt idx="189">
                  <c:v>41927</c:v>
                </c:pt>
                <c:pt idx="190">
                  <c:v>41928</c:v>
                </c:pt>
                <c:pt idx="191">
                  <c:v>41929</c:v>
                </c:pt>
                <c:pt idx="192">
                  <c:v>41932</c:v>
                </c:pt>
                <c:pt idx="193">
                  <c:v>41933</c:v>
                </c:pt>
                <c:pt idx="194">
                  <c:v>41934</c:v>
                </c:pt>
                <c:pt idx="195">
                  <c:v>41935</c:v>
                </c:pt>
                <c:pt idx="196">
                  <c:v>41936</c:v>
                </c:pt>
                <c:pt idx="197">
                  <c:v>41939</c:v>
                </c:pt>
                <c:pt idx="198">
                  <c:v>41940</c:v>
                </c:pt>
                <c:pt idx="199">
                  <c:v>41941</c:v>
                </c:pt>
                <c:pt idx="200">
                  <c:v>41942</c:v>
                </c:pt>
                <c:pt idx="201">
                  <c:v>41943</c:v>
                </c:pt>
                <c:pt idx="202">
                  <c:v>41946</c:v>
                </c:pt>
                <c:pt idx="203">
                  <c:v>41947</c:v>
                </c:pt>
                <c:pt idx="204">
                  <c:v>41948</c:v>
                </c:pt>
                <c:pt idx="205">
                  <c:v>41949</c:v>
                </c:pt>
                <c:pt idx="206">
                  <c:v>41950</c:v>
                </c:pt>
                <c:pt idx="207">
                  <c:v>41953</c:v>
                </c:pt>
                <c:pt idx="208">
                  <c:v>41954</c:v>
                </c:pt>
                <c:pt idx="209">
                  <c:v>41955</c:v>
                </c:pt>
                <c:pt idx="210">
                  <c:v>41956</c:v>
                </c:pt>
                <c:pt idx="211">
                  <c:v>41957</c:v>
                </c:pt>
                <c:pt idx="212">
                  <c:v>41960</c:v>
                </c:pt>
                <c:pt idx="213">
                  <c:v>41961</c:v>
                </c:pt>
                <c:pt idx="214">
                  <c:v>41962</c:v>
                </c:pt>
                <c:pt idx="215">
                  <c:v>41963</c:v>
                </c:pt>
                <c:pt idx="216">
                  <c:v>41964</c:v>
                </c:pt>
                <c:pt idx="217">
                  <c:v>41967</c:v>
                </c:pt>
                <c:pt idx="218">
                  <c:v>41968</c:v>
                </c:pt>
                <c:pt idx="219">
                  <c:v>41969</c:v>
                </c:pt>
                <c:pt idx="220">
                  <c:v>41970</c:v>
                </c:pt>
                <c:pt idx="221">
                  <c:v>41971</c:v>
                </c:pt>
                <c:pt idx="222">
                  <c:v>41974</c:v>
                </c:pt>
                <c:pt idx="223">
                  <c:v>41975</c:v>
                </c:pt>
                <c:pt idx="224">
                  <c:v>41976</c:v>
                </c:pt>
                <c:pt idx="225">
                  <c:v>41977</c:v>
                </c:pt>
                <c:pt idx="226">
                  <c:v>41978</c:v>
                </c:pt>
                <c:pt idx="227">
                  <c:v>41981</c:v>
                </c:pt>
                <c:pt idx="228">
                  <c:v>41982</c:v>
                </c:pt>
                <c:pt idx="229">
                  <c:v>41983</c:v>
                </c:pt>
                <c:pt idx="230">
                  <c:v>41984</c:v>
                </c:pt>
                <c:pt idx="231">
                  <c:v>41985</c:v>
                </c:pt>
                <c:pt idx="232">
                  <c:v>41988</c:v>
                </c:pt>
                <c:pt idx="233">
                  <c:v>41989</c:v>
                </c:pt>
                <c:pt idx="234">
                  <c:v>41990</c:v>
                </c:pt>
                <c:pt idx="235">
                  <c:v>41991</c:v>
                </c:pt>
                <c:pt idx="236">
                  <c:v>41992</c:v>
                </c:pt>
                <c:pt idx="237">
                  <c:v>41995</c:v>
                </c:pt>
                <c:pt idx="238">
                  <c:v>41996</c:v>
                </c:pt>
                <c:pt idx="239">
                  <c:v>41997</c:v>
                </c:pt>
                <c:pt idx="240">
                  <c:v>41998</c:v>
                </c:pt>
                <c:pt idx="241">
                  <c:v>41999</c:v>
                </c:pt>
                <c:pt idx="242">
                  <c:v>42002</c:v>
                </c:pt>
                <c:pt idx="243">
                  <c:v>42003</c:v>
                </c:pt>
                <c:pt idx="244">
                  <c:v>42004</c:v>
                </c:pt>
              </c:numCache>
            </c:numRef>
          </c:cat>
          <c:val>
            <c:numRef>
              <c:f>'股價走勢圖(CEIC)'!$C$4863:$C$5109</c:f>
              <c:numCache>
                <c:formatCode>#,##0.000</c:formatCode>
                <c:ptCount val="245"/>
                <c:pt idx="0">
                  <c:v>1068.104</c:v>
                </c:pt>
                <c:pt idx="1">
                  <c:v>1065.6869999999999</c:v>
                </c:pt>
                <c:pt idx="2">
                  <c:v>1038.337</c:v>
                </c:pt>
                <c:pt idx="3">
                  <c:v>1044.6669999999999</c:v>
                </c:pt>
                <c:pt idx="4">
                  <c:v>1053.771</c:v>
                </c:pt>
                <c:pt idx="5">
                  <c:v>1038.624</c:v>
                </c:pt>
                <c:pt idx="6">
                  <c:v>1021.5940000000001</c:v>
                </c:pt>
                <c:pt idx="7">
                  <c:v>1019.4690000000001</c:v>
                </c:pt>
                <c:pt idx="8">
                  <c:v>1039.626</c:v>
                </c:pt>
                <c:pt idx="9">
                  <c:v>1047.306</c:v>
                </c:pt>
                <c:pt idx="10">
                  <c:v>1046.1690000000001</c:v>
                </c:pt>
                <c:pt idx="11">
                  <c:v>1036.0340000000001</c:v>
                </c:pt>
                <c:pt idx="12">
                  <c:v>1026.9390000000001</c:v>
                </c:pt>
                <c:pt idx="13">
                  <c:v>1042.588</c:v>
                </c:pt>
                <c:pt idx="14">
                  <c:v>1067.0540000000001</c:v>
                </c:pt>
                <c:pt idx="15">
                  <c:v>1075.4760000000001</c:v>
                </c:pt>
                <c:pt idx="16">
                  <c:v>1089.53</c:v>
                </c:pt>
                <c:pt idx="17">
                  <c:v>1083.211</c:v>
                </c:pt>
                <c:pt idx="18">
                  <c:v>1079.8440000000001</c:v>
                </c:pt>
                <c:pt idx="19">
                  <c:v>1089.0050000000001</c:v>
                </c:pt>
                <c:pt idx="20">
                  <c:v>1081.269</c:v>
                </c:pt>
                <c:pt idx="21">
                  <c:v>1098.6859999999999</c:v>
                </c:pt>
                <c:pt idx="22">
                  <c:v>1128.0609999999999</c:v>
                </c:pt>
                <c:pt idx="23">
                  <c:v>1127.222</c:v>
                </c:pt>
                <c:pt idx="24">
                  <c:v>1139.0419999999999</c:v>
                </c:pt>
                <c:pt idx="25">
                  <c:v>1119.934</c:v>
                </c:pt>
                <c:pt idx="26">
                  <c:v>1138.3889999999999</c:v>
                </c:pt>
                <c:pt idx="27">
                  <c:v>1160.386</c:v>
                </c:pt>
                <c:pt idx="28">
                  <c:v>1155.623</c:v>
                </c:pt>
                <c:pt idx="29">
                  <c:v>1157.1980000000001</c:v>
                </c:pt>
                <c:pt idx="30">
                  <c:v>1139.27</c:v>
                </c:pt>
                <c:pt idx="31">
                  <c:v>1135.011</c:v>
                </c:pt>
                <c:pt idx="32">
                  <c:v>1134.192</c:v>
                </c:pt>
                <c:pt idx="33">
                  <c:v>1089.2159999999999</c:v>
                </c:pt>
                <c:pt idx="34">
                  <c:v>1094.7339999999999</c:v>
                </c:pt>
                <c:pt idx="35">
                  <c:v>1075.481</c:v>
                </c:pt>
                <c:pt idx="36">
                  <c:v>1090.866</c:v>
                </c:pt>
                <c:pt idx="37">
                  <c:v>1109.412</c:v>
                </c:pt>
                <c:pt idx="38">
                  <c:v>1106.348</c:v>
                </c:pt>
                <c:pt idx="39">
                  <c:v>1103.673</c:v>
                </c:pt>
                <c:pt idx="40">
                  <c:v>1105.691</c:v>
                </c:pt>
                <c:pt idx="41">
                  <c:v>1102.2819999999999</c:v>
                </c:pt>
                <c:pt idx="42">
                  <c:v>1064.0609999999999</c:v>
                </c:pt>
                <c:pt idx="43">
                  <c:v>1064.2950000000001</c:v>
                </c:pt>
                <c:pt idx="44">
                  <c:v>1062.7860000000001</c:v>
                </c:pt>
                <c:pt idx="45">
                  <c:v>1078.3489999999999</c:v>
                </c:pt>
                <c:pt idx="46">
                  <c:v>1074.192</c:v>
                </c:pt>
                <c:pt idx="47">
                  <c:v>1096.355</c:v>
                </c:pt>
                <c:pt idx="48">
                  <c:v>1099.902</c:v>
                </c:pt>
                <c:pt idx="49">
                  <c:v>1094.444</c:v>
                </c:pt>
                <c:pt idx="50">
                  <c:v>1065.4259999999999</c:v>
                </c:pt>
                <c:pt idx="51">
                  <c:v>1084.4960000000001</c:v>
                </c:pt>
                <c:pt idx="52">
                  <c:v>1085.48</c:v>
                </c:pt>
                <c:pt idx="53">
                  <c:v>1083.3119999999999</c:v>
                </c:pt>
                <c:pt idx="54">
                  <c:v>1088.855</c:v>
                </c:pt>
                <c:pt idx="55">
                  <c:v>1067.3230000000001</c:v>
                </c:pt>
                <c:pt idx="56">
                  <c:v>1044.1420000000001</c:v>
                </c:pt>
                <c:pt idx="57">
                  <c:v>1039.8800000000001</c:v>
                </c:pt>
                <c:pt idx="58">
                  <c:v>1057.008</c:v>
                </c:pt>
                <c:pt idx="59">
                  <c:v>1055.1199999999999</c:v>
                </c:pt>
                <c:pt idx="60">
                  <c:v>1055.5809999999999</c:v>
                </c:pt>
                <c:pt idx="61">
                  <c:v>1068.069</c:v>
                </c:pt>
                <c:pt idx="62">
                  <c:v>1078.202</c:v>
                </c:pt>
                <c:pt idx="63">
                  <c:v>1087.885</c:v>
                </c:pt>
                <c:pt idx="64">
                  <c:v>1092.6969999999999</c:v>
                </c:pt>
                <c:pt idx="65">
                  <c:v>1088.1020000000001</c:v>
                </c:pt>
                <c:pt idx="66">
                  <c:v>1094.414</c:v>
                </c:pt>
                <c:pt idx="67">
                  <c:v>1085.9590000000001</c:v>
                </c:pt>
                <c:pt idx="68">
                  <c:v>1085.059</c:v>
                </c:pt>
                <c:pt idx="69">
                  <c:v>1086.232</c:v>
                </c:pt>
                <c:pt idx="70">
                  <c:v>1089.3579999999999</c:v>
                </c:pt>
                <c:pt idx="71">
                  <c:v>1074.78</c:v>
                </c:pt>
                <c:pt idx="72">
                  <c:v>1066.4970000000001</c:v>
                </c:pt>
                <c:pt idx="73">
                  <c:v>1064.9290000000001</c:v>
                </c:pt>
                <c:pt idx="74">
                  <c:v>1057.308</c:v>
                </c:pt>
                <c:pt idx="75">
                  <c:v>1036.7159999999999</c:v>
                </c:pt>
                <c:pt idx="76">
                  <c:v>1007.271</c:v>
                </c:pt>
                <c:pt idx="77">
                  <c:v>1019.838</c:v>
                </c:pt>
                <c:pt idx="78">
                  <c:v>1027.575</c:v>
                </c:pt>
                <c:pt idx="79">
                  <c:v>1037.0340000000001</c:v>
                </c:pt>
                <c:pt idx="80">
                  <c:v>1044.2</c:v>
                </c:pt>
                <c:pt idx="81">
                  <c:v>1027.989</c:v>
                </c:pt>
                <c:pt idx="82">
                  <c:v>1026.1959999999999</c:v>
                </c:pt>
                <c:pt idx="83">
                  <c:v>1017.688</c:v>
                </c:pt>
                <c:pt idx="84">
                  <c:v>1040.5360000000001</c:v>
                </c:pt>
                <c:pt idx="85">
                  <c:v>1039.385</c:v>
                </c:pt>
                <c:pt idx="86">
                  <c:v>1040.807</c:v>
                </c:pt>
                <c:pt idx="87">
                  <c:v>1022.515</c:v>
                </c:pt>
                <c:pt idx="88">
                  <c:v>1019.365</c:v>
                </c:pt>
                <c:pt idx="89">
                  <c:v>1014.188</c:v>
                </c:pt>
                <c:pt idx="90">
                  <c:v>1018.503</c:v>
                </c:pt>
                <c:pt idx="91">
                  <c:v>1028.001</c:v>
                </c:pt>
                <c:pt idx="92">
                  <c:v>1028.6849999999999</c:v>
                </c:pt>
                <c:pt idx="93">
                  <c:v>1040.461</c:v>
                </c:pt>
                <c:pt idx="94">
                  <c:v>1052.7950000000001</c:v>
                </c:pt>
                <c:pt idx="95">
                  <c:v>1048.81</c:v>
                </c:pt>
                <c:pt idx="96">
                  <c:v>1063.222</c:v>
                </c:pt>
                <c:pt idx="97">
                  <c:v>1050.578</c:v>
                </c:pt>
                <c:pt idx="98">
                  <c:v>1053.752</c:v>
                </c:pt>
                <c:pt idx="99">
                  <c:v>1052.884</c:v>
                </c:pt>
                <c:pt idx="100">
                  <c:v>1044.4290000000001</c:v>
                </c:pt>
                <c:pt idx="101">
                  <c:v>1058.299</c:v>
                </c:pt>
                <c:pt idx="102">
                  <c:v>1055.559</c:v>
                </c:pt>
                <c:pt idx="103">
                  <c:v>1049.308</c:v>
                </c:pt>
                <c:pt idx="104">
                  <c:v>1063.885</c:v>
                </c:pt>
                <c:pt idx="105">
                  <c:v>1068.9269999999999</c:v>
                </c:pt>
                <c:pt idx="106">
                  <c:v>1066.557</c:v>
                </c:pt>
                <c:pt idx="107">
                  <c:v>1079.3620000000001</c:v>
                </c:pt>
                <c:pt idx="108">
                  <c:v>1086.5340000000001</c:v>
                </c:pt>
                <c:pt idx="109">
                  <c:v>1075.806</c:v>
                </c:pt>
                <c:pt idx="110">
                  <c:v>1068.722</c:v>
                </c:pt>
                <c:pt idx="111">
                  <c:v>1040.421</c:v>
                </c:pt>
                <c:pt idx="112">
                  <c:v>1050.114</c:v>
                </c:pt>
                <c:pt idx="113">
                  <c:v>1061.259</c:v>
                </c:pt>
                <c:pt idx="114">
                  <c:v>1068.502</c:v>
                </c:pt>
                <c:pt idx="115">
                  <c:v>1064.2349999999999</c:v>
                </c:pt>
                <c:pt idx="116">
                  <c:v>1080.3320000000001</c:v>
                </c:pt>
                <c:pt idx="117">
                  <c:v>1086.9770000000001</c:v>
                </c:pt>
                <c:pt idx="118">
                  <c:v>1096.7850000000001</c:v>
                </c:pt>
                <c:pt idx="119">
                  <c:v>1101.723</c:v>
                </c:pt>
                <c:pt idx="120">
                  <c:v>1106.9380000000001</c:v>
                </c:pt>
                <c:pt idx="121">
                  <c:v>1113.9090000000001</c:v>
                </c:pt>
                <c:pt idx="122">
                  <c:v>1113.5519999999999</c:v>
                </c:pt>
                <c:pt idx="123">
                  <c:v>1111.825</c:v>
                </c:pt>
                <c:pt idx="124">
                  <c:v>1120.377</c:v>
                </c:pt>
                <c:pt idx="125">
                  <c:v>1102.4269999999999</c:v>
                </c:pt>
                <c:pt idx="126">
                  <c:v>1100.864</c:v>
                </c:pt>
                <c:pt idx="127">
                  <c:v>1107.816</c:v>
                </c:pt>
                <c:pt idx="128">
                  <c:v>1121.0450000000001</c:v>
                </c:pt>
                <c:pt idx="129">
                  <c:v>1116.7539999999999</c:v>
                </c:pt>
                <c:pt idx="130">
                  <c:v>1105.2239999999999</c:v>
                </c:pt>
                <c:pt idx="131">
                  <c:v>1099.0530000000001</c:v>
                </c:pt>
                <c:pt idx="132">
                  <c:v>1101.2560000000001</c:v>
                </c:pt>
                <c:pt idx="133">
                  <c:v>1100.085</c:v>
                </c:pt>
                <c:pt idx="134">
                  <c:v>1114.7570000000001</c:v>
                </c:pt>
                <c:pt idx="135">
                  <c:v>1102.732</c:v>
                </c:pt>
                <c:pt idx="136">
                  <c:v>1101.0920000000001</c:v>
                </c:pt>
                <c:pt idx="137">
                  <c:v>1111.5239999999999</c:v>
                </c:pt>
                <c:pt idx="138">
                  <c:v>1133.8330000000001</c:v>
                </c:pt>
                <c:pt idx="139">
                  <c:v>1145.7380000000001</c:v>
                </c:pt>
                <c:pt idx="140">
                  <c:v>1150.5609999999999</c:v>
                </c:pt>
                <c:pt idx="141">
                  <c:v>1160.0129999999999</c:v>
                </c:pt>
                <c:pt idx="142">
                  <c:v>1148.29</c:v>
                </c:pt>
                <c:pt idx="143">
                  <c:v>1164.3219999999999</c:v>
                </c:pt>
                <c:pt idx="144">
                  <c:v>1172.7629999999999</c:v>
                </c:pt>
                <c:pt idx="145">
                  <c:v>1177.3320000000001</c:v>
                </c:pt>
                <c:pt idx="146">
                  <c:v>1166.4970000000001</c:v>
                </c:pt>
                <c:pt idx="147">
                  <c:v>1174.4110000000001</c:v>
                </c:pt>
                <c:pt idx="148">
                  <c:v>1191.3579999999999</c:v>
                </c:pt>
                <c:pt idx="149">
                  <c:v>1194.943</c:v>
                </c:pt>
                <c:pt idx="150">
                  <c:v>1194.8109999999999</c:v>
                </c:pt>
                <c:pt idx="151">
                  <c:v>1187.953</c:v>
                </c:pt>
                <c:pt idx="152">
                  <c:v>1201.1759999999999</c:v>
                </c:pt>
                <c:pt idx="153">
                  <c:v>1218.732</c:v>
                </c:pt>
                <c:pt idx="154">
                  <c:v>1223.087</c:v>
                </c:pt>
                <c:pt idx="155">
                  <c:v>1222.117</c:v>
                </c:pt>
                <c:pt idx="156">
                  <c:v>1223.827</c:v>
                </c:pt>
                <c:pt idx="157">
                  <c:v>1232.5050000000001</c:v>
                </c:pt>
                <c:pt idx="158">
                  <c:v>1223.068</c:v>
                </c:pt>
                <c:pt idx="159">
                  <c:v>1202.4649999999999</c:v>
                </c:pt>
                <c:pt idx="160">
                  <c:v>1209.204</c:v>
                </c:pt>
                <c:pt idx="161">
                  <c:v>1198.7090000000001</c:v>
                </c:pt>
                <c:pt idx="162">
                  <c:v>1212.2570000000001</c:v>
                </c:pt>
                <c:pt idx="163">
                  <c:v>1232.5609999999999</c:v>
                </c:pt>
                <c:pt idx="164">
                  <c:v>1249.0619999999999</c:v>
                </c:pt>
                <c:pt idx="165">
                  <c:v>1258.7439999999999</c:v>
                </c:pt>
                <c:pt idx="166">
                  <c:v>1268.5619999999999</c:v>
                </c:pt>
                <c:pt idx="167">
                  <c:v>1273.681</c:v>
                </c:pt>
                <c:pt idx="168">
                  <c:v>1279.5160000000001</c:v>
                </c:pt>
                <c:pt idx="169">
                  <c:v>1285.181</c:v>
                </c:pt>
                <c:pt idx="170">
                  <c:v>1283.027</c:v>
                </c:pt>
                <c:pt idx="171">
                  <c:v>1294.79</c:v>
                </c:pt>
                <c:pt idx="172">
                  <c:v>1304.202</c:v>
                </c:pt>
                <c:pt idx="173">
                  <c:v>1263.0409999999999</c:v>
                </c:pt>
                <c:pt idx="174">
                  <c:v>1271.338</c:v>
                </c:pt>
                <c:pt idx="175">
                  <c:v>1279.4269999999999</c:v>
                </c:pt>
                <c:pt idx="176">
                  <c:v>1291.2280000000001</c:v>
                </c:pt>
                <c:pt idx="177">
                  <c:v>1275.52</c:v>
                </c:pt>
                <c:pt idx="178">
                  <c:v>1291.4190000000001</c:v>
                </c:pt>
                <c:pt idx="179">
                  <c:v>1309.1410000000001</c:v>
                </c:pt>
                <c:pt idx="180">
                  <c:v>1309.0450000000001</c:v>
                </c:pt>
                <c:pt idx="181">
                  <c:v>1312.604</c:v>
                </c:pt>
                <c:pt idx="182">
                  <c:v>1324.943</c:v>
                </c:pt>
                <c:pt idx="183">
                  <c:v>1333.5039999999999</c:v>
                </c:pt>
                <c:pt idx="184">
                  <c:v>1351.8240000000001</c:v>
                </c:pt>
                <c:pt idx="185">
                  <c:v>1355.7070000000001</c:v>
                </c:pt>
                <c:pt idx="186">
                  <c:v>1350.5989999999999</c:v>
                </c:pt>
                <c:pt idx="187">
                  <c:v>1349.4670000000001</c:v>
                </c:pt>
                <c:pt idx="188">
                  <c:v>1345.6420000000001</c:v>
                </c:pt>
                <c:pt idx="189">
                  <c:v>1351.125</c:v>
                </c:pt>
                <c:pt idx="190">
                  <c:v>1332.8969999999999</c:v>
                </c:pt>
                <c:pt idx="191">
                  <c:v>1323.5219999999999</c:v>
                </c:pt>
                <c:pt idx="192">
                  <c:v>1340.979</c:v>
                </c:pt>
                <c:pt idx="193">
                  <c:v>1330.7670000000001</c:v>
                </c:pt>
                <c:pt idx="194">
                  <c:v>1316.027</c:v>
                </c:pt>
                <c:pt idx="195">
                  <c:v>1296.0540000000001</c:v>
                </c:pt>
                <c:pt idx="196">
                  <c:v>1296.643</c:v>
                </c:pt>
                <c:pt idx="197">
                  <c:v>1302.3920000000001</c:v>
                </c:pt>
                <c:pt idx="198">
                  <c:v>1333.5260000000001</c:v>
                </c:pt>
                <c:pt idx="199">
                  <c:v>1349.9749999999999</c:v>
                </c:pt>
                <c:pt idx="200">
                  <c:v>1349.5730000000001</c:v>
                </c:pt>
                <c:pt idx="201">
                  <c:v>1350.498</c:v>
                </c:pt>
                <c:pt idx="202">
                  <c:v>1361.38</c:v>
                </c:pt>
                <c:pt idx="203">
                  <c:v>1353.8150000000001</c:v>
                </c:pt>
                <c:pt idx="204">
                  <c:v>1353.12</c:v>
                </c:pt>
                <c:pt idx="205">
                  <c:v>1364.5350000000001</c:v>
                </c:pt>
                <c:pt idx="206">
                  <c:v>1354.3589999999999</c:v>
                </c:pt>
                <c:pt idx="207">
                  <c:v>1365.64</c:v>
                </c:pt>
                <c:pt idx="208">
                  <c:v>1325.731</c:v>
                </c:pt>
                <c:pt idx="209">
                  <c:v>1345.412</c:v>
                </c:pt>
                <c:pt idx="210">
                  <c:v>1325.7829999999999</c:v>
                </c:pt>
                <c:pt idx="211">
                  <c:v>1322.62</c:v>
                </c:pt>
                <c:pt idx="212">
                  <c:v>1335.731</c:v>
                </c:pt>
                <c:pt idx="213">
                  <c:v>1338.0920000000001</c:v>
                </c:pt>
                <c:pt idx="214">
                  <c:v>1347.36</c:v>
                </c:pt>
                <c:pt idx="215">
                  <c:v>1344.5709999999999</c:v>
                </c:pt>
                <c:pt idx="216">
                  <c:v>1359.827</c:v>
                </c:pt>
                <c:pt idx="217">
                  <c:v>1377.7909999999999</c:v>
                </c:pt>
                <c:pt idx="218">
                  <c:v>1397.41</c:v>
                </c:pt>
                <c:pt idx="219">
                  <c:v>1405.655</c:v>
                </c:pt>
                <c:pt idx="220">
                  <c:v>1416.1769999999999</c:v>
                </c:pt>
                <c:pt idx="221">
                  <c:v>1420.32</c:v>
                </c:pt>
                <c:pt idx="222">
                  <c:v>1412.56</c:v>
                </c:pt>
                <c:pt idx="223">
                  <c:v>1433.4960000000001</c:v>
                </c:pt>
                <c:pt idx="224">
                  <c:v>1452.924</c:v>
                </c:pt>
                <c:pt idx="225">
                  <c:v>1481.9649999999999</c:v>
                </c:pt>
                <c:pt idx="226">
                  <c:v>1454.634</c:v>
                </c:pt>
                <c:pt idx="227">
                  <c:v>1466.6489999999999</c:v>
                </c:pt>
                <c:pt idx="228">
                  <c:v>1403.39</c:v>
                </c:pt>
                <c:pt idx="229">
                  <c:v>1452.529</c:v>
                </c:pt>
                <c:pt idx="230">
                  <c:v>1465.587</c:v>
                </c:pt>
                <c:pt idx="231">
                  <c:v>1479.8209999999999</c:v>
                </c:pt>
                <c:pt idx="232">
                  <c:v>1500.5640000000001</c:v>
                </c:pt>
                <c:pt idx="233">
                  <c:v>1503.585</c:v>
                </c:pt>
                <c:pt idx="234">
                  <c:v>1492.941</c:v>
                </c:pt>
                <c:pt idx="235">
                  <c:v>1484.26</c:v>
                </c:pt>
                <c:pt idx="236">
                  <c:v>1465.588</c:v>
                </c:pt>
                <c:pt idx="237">
                  <c:v>1412.3019999999999</c:v>
                </c:pt>
                <c:pt idx="238">
                  <c:v>1392.6189999999999</c:v>
                </c:pt>
                <c:pt idx="239">
                  <c:v>1404.4</c:v>
                </c:pt>
                <c:pt idx="240">
                  <c:v>1424.6179999999999</c:v>
                </c:pt>
                <c:pt idx="241">
                  <c:v>1439.4780000000001</c:v>
                </c:pt>
                <c:pt idx="242">
                  <c:v>1418.489</c:v>
                </c:pt>
                <c:pt idx="243">
                  <c:v>1398.567</c:v>
                </c:pt>
                <c:pt idx="244">
                  <c:v>1415.192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427648"/>
        <c:axId val="144429440"/>
      </c:lineChart>
      <c:dateAx>
        <c:axId val="129559936"/>
        <c:scaling>
          <c:orientation val="minMax"/>
          <c:min val="41640"/>
        </c:scaling>
        <c:delete val="0"/>
        <c:axPos val="b"/>
        <c:numFmt formatCode="\ [$-1028]yyyy/m" sourceLinked="0"/>
        <c:majorTickMark val="out"/>
        <c:minorTickMark val="none"/>
        <c:tickLblPos val="nextTo"/>
        <c:crossAx val="144426112"/>
        <c:crosses val="autoZero"/>
        <c:auto val="0"/>
        <c:lblOffset val="100"/>
        <c:baseTimeUnit val="days"/>
        <c:majorUnit val="1"/>
        <c:majorTimeUnit val="months"/>
      </c:dateAx>
      <c:valAx>
        <c:axId val="144426112"/>
        <c:scaling>
          <c:orientation val="minMax"/>
          <c:min val="19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29559936"/>
        <c:crosses val="autoZero"/>
        <c:crossBetween val="between"/>
      </c:valAx>
      <c:dateAx>
        <c:axId val="144427648"/>
        <c:scaling>
          <c:orientation val="minMax"/>
        </c:scaling>
        <c:delete val="1"/>
        <c:axPos val="b"/>
        <c:numFmt formatCode="\ [$-1028]yyyy/m/d" sourceLinked="1"/>
        <c:majorTickMark val="out"/>
        <c:minorTickMark val="none"/>
        <c:tickLblPos val="nextTo"/>
        <c:crossAx val="144429440"/>
        <c:crosses val="autoZero"/>
        <c:auto val="1"/>
        <c:lblOffset val="100"/>
        <c:baseTimeUnit val="days"/>
      </c:dateAx>
      <c:valAx>
        <c:axId val="144429440"/>
        <c:scaling>
          <c:orientation val="minMax"/>
          <c:min val="900"/>
        </c:scaling>
        <c:delete val="0"/>
        <c:axPos val="r"/>
        <c:numFmt formatCode="#,##0" sourceLinked="0"/>
        <c:majorTickMark val="out"/>
        <c:minorTickMark val="none"/>
        <c:tickLblPos val="nextTo"/>
        <c:crossAx val="144427648"/>
        <c:crosses val="max"/>
        <c:crossBetween val="between"/>
      </c:valAx>
    </c:plotArea>
    <c:legend>
      <c:legendPos val="t"/>
      <c:layout>
        <c:manualLayout>
          <c:xMode val="edge"/>
          <c:yMode val="edge"/>
          <c:x val="8.0451697570061806E-2"/>
          <c:y val="0"/>
          <c:w val="0.75845144356955385"/>
          <c:h val="0.1091963368709346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358438019675039E-2"/>
          <c:y val="3.9118715929739555E-2"/>
          <c:w val="0.86080324143155573"/>
          <c:h val="0.63813895460376868"/>
        </c:manualLayout>
      </c:layout>
      <c:lineChart>
        <c:grouping val="standard"/>
        <c:varyColors val="0"/>
        <c:ser>
          <c:idx val="0"/>
          <c:order val="0"/>
          <c:tx>
            <c:strRef>
              <c:f>'人民幣兌美元匯率(中國外匯管理局)'!$M$1</c:f>
              <c:strCache>
                <c:ptCount val="1"/>
                <c:pt idx="0">
                  <c:v>人民幣兌美元匯率</c:v>
                </c:pt>
              </c:strCache>
            </c:strRef>
          </c:tx>
          <c:marker>
            <c:symbol val="none"/>
          </c:marker>
          <c:cat>
            <c:numRef>
              <c:f>'人民幣兌美元匯率(中國外匯管理局)'!$A$2:$A$483</c:f>
              <c:numCache>
                <c:formatCode>m/d/yyyy</c:formatCode>
                <c:ptCount val="482"/>
                <c:pt idx="0">
                  <c:v>41278</c:v>
                </c:pt>
                <c:pt idx="1">
                  <c:v>41281</c:v>
                </c:pt>
                <c:pt idx="2">
                  <c:v>41282</c:v>
                </c:pt>
                <c:pt idx="3">
                  <c:v>41283</c:v>
                </c:pt>
                <c:pt idx="4">
                  <c:v>41284</c:v>
                </c:pt>
                <c:pt idx="5">
                  <c:v>41285</c:v>
                </c:pt>
                <c:pt idx="6">
                  <c:v>41288</c:v>
                </c:pt>
                <c:pt idx="7">
                  <c:v>41289</c:v>
                </c:pt>
                <c:pt idx="8">
                  <c:v>41290</c:v>
                </c:pt>
                <c:pt idx="9">
                  <c:v>41291</c:v>
                </c:pt>
                <c:pt idx="10">
                  <c:v>41292</c:v>
                </c:pt>
                <c:pt idx="11">
                  <c:v>41295</c:v>
                </c:pt>
                <c:pt idx="12">
                  <c:v>41296</c:v>
                </c:pt>
                <c:pt idx="13">
                  <c:v>41297</c:v>
                </c:pt>
                <c:pt idx="14">
                  <c:v>41298</c:v>
                </c:pt>
                <c:pt idx="15">
                  <c:v>41299</c:v>
                </c:pt>
                <c:pt idx="16">
                  <c:v>41302</c:v>
                </c:pt>
                <c:pt idx="17">
                  <c:v>41303</c:v>
                </c:pt>
                <c:pt idx="18">
                  <c:v>41304</c:v>
                </c:pt>
                <c:pt idx="19">
                  <c:v>41305</c:v>
                </c:pt>
                <c:pt idx="20">
                  <c:v>41306</c:v>
                </c:pt>
                <c:pt idx="21">
                  <c:v>41309</c:v>
                </c:pt>
                <c:pt idx="22">
                  <c:v>41310</c:v>
                </c:pt>
                <c:pt idx="23">
                  <c:v>41311</c:v>
                </c:pt>
                <c:pt idx="24">
                  <c:v>41312</c:v>
                </c:pt>
                <c:pt idx="25">
                  <c:v>41323</c:v>
                </c:pt>
                <c:pt idx="26">
                  <c:v>41324</c:v>
                </c:pt>
                <c:pt idx="27">
                  <c:v>41325</c:v>
                </c:pt>
                <c:pt idx="28">
                  <c:v>41326</c:v>
                </c:pt>
                <c:pt idx="29">
                  <c:v>41327</c:v>
                </c:pt>
                <c:pt idx="30">
                  <c:v>41330</c:v>
                </c:pt>
                <c:pt idx="31">
                  <c:v>41331</c:v>
                </c:pt>
                <c:pt idx="32">
                  <c:v>41332</c:v>
                </c:pt>
                <c:pt idx="33">
                  <c:v>41333</c:v>
                </c:pt>
                <c:pt idx="34">
                  <c:v>41334</c:v>
                </c:pt>
                <c:pt idx="35">
                  <c:v>41337</c:v>
                </c:pt>
                <c:pt idx="36">
                  <c:v>41338</c:v>
                </c:pt>
                <c:pt idx="37">
                  <c:v>41339</c:v>
                </c:pt>
                <c:pt idx="38">
                  <c:v>41340</c:v>
                </c:pt>
                <c:pt idx="39">
                  <c:v>41341</c:v>
                </c:pt>
                <c:pt idx="40">
                  <c:v>41344</c:v>
                </c:pt>
                <c:pt idx="41">
                  <c:v>41345</c:v>
                </c:pt>
                <c:pt idx="42">
                  <c:v>41346</c:v>
                </c:pt>
                <c:pt idx="43">
                  <c:v>41347</c:v>
                </c:pt>
                <c:pt idx="44">
                  <c:v>41348</c:v>
                </c:pt>
                <c:pt idx="45">
                  <c:v>41351</c:v>
                </c:pt>
                <c:pt idx="46">
                  <c:v>41352</c:v>
                </c:pt>
                <c:pt idx="47">
                  <c:v>41353</c:v>
                </c:pt>
                <c:pt idx="48">
                  <c:v>41354</c:v>
                </c:pt>
                <c:pt idx="49">
                  <c:v>41355</c:v>
                </c:pt>
                <c:pt idx="50">
                  <c:v>41358</c:v>
                </c:pt>
                <c:pt idx="51">
                  <c:v>41359</c:v>
                </c:pt>
                <c:pt idx="52">
                  <c:v>41360</c:v>
                </c:pt>
                <c:pt idx="53">
                  <c:v>41361</c:v>
                </c:pt>
                <c:pt idx="54">
                  <c:v>41362</c:v>
                </c:pt>
                <c:pt idx="55">
                  <c:v>41365</c:v>
                </c:pt>
                <c:pt idx="56">
                  <c:v>41366</c:v>
                </c:pt>
                <c:pt idx="57">
                  <c:v>41367</c:v>
                </c:pt>
                <c:pt idx="58">
                  <c:v>41372</c:v>
                </c:pt>
                <c:pt idx="59">
                  <c:v>41373</c:v>
                </c:pt>
                <c:pt idx="60">
                  <c:v>41374</c:v>
                </c:pt>
                <c:pt idx="61">
                  <c:v>41375</c:v>
                </c:pt>
                <c:pt idx="62">
                  <c:v>41376</c:v>
                </c:pt>
                <c:pt idx="63">
                  <c:v>41379</c:v>
                </c:pt>
                <c:pt idx="64">
                  <c:v>41380</c:v>
                </c:pt>
                <c:pt idx="65">
                  <c:v>41381</c:v>
                </c:pt>
                <c:pt idx="66">
                  <c:v>41382</c:v>
                </c:pt>
                <c:pt idx="67">
                  <c:v>41383</c:v>
                </c:pt>
                <c:pt idx="68">
                  <c:v>41386</c:v>
                </c:pt>
                <c:pt idx="69">
                  <c:v>41387</c:v>
                </c:pt>
                <c:pt idx="70">
                  <c:v>41388</c:v>
                </c:pt>
                <c:pt idx="71">
                  <c:v>41389</c:v>
                </c:pt>
                <c:pt idx="72">
                  <c:v>41390</c:v>
                </c:pt>
                <c:pt idx="73">
                  <c:v>41396</c:v>
                </c:pt>
                <c:pt idx="74">
                  <c:v>41397</c:v>
                </c:pt>
                <c:pt idx="75">
                  <c:v>41400</c:v>
                </c:pt>
                <c:pt idx="76">
                  <c:v>41401</c:v>
                </c:pt>
                <c:pt idx="77">
                  <c:v>41402</c:v>
                </c:pt>
                <c:pt idx="78">
                  <c:v>41403</c:v>
                </c:pt>
                <c:pt idx="79">
                  <c:v>41404</c:v>
                </c:pt>
                <c:pt idx="80">
                  <c:v>41407</c:v>
                </c:pt>
                <c:pt idx="81">
                  <c:v>41408</c:v>
                </c:pt>
                <c:pt idx="82">
                  <c:v>41409</c:v>
                </c:pt>
                <c:pt idx="83">
                  <c:v>41410</c:v>
                </c:pt>
                <c:pt idx="84">
                  <c:v>41411</c:v>
                </c:pt>
                <c:pt idx="85">
                  <c:v>41414</c:v>
                </c:pt>
                <c:pt idx="86">
                  <c:v>41415</c:v>
                </c:pt>
                <c:pt idx="87">
                  <c:v>41416</c:v>
                </c:pt>
                <c:pt idx="88">
                  <c:v>41417</c:v>
                </c:pt>
                <c:pt idx="89">
                  <c:v>41418</c:v>
                </c:pt>
                <c:pt idx="90">
                  <c:v>41421</c:v>
                </c:pt>
                <c:pt idx="91">
                  <c:v>41422</c:v>
                </c:pt>
                <c:pt idx="92">
                  <c:v>41423</c:v>
                </c:pt>
                <c:pt idx="93">
                  <c:v>41424</c:v>
                </c:pt>
                <c:pt idx="94">
                  <c:v>41425</c:v>
                </c:pt>
                <c:pt idx="95">
                  <c:v>41428</c:v>
                </c:pt>
                <c:pt idx="96">
                  <c:v>41429</c:v>
                </c:pt>
                <c:pt idx="97">
                  <c:v>41430</c:v>
                </c:pt>
                <c:pt idx="98">
                  <c:v>41431</c:v>
                </c:pt>
                <c:pt idx="99">
                  <c:v>41432</c:v>
                </c:pt>
                <c:pt idx="100">
                  <c:v>41438</c:v>
                </c:pt>
                <c:pt idx="101">
                  <c:v>41439</c:v>
                </c:pt>
                <c:pt idx="102">
                  <c:v>41442</c:v>
                </c:pt>
                <c:pt idx="103">
                  <c:v>41443</c:v>
                </c:pt>
                <c:pt idx="104">
                  <c:v>41444</c:v>
                </c:pt>
                <c:pt idx="105">
                  <c:v>41445</c:v>
                </c:pt>
                <c:pt idx="106">
                  <c:v>41446</c:v>
                </c:pt>
                <c:pt idx="107">
                  <c:v>41449</c:v>
                </c:pt>
                <c:pt idx="108">
                  <c:v>41450</c:v>
                </c:pt>
                <c:pt idx="109">
                  <c:v>41451</c:v>
                </c:pt>
                <c:pt idx="110">
                  <c:v>41452</c:v>
                </c:pt>
                <c:pt idx="111">
                  <c:v>41453</c:v>
                </c:pt>
                <c:pt idx="112">
                  <c:v>41456</c:v>
                </c:pt>
                <c:pt idx="113">
                  <c:v>41457</c:v>
                </c:pt>
                <c:pt idx="114">
                  <c:v>41458</c:v>
                </c:pt>
                <c:pt idx="115">
                  <c:v>41459</c:v>
                </c:pt>
                <c:pt idx="116">
                  <c:v>41460</c:v>
                </c:pt>
                <c:pt idx="117">
                  <c:v>41463</c:v>
                </c:pt>
                <c:pt idx="118">
                  <c:v>41464</c:v>
                </c:pt>
                <c:pt idx="119">
                  <c:v>41465</c:v>
                </c:pt>
                <c:pt idx="120">
                  <c:v>41466</c:v>
                </c:pt>
                <c:pt idx="121">
                  <c:v>41467</c:v>
                </c:pt>
                <c:pt idx="122">
                  <c:v>41470</c:v>
                </c:pt>
                <c:pt idx="123">
                  <c:v>41471</c:v>
                </c:pt>
                <c:pt idx="124">
                  <c:v>41472</c:v>
                </c:pt>
                <c:pt idx="125">
                  <c:v>41473</c:v>
                </c:pt>
                <c:pt idx="126">
                  <c:v>41474</c:v>
                </c:pt>
                <c:pt idx="127">
                  <c:v>41477</c:v>
                </c:pt>
                <c:pt idx="128">
                  <c:v>41478</c:v>
                </c:pt>
                <c:pt idx="129">
                  <c:v>41479</c:v>
                </c:pt>
                <c:pt idx="130">
                  <c:v>41480</c:v>
                </c:pt>
                <c:pt idx="131">
                  <c:v>41481</c:v>
                </c:pt>
                <c:pt idx="132">
                  <c:v>41484</c:v>
                </c:pt>
                <c:pt idx="133">
                  <c:v>41485</c:v>
                </c:pt>
                <c:pt idx="134">
                  <c:v>41486</c:v>
                </c:pt>
                <c:pt idx="135">
                  <c:v>41487</c:v>
                </c:pt>
                <c:pt idx="136">
                  <c:v>41488</c:v>
                </c:pt>
                <c:pt idx="137">
                  <c:v>41491</c:v>
                </c:pt>
                <c:pt idx="138">
                  <c:v>41492</c:v>
                </c:pt>
                <c:pt idx="139">
                  <c:v>41493</c:v>
                </c:pt>
                <c:pt idx="140">
                  <c:v>41494</c:v>
                </c:pt>
                <c:pt idx="141">
                  <c:v>41495</c:v>
                </c:pt>
                <c:pt idx="142">
                  <c:v>41498</c:v>
                </c:pt>
                <c:pt idx="143">
                  <c:v>41499</c:v>
                </c:pt>
                <c:pt idx="144">
                  <c:v>41500</c:v>
                </c:pt>
                <c:pt idx="145">
                  <c:v>41501</c:v>
                </c:pt>
                <c:pt idx="146">
                  <c:v>41502</c:v>
                </c:pt>
                <c:pt idx="147">
                  <c:v>41505</c:v>
                </c:pt>
                <c:pt idx="148">
                  <c:v>41506</c:v>
                </c:pt>
                <c:pt idx="149">
                  <c:v>41507</c:v>
                </c:pt>
                <c:pt idx="150">
                  <c:v>41508</c:v>
                </c:pt>
                <c:pt idx="151">
                  <c:v>41509</c:v>
                </c:pt>
                <c:pt idx="152">
                  <c:v>41512</c:v>
                </c:pt>
                <c:pt idx="153">
                  <c:v>41513</c:v>
                </c:pt>
                <c:pt idx="154">
                  <c:v>41514</c:v>
                </c:pt>
                <c:pt idx="155">
                  <c:v>41515</c:v>
                </c:pt>
                <c:pt idx="156">
                  <c:v>41516</c:v>
                </c:pt>
                <c:pt idx="157">
                  <c:v>41519</c:v>
                </c:pt>
                <c:pt idx="158">
                  <c:v>41520</c:v>
                </c:pt>
                <c:pt idx="159">
                  <c:v>41521</c:v>
                </c:pt>
                <c:pt idx="160">
                  <c:v>41522</c:v>
                </c:pt>
                <c:pt idx="161">
                  <c:v>41523</c:v>
                </c:pt>
                <c:pt idx="162">
                  <c:v>41526</c:v>
                </c:pt>
                <c:pt idx="163">
                  <c:v>41527</c:v>
                </c:pt>
                <c:pt idx="164">
                  <c:v>41528</c:v>
                </c:pt>
                <c:pt idx="165">
                  <c:v>41529</c:v>
                </c:pt>
                <c:pt idx="166">
                  <c:v>41530</c:v>
                </c:pt>
                <c:pt idx="167">
                  <c:v>41533</c:v>
                </c:pt>
                <c:pt idx="168">
                  <c:v>41534</c:v>
                </c:pt>
                <c:pt idx="169">
                  <c:v>41535</c:v>
                </c:pt>
                <c:pt idx="170">
                  <c:v>41540</c:v>
                </c:pt>
                <c:pt idx="171">
                  <c:v>41541</c:v>
                </c:pt>
                <c:pt idx="172">
                  <c:v>41542</c:v>
                </c:pt>
                <c:pt idx="173">
                  <c:v>41543</c:v>
                </c:pt>
                <c:pt idx="174">
                  <c:v>41544</c:v>
                </c:pt>
                <c:pt idx="175">
                  <c:v>41547</c:v>
                </c:pt>
                <c:pt idx="176">
                  <c:v>41555</c:v>
                </c:pt>
                <c:pt idx="177">
                  <c:v>41556</c:v>
                </c:pt>
                <c:pt idx="178">
                  <c:v>41557</c:v>
                </c:pt>
                <c:pt idx="179">
                  <c:v>41558</c:v>
                </c:pt>
                <c:pt idx="180">
                  <c:v>41561</c:v>
                </c:pt>
                <c:pt idx="181">
                  <c:v>41562</c:v>
                </c:pt>
                <c:pt idx="182">
                  <c:v>41563</c:v>
                </c:pt>
                <c:pt idx="183">
                  <c:v>41564</c:v>
                </c:pt>
                <c:pt idx="184">
                  <c:v>41565</c:v>
                </c:pt>
                <c:pt idx="185">
                  <c:v>41568</c:v>
                </c:pt>
                <c:pt idx="186">
                  <c:v>41569</c:v>
                </c:pt>
                <c:pt idx="187">
                  <c:v>41570</c:v>
                </c:pt>
                <c:pt idx="188">
                  <c:v>41571</c:v>
                </c:pt>
                <c:pt idx="189">
                  <c:v>41572</c:v>
                </c:pt>
                <c:pt idx="190">
                  <c:v>41575</c:v>
                </c:pt>
                <c:pt idx="191">
                  <c:v>41576</c:v>
                </c:pt>
                <c:pt idx="192">
                  <c:v>41577</c:v>
                </c:pt>
                <c:pt idx="193">
                  <c:v>41578</c:v>
                </c:pt>
                <c:pt idx="194">
                  <c:v>41579</c:v>
                </c:pt>
                <c:pt idx="195">
                  <c:v>41582</c:v>
                </c:pt>
                <c:pt idx="196">
                  <c:v>41583</c:v>
                </c:pt>
                <c:pt idx="197">
                  <c:v>41584</c:v>
                </c:pt>
                <c:pt idx="198">
                  <c:v>41585</c:v>
                </c:pt>
                <c:pt idx="199">
                  <c:v>41586</c:v>
                </c:pt>
                <c:pt idx="200">
                  <c:v>41589</c:v>
                </c:pt>
                <c:pt idx="201">
                  <c:v>41590</c:v>
                </c:pt>
                <c:pt idx="202">
                  <c:v>41591</c:v>
                </c:pt>
                <c:pt idx="203">
                  <c:v>41592</c:v>
                </c:pt>
                <c:pt idx="204">
                  <c:v>41593</c:v>
                </c:pt>
                <c:pt idx="205">
                  <c:v>41596</c:v>
                </c:pt>
                <c:pt idx="206">
                  <c:v>41597</c:v>
                </c:pt>
                <c:pt idx="207">
                  <c:v>41598</c:v>
                </c:pt>
                <c:pt idx="208">
                  <c:v>41599</c:v>
                </c:pt>
                <c:pt idx="209">
                  <c:v>41600</c:v>
                </c:pt>
                <c:pt idx="210">
                  <c:v>41603</c:v>
                </c:pt>
                <c:pt idx="211">
                  <c:v>41604</c:v>
                </c:pt>
                <c:pt idx="212">
                  <c:v>41605</c:v>
                </c:pt>
                <c:pt idx="213">
                  <c:v>41606</c:v>
                </c:pt>
                <c:pt idx="214">
                  <c:v>41607</c:v>
                </c:pt>
                <c:pt idx="215">
                  <c:v>41610</c:v>
                </c:pt>
                <c:pt idx="216">
                  <c:v>41611</c:v>
                </c:pt>
                <c:pt idx="217">
                  <c:v>41612</c:v>
                </c:pt>
                <c:pt idx="218">
                  <c:v>41613</c:v>
                </c:pt>
                <c:pt idx="219">
                  <c:v>41614</c:v>
                </c:pt>
                <c:pt idx="220">
                  <c:v>41617</c:v>
                </c:pt>
                <c:pt idx="221">
                  <c:v>41618</c:v>
                </c:pt>
                <c:pt idx="222">
                  <c:v>41619</c:v>
                </c:pt>
                <c:pt idx="223">
                  <c:v>41620</c:v>
                </c:pt>
                <c:pt idx="224">
                  <c:v>41621</c:v>
                </c:pt>
                <c:pt idx="225">
                  <c:v>41624</c:v>
                </c:pt>
                <c:pt idx="226">
                  <c:v>41625</c:v>
                </c:pt>
                <c:pt idx="227">
                  <c:v>41626</c:v>
                </c:pt>
                <c:pt idx="228">
                  <c:v>41627</c:v>
                </c:pt>
                <c:pt idx="229">
                  <c:v>41628</c:v>
                </c:pt>
                <c:pt idx="230">
                  <c:v>41631</c:v>
                </c:pt>
                <c:pt idx="231">
                  <c:v>41632</c:v>
                </c:pt>
                <c:pt idx="232">
                  <c:v>41633</c:v>
                </c:pt>
                <c:pt idx="233">
                  <c:v>41634</c:v>
                </c:pt>
                <c:pt idx="234">
                  <c:v>41635</c:v>
                </c:pt>
                <c:pt idx="235">
                  <c:v>41638</c:v>
                </c:pt>
                <c:pt idx="236">
                  <c:v>41639</c:v>
                </c:pt>
                <c:pt idx="237">
                  <c:v>41641</c:v>
                </c:pt>
                <c:pt idx="238">
                  <c:v>41642</c:v>
                </c:pt>
                <c:pt idx="239">
                  <c:v>41645</c:v>
                </c:pt>
                <c:pt idx="240">
                  <c:v>41646</c:v>
                </c:pt>
                <c:pt idx="241">
                  <c:v>41647</c:v>
                </c:pt>
                <c:pt idx="242">
                  <c:v>41648</c:v>
                </c:pt>
                <c:pt idx="243">
                  <c:v>41649</c:v>
                </c:pt>
                <c:pt idx="244">
                  <c:v>41652</c:v>
                </c:pt>
                <c:pt idx="245">
                  <c:v>41653</c:v>
                </c:pt>
                <c:pt idx="246">
                  <c:v>41654</c:v>
                </c:pt>
                <c:pt idx="247">
                  <c:v>41655</c:v>
                </c:pt>
                <c:pt idx="248">
                  <c:v>41656</c:v>
                </c:pt>
                <c:pt idx="249">
                  <c:v>41659</c:v>
                </c:pt>
                <c:pt idx="250">
                  <c:v>41660</c:v>
                </c:pt>
                <c:pt idx="251">
                  <c:v>41661</c:v>
                </c:pt>
                <c:pt idx="252">
                  <c:v>41662</c:v>
                </c:pt>
                <c:pt idx="253">
                  <c:v>41663</c:v>
                </c:pt>
                <c:pt idx="254">
                  <c:v>41666</c:v>
                </c:pt>
                <c:pt idx="255">
                  <c:v>41667</c:v>
                </c:pt>
                <c:pt idx="256">
                  <c:v>41668</c:v>
                </c:pt>
                <c:pt idx="257">
                  <c:v>41669</c:v>
                </c:pt>
                <c:pt idx="258">
                  <c:v>41677</c:v>
                </c:pt>
                <c:pt idx="259">
                  <c:v>41680</c:v>
                </c:pt>
                <c:pt idx="260">
                  <c:v>41681</c:v>
                </c:pt>
                <c:pt idx="261">
                  <c:v>41682</c:v>
                </c:pt>
                <c:pt idx="262">
                  <c:v>41683</c:v>
                </c:pt>
                <c:pt idx="263">
                  <c:v>41684</c:v>
                </c:pt>
                <c:pt idx="264">
                  <c:v>41687</c:v>
                </c:pt>
                <c:pt idx="265">
                  <c:v>41688</c:v>
                </c:pt>
                <c:pt idx="266">
                  <c:v>41689</c:v>
                </c:pt>
                <c:pt idx="267">
                  <c:v>41690</c:v>
                </c:pt>
                <c:pt idx="268">
                  <c:v>41691</c:v>
                </c:pt>
                <c:pt idx="269">
                  <c:v>41694</c:v>
                </c:pt>
                <c:pt idx="270">
                  <c:v>41695</c:v>
                </c:pt>
                <c:pt idx="271">
                  <c:v>41696</c:v>
                </c:pt>
                <c:pt idx="272">
                  <c:v>41697</c:v>
                </c:pt>
                <c:pt idx="273">
                  <c:v>41698</c:v>
                </c:pt>
                <c:pt idx="274">
                  <c:v>41701</c:v>
                </c:pt>
                <c:pt idx="275">
                  <c:v>41702</c:v>
                </c:pt>
                <c:pt idx="276">
                  <c:v>41703</c:v>
                </c:pt>
                <c:pt idx="277">
                  <c:v>41704</c:v>
                </c:pt>
                <c:pt idx="278">
                  <c:v>41705</c:v>
                </c:pt>
                <c:pt idx="279">
                  <c:v>41708</c:v>
                </c:pt>
                <c:pt idx="280">
                  <c:v>41709</c:v>
                </c:pt>
                <c:pt idx="281">
                  <c:v>41710</c:v>
                </c:pt>
                <c:pt idx="282">
                  <c:v>41711</c:v>
                </c:pt>
                <c:pt idx="283">
                  <c:v>41712</c:v>
                </c:pt>
                <c:pt idx="284">
                  <c:v>41715</c:v>
                </c:pt>
                <c:pt idx="285">
                  <c:v>41716</c:v>
                </c:pt>
                <c:pt idx="286">
                  <c:v>41717</c:v>
                </c:pt>
                <c:pt idx="287">
                  <c:v>41718</c:v>
                </c:pt>
                <c:pt idx="288">
                  <c:v>41719</c:v>
                </c:pt>
                <c:pt idx="289">
                  <c:v>41722</c:v>
                </c:pt>
                <c:pt idx="290">
                  <c:v>41723</c:v>
                </c:pt>
                <c:pt idx="291">
                  <c:v>41724</c:v>
                </c:pt>
                <c:pt idx="292">
                  <c:v>41725</c:v>
                </c:pt>
                <c:pt idx="293">
                  <c:v>41726</c:v>
                </c:pt>
                <c:pt idx="294">
                  <c:v>41729</c:v>
                </c:pt>
                <c:pt idx="295">
                  <c:v>41730</c:v>
                </c:pt>
                <c:pt idx="296">
                  <c:v>41731</c:v>
                </c:pt>
                <c:pt idx="297">
                  <c:v>41732</c:v>
                </c:pt>
                <c:pt idx="298">
                  <c:v>41733</c:v>
                </c:pt>
                <c:pt idx="299">
                  <c:v>41737</c:v>
                </c:pt>
                <c:pt idx="300">
                  <c:v>41738</c:v>
                </c:pt>
                <c:pt idx="301">
                  <c:v>41739</c:v>
                </c:pt>
                <c:pt idx="302">
                  <c:v>41740</c:v>
                </c:pt>
                <c:pt idx="303">
                  <c:v>41743</c:v>
                </c:pt>
                <c:pt idx="304">
                  <c:v>41744</c:v>
                </c:pt>
                <c:pt idx="305">
                  <c:v>41745</c:v>
                </c:pt>
                <c:pt idx="306">
                  <c:v>41746</c:v>
                </c:pt>
                <c:pt idx="307">
                  <c:v>41747</c:v>
                </c:pt>
                <c:pt idx="308">
                  <c:v>41750</c:v>
                </c:pt>
                <c:pt idx="309">
                  <c:v>41751</c:v>
                </c:pt>
                <c:pt idx="310">
                  <c:v>41752</c:v>
                </c:pt>
                <c:pt idx="311">
                  <c:v>41753</c:v>
                </c:pt>
                <c:pt idx="312">
                  <c:v>41754</c:v>
                </c:pt>
                <c:pt idx="313">
                  <c:v>41757</c:v>
                </c:pt>
                <c:pt idx="314">
                  <c:v>41758</c:v>
                </c:pt>
                <c:pt idx="315">
                  <c:v>41759</c:v>
                </c:pt>
                <c:pt idx="316">
                  <c:v>41764</c:v>
                </c:pt>
                <c:pt idx="317">
                  <c:v>41765</c:v>
                </c:pt>
                <c:pt idx="318">
                  <c:v>41766</c:v>
                </c:pt>
                <c:pt idx="319">
                  <c:v>41767</c:v>
                </c:pt>
                <c:pt idx="320">
                  <c:v>41768</c:v>
                </c:pt>
                <c:pt idx="321">
                  <c:v>41771</c:v>
                </c:pt>
                <c:pt idx="322">
                  <c:v>41772</c:v>
                </c:pt>
                <c:pt idx="323">
                  <c:v>41773</c:v>
                </c:pt>
                <c:pt idx="324">
                  <c:v>41774</c:v>
                </c:pt>
                <c:pt idx="325">
                  <c:v>41775</c:v>
                </c:pt>
                <c:pt idx="326">
                  <c:v>41778</c:v>
                </c:pt>
                <c:pt idx="327">
                  <c:v>41779</c:v>
                </c:pt>
                <c:pt idx="328">
                  <c:v>41780</c:v>
                </c:pt>
                <c:pt idx="329">
                  <c:v>41781</c:v>
                </c:pt>
                <c:pt idx="330">
                  <c:v>41782</c:v>
                </c:pt>
                <c:pt idx="331">
                  <c:v>41785</c:v>
                </c:pt>
                <c:pt idx="332">
                  <c:v>41786</c:v>
                </c:pt>
                <c:pt idx="333">
                  <c:v>41787</c:v>
                </c:pt>
                <c:pt idx="334">
                  <c:v>41788</c:v>
                </c:pt>
                <c:pt idx="335">
                  <c:v>41789</c:v>
                </c:pt>
                <c:pt idx="336">
                  <c:v>41793</c:v>
                </c:pt>
                <c:pt idx="337">
                  <c:v>41794</c:v>
                </c:pt>
                <c:pt idx="338">
                  <c:v>41795</c:v>
                </c:pt>
                <c:pt idx="339">
                  <c:v>41796</c:v>
                </c:pt>
                <c:pt idx="340">
                  <c:v>41799</c:v>
                </c:pt>
                <c:pt idx="341">
                  <c:v>41800</c:v>
                </c:pt>
                <c:pt idx="342">
                  <c:v>41801</c:v>
                </c:pt>
                <c:pt idx="343">
                  <c:v>41802</c:v>
                </c:pt>
                <c:pt idx="344">
                  <c:v>41803</c:v>
                </c:pt>
                <c:pt idx="345">
                  <c:v>41806</c:v>
                </c:pt>
                <c:pt idx="346">
                  <c:v>41807</c:v>
                </c:pt>
                <c:pt idx="347">
                  <c:v>41808</c:v>
                </c:pt>
                <c:pt idx="348">
                  <c:v>41809</c:v>
                </c:pt>
                <c:pt idx="349">
                  <c:v>41810</c:v>
                </c:pt>
                <c:pt idx="350">
                  <c:v>41813</c:v>
                </c:pt>
                <c:pt idx="351">
                  <c:v>41814</c:v>
                </c:pt>
                <c:pt idx="352">
                  <c:v>41815</c:v>
                </c:pt>
                <c:pt idx="353">
                  <c:v>41816</c:v>
                </c:pt>
                <c:pt idx="354">
                  <c:v>41817</c:v>
                </c:pt>
                <c:pt idx="355">
                  <c:v>41820</c:v>
                </c:pt>
                <c:pt idx="356">
                  <c:v>41821</c:v>
                </c:pt>
                <c:pt idx="357">
                  <c:v>41822</c:v>
                </c:pt>
                <c:pt idx="358">
                  <c:v>41823</c:v>
                </c:pt>
                <c:pt idx="359">
                  <c:v>41824</c:v>
                </c:pt>
                <c:pt idx="360">
                  <c:v>41827</c:v>
                </c:pt>
                <c:pt idx="361">
                  <c:v>41828</c:v>
                </c:pt>
                <c:pt idx="362">
                  <c:v>41829</c:v>
                </c:pt>
                <c:pt idx="363">
                  <c:v>41830</c:v>
                </c:pt>
                <c:pt idx="364">
                  <c:v>41831</c:v>
                </c:pt>
                <c:pt idx="365">
                  <c:v>41834</c:v>
                </c:pt>
                <c:pt idx="366">
                  <c:v>41835</c:v>
                </c:pt>
                <c:pt idx="367">
                  <c:v>41836</c:v>
                </c:pt>
                <c:pt idx="368">
                  <c:v>41837</c:v>
                </c:pt>
                <c:pt idx="369">
                  <c:v>41838</c:v>
                </c:pt>
                <c:pt idx="370">
                  <c:v>41841</c:v>
                </c:pt>
                <c:pt idx="371">
                  <c:v>41842</c:v>
                </c:pt>
                <c:pt idx="372">
                  <c:v>41843</c:v>
                </c:pt>
                <c:pt idx="373">
                  <c:v>41844</c:v>
                </c:pt>
                <c:pt idx="374">
                  <c:v>41845</c:v>
                </c:pt>
                <c:pt idx="375">
                  <c:v>41848</c:v>
                </c:pt>
                <c:pt idx="376">
                  <c:v>41849</c:v>
                </c:pt>
                <c:pt idx="377">
                  <c:v>41850</c:v>
                </c:pt>
                <c:pt idx="378">
                  <c:v>41851</c:v>
                </c:pt>
                <c:pt idx="379">
                  <c:v>41852</c:v>
                </c:pt>
                <c:pt idx="380">
                  <c:v>41855</c:v>
                </c:pt>
                <c:pt idx="381">
                  <c:v>41856</c:v>
                </c:pt>
                <c:pt idx="382">
                  <c:v>41857</c:v>
                </c:pt>
                <c:pt idx="383">
                  <c:v>41858</c:v>
                </c:pt>
                <c:pt idx="384">
                  <c:v>41859</c:v>
                </c:pt>
                <c:pt idx="385">
                  <c:v>41862</c:v>
                </c:pt>
                <c:pt idx="386">
                  <c:v>41863</c:v>
                </c:pt>
                <c:pt idx="387">
                  <c:v>41864</c:v>
                </c:pt>
                <c:pt idx="388">
                  <c:v>41865</c:v>
                </c:pt>
                <c:pt idx="389">
                  <c:v>41866</c:v>
                </c:pt>
                <c:pt idx="390">
                  <c:v>41869</c:v>
                </c:pt>
                <c:pt idx="391">
                  <c:v>41870</c:v>
                </c:pt>
                <c:pt idx="392">
                  <c:v>41871</c:v>
                </c:pt>
                <c:pt idx="393">
                  <c:v>41872</c:v>
                </c:pt>
                <c:pt idx="394">
                  <c:v>41873</c:v>
                </c:pt>
                <c:pt idx="395">
                  <c:v>41876</c:v>
                </c:pt>
                <c:pt idx="396">
                  <c:v>41877</c:v>
                </c:pt>
                <c:pt idx="397">
                  <c:v>41878</c:v>
                </c:pt>
                <c:pt idx="398">
                  <c:v>41879</c:v>
                </c:pt>
                <c:pt idx="399">
                  <c:v>41880</c:v>
                </c:pt>
                <c:pt idx="400">
                  <c:v>41883</c:v>
                </c:pt>
                <c:pt idx="401">
                  <c:v>41884</c:v>
                </c:pt>
                <c:pt idx="402">
                  <c:v>41885</c:v>
                </c:pt>
                <c:pt idx="403">
                  <c:v>41886</c:v>
                </c:pt>
                <c:pt idx="404">
                  <c:v>41887</c:v>
                </c:pt>
                <c:pt idx="405">
                  <c:v>41891</c:v>
                </c:pt>
                <c:pt idx="406">
                  <c:v>41892</c:v>
                </c:pt>
                <c:pt idx="407">
                  <c:v>41893</c:v>
                </c:pt>
                <c:pt idx="408">
                  <c:v>41894</c:v>
                </c:pt>
                <c:pt idx="409">
                  <c:v>41897</c:v>
                </c:pt>
                <c:pt idx="410">
                  <c:v>41898</c:v>
                </c:pt>
                <c:pt idx="411">
                  <c:v>41899</c:v>
                </c:pt>
                <c:pt idx="412">
                  <c:v>41900</c:v>
                </c:pt>
                <c:pt idx="413">
                  <c:v>41901</c:v>
                </c:pt>
                <c:pt idx="414">
                  <c:v>41904</c:v>
                </c:pt>
                <c:pt idx="415">
                  <c:v>41905</c:v>
                </c:pt>
                <c:pt idx="416">
                  <c:v>41906</c:v>
                </c:pt>
                <c:pt idx="417">
                  <c:v>41907</c:v>
                </c:pt>
                <c:pt idx="418">
                  <c:v>41908</c:v>
                </c:pt>
                <c:pt idx="419">
                  <c:v>41911</c:v>
                </c:pt>
                <c:pt idx="420">
                  <c:v>41912</c:v>
                </c:pt>
                <c:pt idx="421">
                  <c:v>41920</c:v>
                </c:pt>
                <c:pt idx="422">
                  <c:v>41921</c:v>
                </c:pt>
                <c:pt idx="423">
                  <c:v>41922</c:v>
                </c:pt>
                <c:pt idx="424">
                  <c:v>41925</c:v>
                </c:pt>
                <c:pt idx="425">
                  <c:v>41926</c:v>
                </c:pt>
                <c:pt idx="426">
                  <c:v>41927</c:v>
                </c:pt>
                <c:pt idx="427">
                  <c:v>41928</c:v>
                </c:pt>
                <c:pt idx="428">
                  <c:v>41929</c:v>
                </c:pt>
                <c:pt idx="429">
                  <c:v>41932</c:v>
                </c:pt>
                <c:pt idx="430">
                  <c:v>41933</c:v>
                </c:pt>
                <c:pt idx="431">
                  <c:v>41934</c:v>
                </c:pt>
                <c:pt idx="432">
                  <c:v>41935</c:v>
                </c:pt>
                <c:pt idx="433">
                  <c:v>41936</c:v>
                </c:pt>
                <c:pt idx="434">
                  <c:v>41939</c:v>
                </c:pt>
                <c:pt idx="435">
                  <c:v>41940</c:v>
                </c:pt>
                <c:pt idx="436">
                  <c:v>41941</c:v>
                </c:pt>
                <c:pt idx="437">
                  <c:v>41942</c:v>
                </c:pt>
                <c:pt idx="438">
                  <c:v>41943</c:v>
                </c:pt>
                <c:pt idx="439">
                  <c:v>41946</c:v>
                </c:pt>
                <c:pt idx="440">
                  <c:v>41947</c:v>
                </c:pt>
                <c:pt idx="441">
                  <c:v>41948</c:v>
                </c:pt>
                <c:pt idx="442">
                  <c:v>41949</c:v>
                </c:pt>
                <c:pt idx="443">
                  <c:v>41950</c:v>
                </c:pt>
                <c:pt idx="444">
                  <c:v>41953</c:v>
                </c:pt>
                <c:pt idx="445">
                  <c:v>41954</c:v>
                </c:pt>
                <c:pt idx="446">
                  <c:v>41955</c:v>
                </c:pt>
                <c:pt idx="447">
                  <c:v>41956</c:v>
                </c:pt>
                <c:pt idx="448">
                  <c:v>41957</c:v>
                </c:pt>
                <c:pt idx="449">
                  <c:v>41960</c:v>
                </c:pt>
                <c:pt idx="450">
                  <c:v>41961</c:v>
                </c:pt>
                <c:pt idx="451">
                  <c:v>41962</c:v>
                </c:pt>
                <c:pt idx="452">
                  <c:v>41963</c:v>
                </c:pt>
                <c:pt idx="453">
                  <c:v>41964</c:v>
                </c:pt>
                <c:pt idx="454">
                  <c:v>41967</c:v>
                </c:pt>
                <c:pt idx="455">
                  <c:v>41968</c:v>
                </c:pt>
                <c:pt idx="456">
                  <c:v>41969</c:v>
                </c:pt>
                <c:pt idx="457">
                  <c:v>41970</c:v>
                </c:pt>
                <c:pt idx="458">
                  <c:v>41971</c:v>
                </c:pt>
                <c:pt idx="459">
                  <c:v>41974</c:v>
                </c:pt>
                <c:pt idx="460">
                  <c:v>41975</c:v>
                </c:pt>
                <c:pt idx="461">
                  <c:v>41976</c:v>
                </c:pt>
                <c:pt idx="462">
                  <c:v>41977</c:v>
                </c:pt>
                <c:pt idx="463">
                  <c:v>41978</c:v>
                </c:pt>
                <c:pt idx="464">
                  <c:v>41981</c:v>
                </c:pt>
                <c:pt idx="465">
                  <c:v>41982</c:v>
                </c:pt>
                <c:pt idx="466">
                  <c:v>41983</c:v>
                </c:pt>
                <c:pt idx="467">
                  <c:v>41984</c:v>
                </c:pt>
                <c:pt idx="468">
                  <c:v>41985</c:v>
                </c:pt>
                <c:pt idx="469">
                  <c:v>41988</c:v>
                </c:pt>
                <c:pt idx="470">
                  <c:v>41989</c:v>
                </c:pt>
                <c:pt idx="471">
                  <c:v>41990</c:v>
                </c:pt>
                <c:pt idx="472">
                  <c:v>41991</c:v>
                </c:pt>
                <c:pt idx="473">
                  <c:v>41992</c:v>
                </c:pt>
                <c:pt idx="474">
                  <c:v>41995</c:v>
                </c:pt>
                <c:pt idx="475">
                  <c:v>41996</c:v>
                </c:pt>
                <c:pt idx="476">
                  <c:v>41997</c:v>
                </c:pt>
                <c:pt idx="477">
                  <c:v>41998</c:v>
                </c:pt>
                <c:pt idx="478">
                  <c:v>41999</c:v>
                </c:pt>
                <c:pt idx="479">
                  <c:v>42002</c:v>
                </c:pt>
                <c:pt idx="480">
                  <c:v>42003</c:v>
                </c:pt>
                <c:pt idx="481">
                  <c:v>42004</c:v>
                </c:pt>
              </c:numCache>
            </c:numRef>
          </c:cat>
          <c:val>
            <c:numRef>
              <c:f>'人民幣兌美元匯率(中國外匯管理局)'!$M$2:$M$483</c:f>
              <c:numCache>
                <c:formatCode>General</c:formatCode>
                <c:ptCount val="482"/>
                <c:pt idx="0">
                  <c:v>6.2896999999999998</c:v>
                </c:pt>
                <c:pt idx="1">
                  <c:v>6.2872000000000003</c:v>
                </c:pt>
                <c:pt idx="2">
                  <c:v>6.2803999999999993</c:v>
                </c:pt>
                <c:pt idx="3">
                  <c:v>6.2813999999999997</c:v>
                </c:pt>
                <c:pt idx="4">
                  <c:v>6.2792999999999992</c:v>
                </c:pt>
                <c:pt idx="5">
                  <c:v>6.2712000000000003</c:v>
                </c:pt>
                <c:pt idx="6">
                  <c:v>6.2695000000000007</c:v>
                </c:pt>
                <c:pt idx="7">
                  <c:v>6.2690999999999999</c:v>
                </c:pt>
                <c:pt idx="8">
                  <c:v>6.2745000000000006</c:v>
                </c:pt>
                <c:pt idx="9">
                  <c:v>6.2766999999999999</c:v>
                </c:pt>
                <c:pt idx="10">
                  <c:v>6.2751999999999999</c:v>
                </c:pt>
                <c:pt idx="11">
                  <c:v>6.2789999999999999</c:v>
                </c:pt>
                <c:pt idx="12">
                  <c:v>6.2796000000000003</c:v>
                </c:pt>
                <c:pt idx="13">
                  <c:v>6.2762000000000002</c:v>
                </c:pt>
                <c:pt idx="14">
                  <c:v>6.2783000000000007</c:v>
                </c:pt>
                <c:pt idx="15">
                  <c:v>6.2805</c:v>
                </c:pt>
                <c:pt idx="16">
                  <c:v>6.2817999999999996</c:v>
                </c:pt>
                <c:pt idx="17">
                  <c:v>6.2850999999999999</c:v>
                </c:pt>
                <c:pt idx="18">
                  <c:v>6.2805999999999997</c:v>
                </c:pt>
                <c:pt idx="19">
                  <c:v>6.2795000000000005</c:v>
                </c:pt>
                <c:pt idx="20">
                  <c:v>6.2819000000000003</c:v>
                </c:pt>
                <c:pt idx="21">
                  <c:v>6.2860000000000005</c:v>
                </c:pt>
                <c:pt idx="22">
                  <c:v>6.2850000000000001</c:v>
                </c:pt>
                <c:pt idx="23">
                  <c:v>6.2880999999999991</c:v>
                </c:pt>
                <c:pt idx="24">
                  <c:v>6.2898000000000005</c:v>
                </c:pt>
                <c:pt idx="25">
                  <c:v>6.2816000000000001</c:v>
                </c:pt>
                <c:pt idx="26">
                  <c:v>6.2821000000000007</c:v>
                </c:pt>
                <c:pt idx="27">
                  <c:v>6.2803999999999993</c:v>
                </c:pt>
                <c:pt idx="28">
                  <c:v>6.2846000000000002</c:v>
                </c:pt>
                <c:pt idx="29">
                  <c:v>6.2871000000000006</c:v>
                </c:pt>
                <c:pt idx="30">
                  <c:v>6.2891999999999992</c:v>
                </c:pt>
                <c:pt idx="31">
                  <c:v>6.2855999999999996</c:v>
                </c:pt>
                <c:pt idx="32">
                  <c:v>6.2841999999999993</c:v>
                </c:pt>
                <c:pt idx="33">
                  <c:v>6.2778999999999998</c:v>
                </c:pt>
                <c:pt idx="34">
                  <c:v>6.2797999999999998</c:v>
                </c:pt>
                <c:pt idx="35">
                  <c:v>6.2822000000000005</c:v>
                </c:pt>
                <c:pt idx="36">
                  <c:v>6.2797000000000001</c:v>
                </c:pt>
                <c:pt idx="37">
                  <c:v>6.2745000000000006</c:v>
                </c:pt>
                <c:pt idx="38">
                  <c:v>6.2785000000000002</c:v>
                </c:pt>
                <c:pt idx="39">
                  <c:v>6.2719000000000005</c:v>
                </c:pt>
                <c:pt idx="40">
                  <c:v>6.2769000000000004</c:v>
                </c:pt>
                <c:pt idx="41">
                  <c:v>6.2746000000000004</c:v>
                </c:pt>
                <c:pt idx="42">
                  <c:v>6.2725999999999997</c:v>
                </c:pt>
                <c:pt idx="43">
                  <c:v>6.2751999999999999</c:v>
                </c:pt>
                <c:pt idx="44">
                  <c:v>6.2723000000000004</c:v>
                </c:pt>
                <c:pt idx="45">
                  <c:v>6.2740999999999998</c:v>
                </c:pt>
                <c:pt idx="46">
                  <c:v>6.2758000000000003</c:v>
                </c:pt>
                <c:pt idx="47">
                  <c:v>6.2715999999999994</c:v>
                </c:pt>
                <c:pt idx="48">
                  <c:v>6.2730999999999995</c:v>
                </c:pt>
                <c:pt idx="49">
                  <c:v>6.2711000000000006</c:v>
                </c:pt>
                <c:pt idx="50">
                  <c:v>6.2691999999999997</c:v>
                </c:pt>
                <c:pt idx="51">
                  <c:v>6.2714999999999996</c:v>
                </c:pt>
                <c:pt idx="52">
                  <c:v>6.2726999999999995</c:v>
                </c:pt>
                <c:pt idx="53">
                  <c:v>6.2741999999999996</c:v>
                </c:pt>
                <c:pt idx="54">
                  <c:v>6.2688999999999995</c:v>
                </c:pt>
                <c:pt idx="55">
                  <c:v>6.2674000000000003</c:v>
                </c:pt>
                <c:pt idx="56">
                  <c:v>6.2586000000000004</c:v>
                </c:pt>
                <c:pt idx="57">
                  <c:v>6.2609000000000004</c:v>
                </c:pt>
                <c:pt idx="58">
                  <c:v>6.2649999999999997</c:v>
                </c:pt>
                <c:pt idx="59">
                  <c:v>6.2638999999999996</c:v>
                </c:pt>
                <c:pt idx="60">
                  <c:v>6.2548000000000004</c:v>
                </c:pt>
                <c:pt idx="61">
                  <c:v>6.2577999999999996</c:v>
                </c:pt>
                <c:pt idx="62">
                  <c:v>6.2505999999999995</c:v>
                </c:pt>
                <c:pt idx="63">
                  <c:v>6.2454000000000001</c:v>
                </c:pt>
                <c:pt idx="64">
                  <c:v>6.2408000000000001</c:v>
                </c:pt>
                <c:pt idx="65">
                  <c:v>6.2341999999999995</c:v>
                </c:pt>
                <c:pt idx="66">
                  <c:v>6.2416</c:v>
                </c:pt>
                <c:pt idx="67">
                  <c:v>6.2395000000000005</c:v>
                </c:pt>
                <c:pt idx="68">
                  <c:v>6.2414999999999994</c:v>
                </c:pt>
                <c:pt idx="69">
                  <c:v>6.2360000000000007</c:v>
                </c:pt>
                <c:pt idx="70">
                  <c:v>6.2384000000000004</c:v>
                </c:pt>
                <c:pt idx="71">
                  <c:v>6.23</c:v>
                </c:pt>
                <c:pt idx="72">
                  <c:v>6.2208000000000006</c:v>
                </c:pt>
                <c:pt idx="73">
                  <c:v>6.2082000000000006</c:v>
                </c:pt>
                <c:pt idx="74">
                  <c:v>6.2151999999999994</c:v>
                </c:pt>
                <c:pt idx="75">
                  <c:v>6.2114000000000003</c:v>
                </c:pt>
                <c:pt idx="76">
                  <c:v>6.2083000000000004</c:v>
                </c:pt>
                <c:pt idx="77">
                  <c:v>6.1979999999999995</c:v>
                </c:pt>
                <c:pt idx="78">
                  <c:v>6.1924999999999999</c:v>
                </c:pt>
                <c:pt idx="79">
                  <c:v>6.2016</c:v>
                </c:pt>
                <c:pt idx="80">
                  <c:v>6.2072000000000003</c:v>
                </c:pt>
                <c:pt idx="81">
                  <c:v>6.2035</c:v>
                </c:pt>
                <c:pt idx="82">
                  <c:v>6.2070000000000007</c:v>
                </c:pt>
                <c:pt idx="83">
                  <c:v>6.2096</c:v>
                </c:pt>
                <c:pt idx="84">
                  <c:v>6.1997</c:v>
                </c:pt>
                <c:pt idx="85">
                  <c:v>6.1997999999999998</c:v>
                </c:pt>
                <c:pt idx="86">
                  <c:v>6.1911000000000005</c:v>
                </c:pt>
                <c:pt idx="87">
                  <c:v>6.1903999999999995</c:v>
                </c:pt>
                <c:pt idx="88">
                  <c:v>6.1947000000000001</c:v>
                </c:pt>
                <c:pt idx="89">
                  <c:v>6.1866999999999992</c:v>
                </c:pt>
                <c:pt idx="90">
                  <c:v>6.1810999999999998</c:v>
                </c:pt>
                <c:pt idx="91">
                  <c:v>6.1817999999999991</c:v>
                </c:pt>
                <c:pt idx="92">
                  <c:v>6.1855999999999991</c:v>
                </c:pt>
                <c:pt idx="93">
                  <c:v>6.1820000000000004</c:v>
                </c:pt>
                <c:pt idx="94">
                  <c:v>6.1796000000000006</c:v>
                </c:pt>
                <c:pt idx="95">
                  <c:v>6.1805999999999992</c:v>
                </c:pt>
                <c:pt idx="96">
                  <c:v>6.1735000000000007</c:v>
                </c:pt>
                <c:pt idx="97">
                  <c:v>6.1757000000000009</c:v>
                </c:pt>
                <c:pt idx="98">
                  <c:v>6.1737000000000002</c:v>
                </c:pt>
                <c:pt idx="99">
                  <c:v>6.1620000000000008</c:v>
                </c:pt>
                <c:pt idx="100">
                  <c:v>6.1612</c:v>
                </c:pt>
                <c:pt idx="101">
                  <c:v>6.1607000000000003</c:v>
                </c:pt>
                <c:pt idx="102">
                  <c:v>6.1598000000000006</c:v>
                </c:pt>
                <c:pt idx="103">
                  <c:v>6.1650999999999998</c:v>
                </c:pt>
                <c:pt idx="104">
                  <c:v>6.1677</c:v>
                </c:pt>
                <c:pt idx="105">
                  <c:v>6.1698000000000004</c:v>
                </c:pt>
                <c:pt idx="106">
                  <c:v>6.1765999999999996</c:v>
                </c:pt>
                <c:pt idx="107">
                  <c:v>6.1807000000000007</c:v>
                </c:pt>
                <c:pt idx="108">
                  <c:v>6.1766999999999994</c:v>
                </c:pt>
                <c:pt idx="109">
                  <c:v>6.1778999999999993</c:v>
                </c:pt>
                <c:pt idx="110">
                  <c:v>6.1797000000000004</c:v>
                </c:pt>
                <c:pt idx="111">
                  <c:v>6.1787000000000001</c:v>
                </c:pt>
                <c:pt idx="112">
                  <c:v>6.1804999999999994</c:v>
                </c:pt>
                <c:pt idx="113">
                  <c:v>6.1772999999999998</c:v>
                </c:pt>
                <c:pt idx="114">
                  <c:v>6.1802999999999999</c:v>
                </c:pt>
                <c:pt idx="115">
                  <c:v>6.1754999999999995</c:v>
                </c:pt>
                <c:pt idx="116">
                  <c:v>6.1789999999999994</c:v>
                </c:pt>
                <c:pt idx="117">
                  <c:v>6.1807000000000007</c:v>
                </c:pt>
                <c:pt idx="118">
                  <c:v>6.1729999999999992</c:v>
                </c:pt>
                <c:pt idx="119">
                  <c:v>6.1651999999999996</c:v>
                </c:pt>
                <c:pt idx="120">
                  <c:v>6.1599000000000004</c:v>
                </c:pt>
                <c:pt idx="121">
                  <c:v>6.1630999999999991</c:v>
                </c:pt>
                <c:pt idx="122">
                  <c:v>6.1662999999999997</c:v>
                </c:pt>
                <c:pt idx="123">
                  <c:v>6.1692</c:v>
                </c:pt>
                <c:pt idx="124">
                  <c:v>6.1651999999999996</c:v>
                </c:pt>
                <c:pt idx="125">
                  <c:v>6.1720000000000006</c:v>
                </c:pt>
                <c:pt idx="126">
                  <c:v>6.1750999999999996</c:v>
                </c:pt>
                <c:pt idx="127">
                  <c:v>6.1721000000000004</c:v>
                </c:pt>
                <c:pt idx="128">
                  <c:v>6.1701999999999995</c:v>
                </c:pt>
                <c:pt idx="129">
                  <c:v>6.1695000000000002</c:v>
                </c:pt>
                <c:pt idx="130">
                  <c:v>6.1759000000000004</c:v>
                </c:pt>
                <c:pt idx="131">
                  <c:v>6.1720000000000006</c:v>
                </c:pt>
                <c:pt idx="132">
                  <c:v>6.1704999999999997</c:v>
                </c:pt>
                <c:pt idx="133">
                  <c:v>6.1770000000000005</c:v>
                </c:pt>
                <c:pt idx="134">
                  <c:v>6.1787999999999998</c:v>
                </c:pt>
                <c:pt idx="135">
                  <c:v>6.1777999999999995</c:v>
                </c:pt>
                <c:pt idx="136">
                  <c:v>6.1816999999999993</c:v>
                </c:pt>
                <c:pt idx="137">
                  <c:v>6.1766999999999994</c:v>
                </c:pt>
                <c:pt idx="138">
                  <c:v>6.1753</c:v>
                </c:pt>
                <c:pt idx="139">
                  <c:v>6.1726000000000001</c:v>
                </c:pt>
                <c:pt idx="140">
                  <c:v>6.1703000000000001</c:v>
                </c:pt>
                <c:pt idx="141">
                  <c:v>6.1667999999999994</c:v>
                </c:pt>
                <c:pt idx="142">
                  <c:v>6.1665000000000001</c:v>
                </c:pt>
                <c:pt idx="143">
                  <c:v>6.1704999999999997</c:v>
                </c:pt>
                <c:pt idx="144">
                  <c:v>6.1720000000000006</c:v>
                </c:pt>
                <c:pt idx="145">
                  <c:v>6.1696</c:v>
                </c:pt>
                <c:pt idx="146">
                  <c:v>6.1665999999999999</c:v>
                </c:pt>
                <c:pt idx="147">
                  <c:v>6.1689999999999996</c:v>
                </c:pt>
                <c:pt idx="148">
                  <c:v>6.1697000000000006</c:v>
                </c:pt>
                <c:pt idx="149">
                  <c:v>6.1675000000000004</c:v>
                </c:pt>
                <c:pt idx="150">
                  <c:v>6.1698000000000004</c:v>
                </c:pt>
                <c:pt idx="151">
                  <c:v>6.1710000000000003</c:v>
                </c:pt>
                <c:pt idx="152">
                  <c:v>6.1679999999999993</c:v>
                </c:pt>
                <c:pt idx="153">
                  <c:v>6.1688000000000001</c:v>
                </c:pt>
                <c:pt idx="154">
                  <c:v>6.1666999999999996</c:v>
                </c:pt>
                <c:pt idx="155">
                  <c:v>6.1689999999999996</c:v>
                </c:pt>
                <c:pt idx="156">
                  <c:v>6.1709000000000005</c:v>
                </c:pt>
                <c:pt idx="157">
                  <c:v>6.1701999999999995</c:v>
                </c:pt>
                <c:pt idx="158">
                  <c:v>6.1717999999999993</c:v>
                </c:pt>
                <c:pt idx="159">
                  <c:v>6.1728999999999994</c:v>
                </c:pt>
                <c:pt idx="160">
                  <c:v>6.1696</c:v>
                </c:pt>
                <c:pt idx="161">
                  <c:v>6.1727999999999996</c:v>
                </c:pt>
                <c:pt idx="162">
                  <c:v>6.1641999999999992</c:v>
                </c:pt>
                <c:pt idx="163">
                  <c:v>6.1612</c:v>
                </c:pt>
                <c:pt idx="164">
                  <c:v>6.1600999999999999</c:v>
                </c:pt>
                <c:pt idx="165">
                  <c:v>6.1574999999999998</c:v>
                </c:pt>
                <c:pt idx="166">
                  <c:v>6.1577999999999999</c:v>
                </c:pt>
                <c:pt idx="167">
                  <c:v>6.1553999999999993</c:v>
                </c:pt>
                <c:pt idx="168">
                  <c:v>6.1571000000000007</c:v>
                </c:pt>
                <c:pt idx="169">
                  <c:v>6.1557000000000004</c:v>
                </c:pt>
                <c:pt idx="170">
                  <c:v>6.1475</c:v>
                </c:pt>
                <c:pt idx="171">
                  <c:v>6.1485000000000003</c:v>
                </c:pt>
                <c:pt idx="172">
                  <c:v>6.1497000000000002</c:v>
                </c:pt>
                <c:pt idx="173">
                  <c:v>6.1476999999999995</c:v>
                </c:pt>
                <c:pt idx="174">
                  <c:v>6.1495000000000006</c:v>
                </c:pt>
                <c:pt idx="175">
                  <c:v>6.1479999999999997</c:v>
                </c:pt>
                <c:pt idx="176">
                  <c:v>6.1414999999999997</c:v>
                </c:pt>
                <c:pt idx="177">
                  <c:v>6.1429999999999998</c:v>
                </c:pt>
                <c:pt idx="178">
                  <c:v>6.1452</c:v>
                </c:pt>
                <c:pt idx="179">
                  <c:v>6.1458000000000004</c:v>
                </c:pt>
                <c:pt idx="180">
                  <c:v>6.1405999999999992</c:v>
                </c:pt>
                <c:pt idx="181">
                  <c:v>6.1412000000000004</c:v>
                </c:pt>
                <c:pt idx="182">
                  <c:v>6.1408000000000005</c:v>
                </c:pt>
                <c:pt idx="183">
                  <c:v>6.1430999999999996</c:v>
                </c:pt>
                <c:pt idx="184">
                  <c:v>6.1372</c:v>
                </c:pt>
                <c:pt idx="185">
                  <c:v>6.1352000000000002</c:v>
                </c:pt>
                <c:pt idx="186">
                  <c:v>6.1395000000000008</c:v>
                </c:pt>
                <c:pt idx="187">
                  <c:v>6.1329999999999991</c:v>
                </c:pt>
                <c:pt idx="188">
                  <c:v>6.1335000000000006</c:v>
                </c:pt>
                <c:pt idx="189">
                  <c:v>6.1333000000000002</c:v>
                </c:pt>
                <c:pt idx="190">
                  <c:v>6.1336000000000004</c:v>
                </c:pt>
                <c:pt idx="191">
                  <c:v>6.1372999999999998</c:v>
                </c:pt>
                <c:pt idx="192">
                  <c:v>6.1412000000000004</c:v>
                </c:pt>
                <c:pt idx="193">
                  <c:v>6.1425000000000001</c:v>
                </c:pt>
                <c:pt idx="194">
                  <c:v>6.1452</c:v>
                </c:pt>
                <c:pt idx="195">
                  <c:v>6.1482000000000001</c:v>
                </c:pt>
                <c:pt idx="196">
                  <c:v>6.1447000000000003</c:v>
                </c:pt>
                <c:pt idx="197">
                  <c:v>6.1475</c:v>
                </c:pt>
                <c:pt idx="198">
                  <c:v>6.1449999999999996</c:v>
                </c:pt>
                <c:pt idx="199">
                  <c:v>6.1354999999999995</c:v>
                </c:pt>
                <c:pt idx="200">
                  <c:v>6.1389999999999993</c:v>
                </c:pt>
                <c:pt idx="201">
                  <c:v>6.1360000000000001</c:v>
                </c:pt>
                <c:pt idx="202">
                  <c:v>6.1341999999999999</c:v>
                </c:pt>
                <c:pt idx="203">
                  <c:v>6.1315</c:v>
                </c:pt>
                <c:pt idx="204">
                  <c:v>6.1350999999999996</c:v>
                </c:pt>
                <c:pt idx="205">
                  <c:v>6.1332000000000004</c:v>
                </c:pt>
                <c:pt idx="206">
                  <c:v>6.1316999999999995</c:v>
                </c:pt>
                <c:pt idx="207">
                  <c:v>6.1304999999999996</c:v>
                </c:pt>
                <c:pt idx="208">
                  <c:v>6.1365999999999996</c:v>
                </c:pt>
                <c:pt idx="209">
                  <c:v>6.1379999999999999</c:v>
                </c:pt>
                <c:pt idx="210">
                  <c:v>6.1341999999999999</c:v>
                </c:pt>
                <c:pt idx="211">
                  <c:v>6.1357000000000008</c:v>
                </c:pt>
                <c:pt idx="212">
                  <c:v>6.1329999999999991</c:v>
                </c:pt>
                <c:pt idx="213">
                  <c:v>6.1342999999999996</c:v>
                </c:pt>
                <c:pt idx="214">
                  <c:v>6.1325000000000003</c:v>
                </c:pt>
                <c:pt idx="215">
                  <c:v>6.1328999999999994</c:v>
                </c:pt>
                <c:pt idx="216">
                  <c:v>6.1352000000000002</c:v>
                </c:pt>
                <c:pt idx="217">
                  <c:v>6.13</c:v>
                </c:pt>
                <c:pt idx="218">
                  <c:v>6.1310000000000002</c:v>
                </c:pt>
                <c:pt idx="219">
                  <c:v>6.1232000000000006</c:v>
                </c:pt>
                <c:pt idx="220">
                  <c:v>6.1129999999999995</c:v>
                </c:pt>
                <c:pt idx="221">
                  <c:v>6.1113999999999997</c:v>
                </c:pt>
                <c:pt idx="222">
                  <c:v>6.11</c:v>
                </c:pt>
                <c:pt idx="223">
                  <c:v>6.1114999999999995</c:v>
                </c:pt>
                <c:pt idx="224">
                  <c:v>6.1147999999999998</c:v>
                </c:pt>
                <c:pt idx="225">
                  <c:v>6.1124000000000001</c:v>
                </c:pt>
                <c:pt idx="226">
                  <c:v>6.1108000000000002</c:v>
                </c:pt>
                <c:pt idx="227">
                  <c:v>6.1104999999999992</c:v>
                </c:pt>
                <c:pt idx="228">
                  <c:v>6.1183000000000005</c:v>
                </c:pt>
                <c:pt idx="229">
                  <c:v>6.1196000000000002</c:v>
                </c:pt>
                <c:pt idx="230">
                  <c:v>6.1161000000000003</c:v>
                </c:pt>
                <c:pt idx="231">
                  <c:v>6.1145000000000005</c:v>
                </c:pt>
                <c:pt idx="232">
                  <c:v>6.1160000000000005</c:v>
                </c:pt>
                <c:pt idx="233">
                  <c:v>6.1155999999999997</c:v>
                </c:pt>
                <c:pt idx="234">
                  <c:v>6.1050000000000004</c:v>
                </c:pt>
                <c:pt idx="235">
                  <c:v>6.1024000000000003</c:v>
                </c:pt>
                <c:pt idx="236">
                  <c:v>6.0969000000000007</c:v>
                </c:pt>
                <c:pt idx="237">
                  <c:v>6.0990000000000002</c:v>
                </c:pt>
                <c:pt idx="238">
                  <c:v>6.1038999999999994</c:v>
                </c:pt>
                <c:pt idx="239">
                  <c:v>6.1059000000000001</c:v>
                </c:pt>
                <c:pt idx="240">
                  <c:v>6.1041999999999996</c:v>
                </c:pt>
                <c:pt idx="241">
                  <c:v>6.1078999999999999</c:v>
                </c:pt>
                <c:pt idx="242">
                  <c:v>6.1109</c:v>
                </c:pt>
                <c:pt idx="243">
                  <c:v>6.1008000000000004</c:v>
                </c:pt>
                <c:pt idx="244">
                  <c:v>6.0949999999999998</c:v>
                </c:pt>
                <c:pt idx="245">
                  <c:v>6.093</c:v>
                </c:pt>
                <c:pt idx="246">
                  <c:v>6.1004999999999994</c:v>
                </c:pt>
                <c:pt idx="247">
                  <c:v>6.1064999999999996</c:v>
                </c:pt>
                <c:pt idx="248">
                  <c:v>6.1040999999999999</c:v>
                </c:pt>
                <c:pt idx="249">
                  <c:v>6.1083000000000007</c:v>
                </c:pt>
                <c:pt idx="250">
                  <c:v>6.1065999999999994</c:v>
                </c:pt>
                <c:pt idx="251">
                  <c:v>6.1086999999999998</c:v>
                </c:pt>
                <c:pt idx="252">
                  <c:v>6.1107000000000005</c:v>
                </c:pt>
                <c:pt idx="253">
                  <c:v>6.1035000000000004</c:v>
                </c:pt>
                <c:pt idx="254">
                  <c:v>6.1021999999999998</c:v>
                </c:pt>
                <c:pt idx="255">
                  <c:v>6.1052999999999997</c:v>
                </c:pt>
                <c:pt idx="256">
                  <c:v>6.1073000000000004</c:v>
                </c:pt>
                <c:pt idx="257">
                  <c:v>6.1050000000000004</c:v>
                </c:pt>
                <c:pt idx="258">
                  <c:v>6.1089000000000002</c:v>
                </c:pt>
                <c:pt idx="259">
                  <c:v>6.1083000000000007</c:v>
                </c:pt>
                <c:pt idx="260">
                  <c:v>6.1069000000000004</c:v>
                </c:pt>
                <c:pt idx="261">
                  <c:v>6.1078000000000001</c:v>
                </c:pt>
                <c:pt idx="262">
                  <c:v>6.11</c:v>
                </c:pt>
                <c:pt idx="263">
                  <c:v>6.1070000000000002</c:v>
                </c:pt>
                <c:pt idx="264">
                  <c:v>6.1052999999999997</c:v>
                </c:pt>
                <c:pt idx="265">
                  <c:v>6.1073000000000004</c:v>
                </c:pt>
                <c:pt idx="266">
                  <c:v>6.1102999999999996</c:v>
                </c:pt>
                <c:pt idx="267">
                  <c:v>6.1146000000000003</c:v>
                </c:pt>
                <c:pt idx="268">
                  <c:v>6.1175999999999995</c:v>
                </c:pt>
                <c:pt idx="269">
                  <c:v>6.1189</c:v>
                </c:pt>
                <c:pt idx="270">
                  <c:v>6.1184000000000003</c:v>
                </c:pt>
                <c:pt idx="271">
                  <c:v>6.1191999999999993</c:v>
                </c:pt>
                <c:pt idx="272">
                  <c:v>6.1223999999999998</c:v>
                </c:pt>
                <c:pt idx="273">
                  <c:v>6.1213999999999995</c:v>
                </c:pt>
                <c:pt idx="274">
                  <c:v>6.1189999999999998</c:v>
                </c:pt>
                <c:pt idx="275">
                  <c:v>6.1235999999999997</c:v>
                </c:pt>
                <c:pt idx="276">
                  <c:v>6.1257000000000001</c:v>
                </c:pt>
                <c:pt idx="277">
                  <c:v>6.1249000000000002</c:v>
                </c:pt>
                <c:pt idx="278">
                  <c:v>6.1200999999999999</c:v>
                </c:pt>
                <c:pt idx="279">
                  <c:v>6.1311999999999998</c:v>
                </c:pt>
                <c:pt idx="280">
                  <c:v>6.1326999999999998</c:v>
                </c:pt>
                <c:pt idx="281">
                  <c:v>6.1342999999999996</c:v>
                </c:pt>
                <c:pt idx="282">
                  <c:v>6.1320000000000006</c:v>
                </c:pt>
                <c:pt idx="283">
                  <c:v>6.1346000000000007</c:v>
                </c:pt>
                <c:pt idx="284">
                  <c:v>6.1321000000000003</c:v>
                </c:pt>
                <c:pt idx="285">
                  <c:v>6.1341000000000001</c:v>
                </c:pt>
                <c:pt idx="286">
                  <c:v>6.1350999999999996</c:v>
                </c:pt>
                <c:pt idx="287">
                  <c:v>6.1459999999999999</c:v>
                </c:pt>
                <c:pt idx="288">
                  <c:v>6.1475</c:v>
                </c:pt>
                <c:pt idx="289">
                  <c:v>6.1452</c:v>
                </c:pt>
                <c:pt idx="290">
                  <c:v>6.1425999999999998</c:v>
                </c:pt>
                <c:pt idx="291">
                  <c:v>6.1440000000000001</c:v>
                </c:pt>
                <c:pt idx="292">
                  <c:v>6.1464999999999996</c:v>
                </c:pt>
                <c:pt idx="293">
                  <c:v>6.149</c:v>
                </c:pt>
                <c:pt idx="294">
                  <c:v>6.1521000000000008</c:v>
                </c:pt>
                <c:pt idx="295">
                  <c:v>6.1502999999999997</c:v>
                </c:pt>
                <c:pt idx="296">
                  <c:v>6.1492999999999993</c:v>
                </c:pt>
                <c:pt idx="297">
                  <c:v>6.1520000000000001</c:v>
                </c:pt>
                <c:pt idx="298">
                  <c:v>6.1557000000000004</c:v>
                </c:pt>
                <c:pt idx="299">
                  <c:v>6.1526999999999994</c:v>
                </c:pt>
                <c:pt idx="300">
                  <c:v>6.149</c:v>
                </c:pt>
                <c:pt idx="301">
                  <c:v>6.1509999999999998</c:v>
                </c:pt>
                <c:pt idx="302">
                  <c:v>6.1495000000000006</c:v>
                </c:pt>
                <c:pt idx="303">
                  <c:v>6.1530999999999993</c:v>
                </c:pt>
                <c:pt idx="304">
                  <c:v>6.1571000000000007</c:v>
                </c:pt>
                <c:pt idx="305">
                  <c:v>6.1589</c:v>
                </c:pt>
                <c:pt idx="306">
                  <c:v>6.1574999999999998</c:v>
                </c:pt>
                <c:pt idx="307">
                  <c:v>6.1585999999999999</c:v>
                </c:pt>
                <c:pt idx="308">
                  <c:v>6.1590999999999996</c:v>
                </c:pt>
                <c:pt idx="309">
                  <c:v>6.1610000000000005</c:v>
                </c:pt>
                <c:pt idx="310">
                  <c:v>6.1599000000000004</c:v>
                </c:pt>
                <c:pt idx="311">
                  <c:v>6.1589</c:v>
                </c:pt>
                <c:pt idx="312">
                  <c:v>6.1575999999999995</c:v>
                </c:pt>
                <c:pt idx="313">
                  <c:v>6.1564999999999994</c:v>
                </c:pt>
                <c:pt idx="314">
                  <c:v>6.1555999999999997</c:v>
                </c:pt>
                <c:pt idx="315">
                  <c:v>6.1579999999999995</c:v>
                </c:pt>
                <c:pt idx="316">
                  <c:v>6.1560000000000006</c:v>
                </c:pt>
                <c:pt idx="317">
                  <c:v>6.1564999999999994</c:v>
                </c:pt>
                <c:pt idx="318">
                  <c:v>6.1541999999999994</c:v>
                </c:pt>
                <c:pt idx="319">
                  <c:v>6.1557000000000004</c:v>
                </c:pt>
                <c:pt idx="320">
                  <c:v>6.1580999999999992</c:v>
                </c:pt>
                <c:pt idx="321">
                  <c:v>6.1624999999999996</c:v>
                </c:pt>
                <c:pt idx="322">
                  <c:v>6.1635999999999997</c:v>
                </c:pt>
                <c:pt idx="323">
                  <c:v>6.1652999999999993</c:v>
                </c:pt>
                <c:pt idx="324">
                  <c:v>6.1639999999999997</c:v>
                </c:pt>
                <c:pt idx="325">
                  <c:v>6.1627999999999998</c:v>
                </c:pt>
                <c:pt idx="326">
                  <c:v>6.1635999999999997</c:v>
                </c:pt>
                <c:pt idx="327">
                  <c:v>6.1626000000000003</c:v>
                </c:pt>
                <c:pt idx="328">
                  <c:v>6.1645000000000003</c:v>
                </c:pt>
                <c:pt idx="329">
                  <c:v>6.1658000000000008</c:v>
                </c:pt>
                <c:pt idx="330">
                  <c:v>6.168099999999999</c:v>
                </c:pt>
                <c:pt idx="331">
                  <c:v>6.1699000000000002</c:v>
                </c:pt>
                <c:pt idx="332">
                  <c:v>6.1687000000000003</c:v>
                </c:pt>
                <c:pt idx="333">
                  <c:v>6.1694000000000004</c:v>
                </c:pt>
                <c:pt idx="334">
                  <c:v>6.1704999999999997</c:v>
                </c:pt>
                <c:pt idx="335">
                  <c:v>6.1695000000000002</c:v>
                </c:pt>
                <c:pt idx="336">
                  <c:v>6.1710000000000003</c:v>
                </c:pt>
                <c:pt idx="337">
                  <c:v>6.1692999999999998</c:v>
                </c:pt>
                <c:pt idx="338">
                  <c:v>6.1708000000000007</c:v>
                </c:pt>
                <c:pt idx="339">
                  <c:v>6.1623000000000001</c:v>
                </c:pt>
                <c:pt idx="340">
                  <c:v>6.1485000000000003</c:v>
                </c:pt>
                <c:pt idx="341">
                  <c:v>6.1451000000000002</c:v>
                </c:pt>
                <c:pt idx="342">
                  <c:v>6.1505999999999998</c:v>
                </c:pt>
                <c:pt idx="343">
                  <c:v>6.1515999999999993</c:v>
                </c:pt>
                <c:pt idx="344">
                  <c:v>6.1502999999999997</c:v>
                </c:pt>
                <c:pt idx="345">
                  <c:v>6.1536999999999997</c:v>
                </c:pt>
                <c:pt idx="346">
                  <c:v>6.1528999999999998</c:v>
                </c:pt>
                <c:pt idx="347">
                  <c:v>6.1558999999999999</c:v>
                </c:pt>
                <c:pt idx="348">
                  <c:v>6.1530999999999993</c:v>
                </c:pt>
                <c:pt idx="349">
                  <c:v>6.1524000000000001</c:v>
                </c:pt>
                <c:pt idx="350">
                  <c:v>6.1557000000000004</c:v>
                </c:pt>
                <c:pt idx="351">
                  <c:v>6.1545000000000005</c:v>
                </c:pt>
                <c:pt idx="352">
                  <c:v>6.1555</c:v>
                </c:pt>
                <c:pt idx="353">
                  <c:v>6.1538000000000004</c:v>
                </c:pt>
                <c:pt idx="354">
                  <c:v>6.1542999999999992</c:v>
                </c:pt>
                <c:pt idx="355">
                  <c:v>6.1528</c:v>
                </c:pt>
                <c:pt idx="356">
                  <c:v>6.1523000000000003</c:v>
                </c:pt>
                <c:pt idx="357">
                  <c:v>6.1549000000000005</c:v>
                </c:pt>
                <c:pt idx="358">
                  <c:v>6.1580999999999992</c:v>
                </c:pt>
                <c:pt idx="359">
                  <c:v>6.1641999999999992</c:v>
                </c:pt>
                <c:pt idx="360">
                  <c:v>6.1658000000000008</c:v>
                </c:pt>
                <c:pt idx="361">
                  <c:v>6.1626000000000003</c:v>
                </c:pt>
                <c:pt idx="362">
                  <c:v>6.1564999999999994</c:v>
                </c:pt>
                <c:pt idx="363">
                  <c:v>6.1442999999999994</c:v>
                </c:pt>
                <c:pt idx="364">
                  <c:v>6.1469000000000005</c:v>
                </c:pt>
                <c:pt idx="365">
                  <c:v>6.1485000000000003</c:v>
                </c:pt>
                <c:pt idx="366">
                  <c:v>6.149</c:v>
                </c:pt>
                <c:pt idx="367">
                  <c:v>6.1535000000000002</c:v>
                </c:pt>
                <c:pt idx="368">
                  <c:v>6.1563999999999997</c:v>
                </c:pt>
                <c:pt idx="369">
                  <c:v>6.1567999999999996</c:v>
                </c:pt>
                <c:pt idx="370">
                  <c:v>6.1547000000000001</c:v>
                </c:pt>
                <c:pt idx="371">
                  <c:v>6.1544000000000008</c:v>
                </c:pt>
                <c:pt idx="372">
                  <c:v>6.1572000000000005</c:v>
                </c:pt>
                <c:pt idx="373">
                  <c:v>6.1578999999999997</c:v>
                </c:pt>
                <c:pt idx="374">
                  <c:v>6.1597</c:v>
                </c:pt>
                <c:pt idx="375">
                  <c:v>6.1622000000000003</c:v>
                </c:pt>
                <c:pt idx="376">
                  <c:v>6.1615000000000002</c:v>
                </c:pt>
                <c:pt idx="377">
                  <c:v>6.1645000000000003</c:v>
                </c:pt>
                <c:pt idx="378">
                  <c:v>6.1675000000000004</c:v>
                </c:pt>
                <c:pt idx="379">
                  <c:v>6.168099999999999</c:v>
                </c:pt>
                <c:pt idx="380">
                  <c:v>6.1661000000000001</c:v>
                </c:pt>
                <c:pt idx="381">
                  <c:v>6.1654999999999998</c:v>
                </c:pt>
                <c:pt idx="382">
                  <c:v>6.168099999999999</c:v>
                </c:pt>
                <c:pt idx="383">
                  <c:v>6.1670000000000007</c:v>
                </c:pt>
                <c:pt idx="384">
                  <c:v>6.1562000000000001</c:v>
                </c:pt>
                <c:pt idx="385">
                  <c:v>6.1522000000000006</c:v>
                </c:pt>
                <c:pt idx="386">
                  <c:v>6.1516999999999999</c:v>
                </c:pt>
                <c:pt idx="387">
                  <c:v>6.1533000000000007</c:v>
                </c:pt>
                <c:pt idx="388">
                  <c:v>6.1545000000000005</c:v>
                </c:pt>
                <c:pt idx="389">
                  <c:v>6.1538000000000004</c:v>
                </c:pt>
                <c:pt idx="390">
                  <c:v>6.1528</c:v>
                </c:pt>
                <c:pt idx="391">
                  <c:v>6.1547999999999998</c:v>
                </c:pt>
                <c:pt idx="392">
                  <c:v>6.1579999999999995</c:v>
                </c:pt>
                <c:pt idx="393">
                  <c:v>6.1632000000000007</c:v>
                </c:pt>
                <c:pt idx="394">
                  <c:v>6.1616999999999997</c:v>
                </c:pt>
                <c:pt idx="395">
                  <c:v>6.1652999999999993</c:v>
                </c:pt>
                <c:pt idx="396">
                  <c:v>6.1662999999999997</c:v>
                </c:pt>
                <c:pt idx="397">
                  <c:v>6.1658000000000008</c:v>
                </c:pt>
                <c:pt idx="398">
                  <c:v>6.1638000000000002</c:v>
                </c:pt>
                <c:pt idx="399">
                  <c:v>6.1646999999999998</c:v>
                </c:pt>
                <c:pt idx="400">
                  <c:v>6.1679999999999993</c:v>
                </c:pt>
                <c:pt idx="401">
                  <c:v>6.1684000000000001</c:v>
                </c:pt>
                <c:pt idx="402">
                  <c:v>6.1697000000000006</c:v>
                </c:pt>
                <c:pt idx="403">
                  <c:v>6.1665999999999999</c:v>
                </c:pt>
                <c:pt idx="404">
                  <c:v>6.1707000000000001</c:v>
                </c:pt>
                <c:pt idx="405">
                  <c:v>6.1520000000000001</c:v>
                </c:pt>
                <c:pt idx="406">
                  <c:v>6.1425000000000001</c:v>
                </c:pt>
                <c:pt idx="407">
                  <c:v>6.1452999999999998</c:v>
                </c:pt>
                <c:pt idx="408">
                  <c:v>6.1467999999999998</c:v>
                </c:pt>
                <c:pt idx="409">
                  <c:v>6.1452</c:v>
                </c:pt>
                <c:pt idx="410">
                  <c:v>6.1462000000000003</c:v>
                </c:pt>
                <c:pt idx="411">
                  <c:v>6.1449999999999996</c:v>
                </c:pt>
                <c:pt idx="412">
                  <c:v>6.149</c:v>
                </c:pt>
                <c:pt idx="413">
                  <c:v>6.1454999999999993</c:v>
                </c:pt>
                <c:pt idx="414">
                  <c:v>6.1485000000000003</c:v>
                </c:pt>
                <c:pt idx="415">
                  <c:v>6.1470000000000002</c:v>
                </c:pt>
                <c:pt idx="416">
                  <c:v>6.1462000000000003</c:v>
                </c:pt>
                <c:pt idx="417">
                  <c:v>6.1497000000000002</c:v>
                </c:pt>
                <c:pt idx="418">
                  <c:v>6.1508000000000003</c:v>
                </c:pt>
                <c:pt idx="419">
                  <c:v>6.1539000000000001</c:v>
                </c:pt>
                <c:pt idx="420">
                  <c:v>6.1524999999999999</c:v>
                </c:pt>
                <c:pt idx="421">
                  <c:v>6.1492999999999993</c:v>
                </c:pt>
                <c:pt idx="422">
                  <c:v>6.1461000000000006</c:v>
                </c:pt>
                <c:pt idx="423">
                  <c:v>6.1470000000000002</c:v>
                </c:pt>
                <c:pt idx="424">
                  <c:v>6.1446000000000005</c:v>
                </c:pt>
                <c:pt idx="425">
                  <c:v>6.1408000000000005</c:v>
                </c:pt>
                <c:pt idx="426">
                  <c:v>6.1454999999999993</c:v>
                </c:pt>
                <c:pt idx="427">
                  <c:v>6.1395000000000008</c:v>
                </c:pt>
                <c:pt idx="428">
                  <c:v>6.1407000000000007</c:v>
                </c:pt>
                <c:pt idx="429">
                  <c:v>6.1435000000000004</c:v>
                </c:pt>
                <c:pt idx="430">
                  <c:v>6.141</c:v>
                </c:pt>
                <c:pt idx="431">
                  <c:v>6.1436999999999999</c:v>
                </c:pt>
                <c:pt idx="432">
                  <c:v>6.1459000000000001</c:v>
                </c:pt>
                <c:pt idx="433">
                  <c:v>6.1466999999999992</c:v>
                </c:pt>
                <c:pt idx="434">
                  <c:v>6.1446000000000005</c:v>
                </c:pt>
                <c:pt idx="435">
                  <c:v>6.1421000000000001</c:v>
                </c:pt>
                <c:pt idx="436">
                  <c:v>6.1404999999999994</c:v>
                </c:pt>
                <c:pt idx="437">
                  <c:v>6.1457000000000006</c:v>
                </c:pt>
                <c:pt idx="438">
                  <c:v>6.1461000000000006</c:v>
                </c:pt>
                <c:pt idx="439">
                  <c:v>6.1524999999999999</c:v>
                </c:pt>
                <c:pt idx="440">
                  <c:v>6.1542999999999992</c:v>
                </c:pt>
                <c:pt idx="441">
                  <c:v>6.1502999999999997</c:v>
                </c:pt>
                <c:pt idx="442">
                  <c:v>6.1564999999999994</c:v>
                </c:pt>
                <c:pt idx="443">
                  <c:v>6.1601999999999997</c:v>
                </c:pt>
                <c:pt idx="444">
                  <c:v>6.1376999999999997</c:v>
                </c:pt>
                <c:pt idx="445">
                  <c:v>6.1413000000000002</c:v>
                </c:pt>
                <c:pt idx="446">
                  <c:v>6.1427999999999994</c:v>
                </c:pt>
                <c:pt idx="447">
                  <c:v>6.1417999999999999</c:v>
                </c:pt>
                <c:pt idx="448">
                  <c:v>6.1398999999999999</c:v>
                </c:pt>
                <c:pt idx="449">
                  <c:v>6.1409000000000002</c:v>
                </c:pt>
                <c:pt idx="450">
                  <c:v>6.1429999999999998</c:v>
                </c:pt>
                <c:pt idx="451">
                  <c:v>6.1397000000000004</c:v>
                </c:pt>
                <c:pt idx="452">
                  <c:v>6.1416999999999993</c:v>
                </c:pt>
                <c:pt idx="453">
                  <c:v>6.1387</c:v>
                </c:pt>
                <c:pt idx="454">
                  <c:v>6.1420000000000003</c:v>
                </c:pt>
                <c:pt idx="455">
                  <c:v>6.1389999999999993</c:v>
                </c:pt>
                <c:pt idx="456">
                  <c:v>6.1353999999999997</c:v>
                </c:pt>
                <c:pt idx="457">
                  <c:v>6.1320000000000006</c:v>
                </c:pt>
                <c:pt idx="458">
                  <c:v>6.1345000000000001</c:v>
                </c:pt>
                <c:pt idx="459">
                  <c:v>6.1369000000000007</c:v>
                </c:pt>
                <c:pt idx="460">
                  <c:v>6.1325000000000003</c:v>
                </c:pt>
                <c:pt idx="461">
                  <c:v>6.1375999999999999</c:v>
                </c:pt>
                <c:pt idx="462">
                  <c:v>6.1410999999999998</c:v>
                </c:pt>
                <c:pt idx="463">
                  <c:v>6.1372999999999998</c:v>
                </c:pt>
                <c:pt idx="464">
                  <c:v>6.1282000000000005</c:v>
                </c:pt>
                <c:pt idx="465">
                  <c:v>6.1230999999999991</c:v>
                </c:pt>
                <c:pt idx="466">
                  <c:v>6.1195000000000004</c:v>
                </c:pt>
                <c:pt idx="467">
                  <c:v>6.1152999999999995</c:v>
                </c:pt>
                <c:pt idx="468">
                  <c:v>6.1184000000000003</c:v>
                </c:pt>
                <c:pt idx="469">
                  <c:v>6.1151999999999997</c:v>
                </c:pt>
                <c:pt idx="470">
                  <c:v>6.1182000000000007</c:v>
                </c:pt>
                <c:pt idx="471">
                  <c:v>6.1136999999999997</c:v>
                </c:pt>
                <c:pt idx="472">
                  <c:v>6.1195000000000004</c:v>
                </c:pt>
                <c:pt idx="473">
                  <c:v>6.1204999999999998</c:v>
                </c:pt>
                <c:pt idx="474">
                  <c:v>6.1220000000000008</c:v>
                </c:pt>
                <c:pt idx="475">
                  <c:v>6.1229999999999993</c:v>
                </c:pt>
                <c:pt idx="476">
                  <c:v>6.1247000000000007</c:v>
                </c:pt>
                <c:pt idx="477">
                  <c:v>6.1212999999999997</c:v>
                </c:pt>
                <c:pt idx="478">
                  <c:v>6.1185999999999998</c:v>
                </c:pt>
                <c:pt idx="479">
                  <c:v>6.1204999999999998</c:v>
                </c:pt>
                <c:pt idx="480">
                  <c:v>6.1223999999999998</c:v>
                </c:pt>
                <c:pt idx="481">
                  <c:v>6.1189999999999998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350080"/>
        <c:axId val="146351616"/>
      </c:lineChart>
      <c:dateAx>
        <c:axId val="146350080"/>
        <c:scaling>
          <c:orientation val="minMax"/>
          <c:min val="41275"/>
        </c:scaling>
        <c:delete val="0"/>
        <c:axPos val="b"/>
        <c:numFmt formatCode="\ [$-1028]yyyy/m" sourceLinked="0"/>
        <c:majorTickMark val="out"/>
        <c:minorTickMark val="none"/>
        <c:tickLblPos val="nextTo"/>
        <c:crossAx val="146351616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146351616"/>
        <c:scaling>
          <c:orientation val="minMax"/>
          <c:max val="6.3"/>
          <c:min val="6.0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50080"/>
        <c:crosses val="autoZero"/>
        <c:crossBetween val="between"/>
        <c:majorUnit val="5.000000000000001E-2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266086238289957"/>
          <c:y val="0.14020100537073477"/>
          <c:w val="0.82326875217416895"/>
          <c:h val="0.5004604567703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[香港房價q3.xlsx]工作表2!$A$2</c:f>
              <c:strCache>
                <c:ptCount val="1"/>
                <c:pt idx="0">
                  <c:v>房價(港元/平方公尺)</c:v>
                </c:pt>
              </c:strCache>
            </c:strRef>
          </c:tx>
          <c:invertIfNegative val="0"/>
          <c:cat>
            <c:strRef>
              <c:f>[香港房價q3.xlsx]工作表2!$B$1:$AG$1</c:f>
              <c:strCache>
                <c:ptCount val="32"/>
                <c:pt idx="0">
                  <c:v>2007Q1</c:v>
                </c:pt>
                <c:pt idx="1">
                  <c:v>2007Q2</c:v>
                </c:pt>
                <c:pt idx="2">
                  <c:v>2007Q3</c:v>
                </c:pt>
                <c:pt idx="3">
                  <c:v>2007Q4</c:v>
                </c:pt>
                <c:pt idx="4">
                  <c:v>2008Q1</c:v>
                </c:pt>
                <c:pt idx="5">
                  <c:v>2008Q2</c:v>
                </c:pt>
                <c:pt idx="6">
                  <c:v>2008Q3</c:v>
                </c:pt>
                <c:pt idx="7">
                  <c:v>2008Q4</c:v>
                </c:pt>
                <c:pt idx="8">
                  <c:v>2009Q1</c:v>
                </c:pt>
                <c:pt idx="9">
                  <c:v>2009Q2</c:v>
                </c:pt>
                <c:pt idx="10">
                  <c:v>2009Q3</c:v>
                </c:pt>
                <c:pt idx="11">
                  <c:v>2009Q4</c:v>
                </c:pt>
                <c:pt idx="12">
                  <c:v>2010Q1</c:v>
                </c:pt>
                <c:pt idx="13">
                  <c:v>2010Q2</c:v>
                </c:pt>
                <c:pt idx="14">
                  <c:v>2010Q3</c:v>
                </c:pt>
                <c:pt idx="15">
                  <c:v>2010Q4</c:v>
                </c:pt>
                <c:pt idx="16">
                  <c:v>2011Q1</c:v>
                </c:pt>
                <c:pt idx="17">
                  <c:v>2011Q2</c:v>
                </c:pt>
                <c:pt idx="18">
                  <c:v>2011Q3</c:v>
                </c:pt>
                <c:pt idx="19">
                  <c:v>2011Q4</c:v>
                </c:pt>
                <c:pt idx="20">
                  <c:v>2012Q1</c:v>
                </c:pt>
                <c:pt idx="21">
                  <c:v>2012Q2</c:v>
                </c:pt>
                <c:pt idx="22">
                  <c:v>2012Q3</c:v>
                </c:pt>
                <c:pt idx="23">
                  <c:v>2012Q4</c:v>
                </c:pt>
                <c:pt idx="24">
                  <c:v>2013Q1</c:v>
                </c:pt>
                <c:pt idx="25">
                  <c:v>2013Q2</c:v>
                </c:pt>
                <c:pt idx="26">
                  <c:v>2013Q3</c:v>
                </c:pt>
                <c:pt idx="27">
                  <c:v>2013Q4</c:v>
                </c:pt>
                <c:pt idx="28">
                  <c:v>2014Q1</c:v>
                </c:pt>
                <c:pt idx="29">
                  <c:v>2014Q2</c:v>
                </c:pt>
                <c:pt idx="30">
                  <c:v>2014Q3</c:v>
                </c:pt>
                <c:pt idx="31">
                  <c:v>2014Q4</c:v>
                </c:pt>
              </c:strCache>
            </c:strRef>
          </c:cat>
          <c:val>
            <c:numRef>
              <c:f>[香港房價q3.xlsx]工作表2!$B$2:$AG$2</c:f>
              <c:numCache>
                <c:formatCode>#,##0_ </c:formatCode>
                <c:ptCount val="32"/>
                <c:pt idx="0">
                  <c:v>62226</c:v>
                </c:pt>
                <c:pt idx="1">
                  <c:v>64807</c:v>
                </c:pt>
                <c:pt idx="2">
                  <c:v>69737</c:v>
                </c:pt>
                <c:pt idx="3">
                  <c:v>80456</c:v>
                </c:pt>
                <c:pt idx="4">
                  <c:v>83740</c:v>
                </c:pt>
                <c:pt idx="5">
                  <c:v>83803</c:v>
                </c:pt>
                <c:pt idx="6">
                  <c:v>80395</c:v>
                </c:pt>
                <c:pt idx="7">
                  <c:v>67911</c:v>
                </c:pt>
                <c:pt idx="8">
                  <c:v>69341</c:v>
                </c:pt>
                <c:pt idx="9">
                  <c:v>77802</c:v>
                </c:pt>
                <c:pt idx="10">
                  <c:v>83864</c:v>
                </c:pt>
                <c:pt idx="11">
                  <c:v>87703</c:v>
                </c:pt>
                <c:pt idx="12">
                  <c:v>90983</c:v>
                </c:pt>
                <c:pt idx="13">
                  <c:v>92159</c:v>
                </c:pt>
                <c:pt idx="14">
                  <c:v>99607</c:v>
                </c:pt>
                <c:pt idx="15">
                  <c:v>101937</c:v>
                </c:pt>
                <c:pt idx="16">
                  <c:v>110870</c:v>
                </c:pt>
                <c:pt idx="17">
                  <c:v>119834</c:v>
                </c:pt>
                <c:pt idx="18">
                  <c:v>114740</c:v>
                </c:pt>
                <c:pt idx="19">
                  <c:v>109904</c:v>
                </c:pt>
                <c:pt idx="20">
                  <c:v>113869</c:v>
                </c:pt>
                <c:pt idx="21">
                  <c:v>120364</c:v>
                </c:pt>
                <c:pt idx="22">
                  <c:v>125884</c:v>
                </c:pt>
                <c:pt idx="23">
                  <c:v>133153</c:v>
                </c:pt>
                <c:pt idx="24">
                  <c:v>134353</c:v>
                </c:pt>
                <c:pt idx="25">
                  <c:v>131780</c:v>
                </c:pt>
                <c:pt idx="26">
                  <c:v>135123</c:v>
                </c:pt>
                <c:pt idx="27">
                  <c:v>132616</c:v>
                </c:pt>
                <c:pt idx="28">
                  <c:v>132039</c:v>
                </c:pt>
                <c:pt idx="29">
                  <c:v>131269</c:v>
                </c:pt>
                <c:pt idx="30">
                  <c:v>131073</c:v>
                </c:pt>
                <c:pt idx="31">
                  <c:v>137594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6386944"/>
        <c:axId val="146388480"/>
      </c:barChart>
      <c:lineChart>
        <c:grouping val="standard"/>
        <c:varyColors val="0"/>
        <c:ser>
          <c:idx val="1"/>
          <c:order val="1"/>
          <c:tx>
            <c:strRef>
              <c:f>[香港房價q3.xlsx]工作表2!$A$3</c:f>
              <c:strCache>
                <c:ptCount val="1"/>
                <c:pt idx="0">
                  <c:v>較上季漲跌幅(%)</c:v>
                </c:pt>
              </c:strCache>
            </c:strRef>
          </c:tx>
          <c:marker>
            <c:spPr>
              <a:solidFill>
                <a:srgbClr val="00B0F0"/>
              </a:solidFill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[香港房價q3.xlsx]工作表2!$B$1:$AG$1</c:f>
              <c:strCache>
                <c:ptCount val="32"/>
                <c:pt idx="0">
                  <c:v>2007Q1</c:v>
                </c:pt>
                <c:pt idx="1">
                  <c:v>2007Q2</c:v>
                </c:pt>
                <c:pt idx="2">
                  <c:v>2007Q3</c:v>
                </c:pt>
                <c:pt idx="3">
                  <c:v>2007Q4</c:v>
                </c:pt>
                <c:pt idx="4">
                  <c:v>2008Q1</c:v>
                </c:pt>
                <c:pt idx="5">
                  <c:v>2008Q2</c:v>
                </c:pt>
                <c:pt idx="6">
                  <c:v>2008Q3</c:v>
                </c:pt>
                <c:pt idx="7">
                  <c:v>2008Q4</c:v>
                </c:pt>
                <c:pt idx="8">
                  <c:v>2009Q1</c:v>
                </c:pt>
                <c:pt idx="9">
                  <c:v>2009Q2</c:v>
                </c:pt>
                <c:pt idx="10">
                  <c:v>2009Q3</c:v>
                </c:pt>
                <c:pt idx="11">
                  <c:v>2009Q4</c:v>
                </c:pt>
                <c:pt idx="12">
                  <c:v>2010Q1</c:v>
                </c:pt>
                <c:pt idx="13">
                  <c:v>2010Q2</c:v>
                </c:pt>
                <c:pt idx="14">
                  <c:v>2010Q3</c:v>
                </c:pt>
                <c:pt idx="15">
                  <c:v>2010Q4</c:v>
                </c:pt>
                <c:pt idx="16">
                  <c:v>2011Q1</c:v>
                </c:pt>
                <c:pt idx="17">
                  <c:v>2011Q2</c:v>
                </c:pt>
                <c:pt idx="18">
                  <c:v>2011Q3</c:v>
                </c:pt>
                <c:pt idx="19">
                  <c:v>2011Q4</c:v>
                </c:pt>
                <c:pt idx="20">
                  <c:v>2012Q1</c:v>
                </c:pt>
                <c:pt idx="21">
                  <c:v>2012Q2</c:v>
                </c:pt>
                <c:pt idx="22">
                  <c:v>2012Q3</c:v>
                </c:pt>
                <c:pt idx="23">
                  <c:v>2012Q4</c:v>
                </c:pt>
                <c:pt idx="24">
                  <c:v>2013Q1</c:v>
                </c:pt>
                <c:pt idx="25">
                  <c:v>2013Q2</c:v>
                </c:pt>
                <c:pt idx="26">
                  <c:v>2013Q3</c:v>
                </c:pt>
                <c:pt idx="27">
                  <c:v>2013Q4</c:v>
                </c:pt>
                <c:pt idx="28">
                  <c:v>2014Q1</c:v>
                </c:pt>
                <c:pt idx="29">
                  <c:v>2014Q2</c:v>
                </c:pt>
                <c:pt idx="30">
                  <c:v>2014Q3</c:v>
                </c:pt>
                <c:pt idx="31">
                  <c:v>2014Q4</c:v>
                </c:pt>
              </c:strCache>
            </c:strRef>
          </c:cat>
          <c:val>
            <c:numRef>
              <c:f>[香港房價q3.xlsx]工作表2!$B$3:$AG$3</c:f>
              <c:numCache>
                <c:formatCode>0.0_ </c:formatCode>
                <c:ptCount val="32"/>
                <c:pt idx="0" formatCode="General">
                  <c:v>8.3000000000000007</c:v>
                </c:pt>
                <c:pt idx="1">
                  <c:v>4.1477838845498667</c:v>
                </c:pt>
                <c:pt idx="2">
                  <c:v>7.6072029256098874</c:v>
                </c:pt>
                <c:pt idx="3">
                  <c:v>15.370606708060283</c:v>
                </c:pt>
                <c:pt idx="4">
                  <c:v>4.0817341155414137</c:v>
                </c:pt>
                <c:pt idx="5">
                  <c:v>7.5232863625507518E-2</c:v>
                </c:pt>
                <c:pt idx="6">
                  <c:v>-4.0666801904466432</c:v>
                </c:pt>
                <c:pt idx="7">
                  <c:v>-15.528328876173891</c:v>
                </c:pt>
                <c:pt idx="8">
                  <c:v>2.1056971624626346</c:v>
                </c:pt>
                <c:pt idx="9">
                  <c:v>12.202016123217144</c:v>
                </c:pt>
                <c:pt idx="10">
                  <c:v>7.7915734814015067</c:v>
                </c:pt>
                <c:pt idx="11">
                  <c:v>4.5776495278069254</c:v>
                </c:pt>
                <c:pt idx="12">
                  <c:v>3.7398948724673047</c:v>
                </c:pt>
                <c:pt idx="13">
                  <c:v>1.2925491575349242</c:v>
                </c:pt>
                <c:pt idx="14">
                  <c:v>8.0816849141158222</c:v>
                </c:pt>
                <c:pt idx="15">
                  <c:v>2.3391930286024074</c:v>
                </c:pt>
                <c:pt idx="16">
                  <c:v>8.7632557363861991</c:v>
                </c:pt>
                <c:pt idx="17">
                  <c:v>8.08514476413818</c:v>
                </c:pt>
                <c:pt idx="18">
                  <c:v>-4.2508803845319365</c:v>
                </c:pt>
                <c:pt idx="19">
                  <c:v>-4.2147463831270704</c:v>
                </c:pt>
                <c:pt idx="20">
                  <c:v>3.6076939874799825</c:v>
                </c:pt>
                <c:pt idx="21">
                  <c:v>5.7039229289797921</c:v>
                </c:pt>
                <c:pt idx="22">
                  <c:v>4.5860888637798674</c:v>
                </c:pt>
                <c:pt idx="23">
                  <c:v>5.7743636999142067</c:v>
                </c:pt>
                <c:pt idx="24">
                  <c:v>0.90121889856030291</c:v>
                </c:pt>
                <c:pt idx="25">
                  <c:v>-1.9151042403221366</c:v>
                </c:pt>
                <c:pt idx="26">
                  <c:v>2.5368037638488392</c:v>
                </c:pt>
                <c:pt idx="27">
                  <c:v>-1.8553466101255893</c:v>
                </c:pt>
                <c:pt idx="28">
                  <c:v>-0.43509078844181698</c:v>
                </c:pt>
                <c:pt idx="29">
                  <c:v>-0.58316103575458766</c:v>
                </c:pt>
                <c:pt idx="30" formatCode="General">
                  <c:v>-0.1</c:v>
                </c:pt>
                <c:pt idx="31" formatCode="0.0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396672"/>
        <c:axId val="146390400"/>
      </c:lineChart>
      <c:catAx>
        <c:axId val="146386944"/>
        <c:scaling>
          <c:orientation val="minMax"/>
        </c:scaling>
        <c:delete val="0"/>
        <c:axPos val="b"/>
        <c:numFmt formatCode="@" sourceLinked="0"/>
        <c:majorTickMark val="none"/>
        <c:minorTickMark val="none"/>
        <c:tickLblPos val="nextTo"/>
        <c:crossAx val="146388480"/>
        <c:crosses val="autoZero"/>
        <c:auto val="1"/>
        <c:lblAlgn val="ctr"/>
        <c:lblOffset val="100"/>
        <c:noMultiLvlLbl val="0"/>
      </c:catAx>
      <c:valAx>
        <c:axId val="14638848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zh-TW" altLang="en-US" b="0"/>
                  <a:t>港元</a:t>
                </a:r>
                <a:r>
                  <a:rPr lang="en-US" altLang="zh-TW" b="0"/>
                  <a:t>/</a:t>
                </a:r>
                <a:r>
                  <a:rPr lang="zh-TW" altLang="en-US" b="0"/>
                  <a:t>平方公尺</a:t>
                </a:r>
              </a:p>
            </c:rich>
          </c:tx>
          <c:layout>
            <c:manualLayout>
              <c:xMode val="edge"/>
              <c:yMode val="edge"/>
              <c:x val="0"/>
              <c:y val="2.7924175596685263E-2"/>
            </c:manualLayout>
          </c:layout>
          <c:overlay val="0"/>
        </c:title>
        <c:numFmt formatCode="#,##0_ " sourceLinked="1"/>
        <c:majorTickMark val="none"/>
        <c:minorTickMark val="none"/>
        <c:tickLblPos val="nextTo"/>
        <c:spPr>
          <a:ln w="9525">
            <a:noFill/>
          </a:ln>
        </c:spPr>
        <c:crossAx val="146386944"/>
        <c:crosses val="autoZero"/>
        <c:crossBetween val="between"/>
      </c:valAx>
      <c:valAx>
        <c:axId val="146390400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altLang="zh-TW" b="0"/>
                  <a:t>%</a:t>
                </a:r>
                <a:endParaRPr lang="zh-TW" altLang="en-US" b="0"/>
              </a:p>
            </c:rich>
          </c:tx>
          <c:layout>
            <c:manualLayout>
              <c:xMode val="edge"/>
              <c:yMode val="edge"/>
              <c:x val="0.94578219067082625"/>
              <c:y val="3.84166752063802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6396672"/>
        <c:crosses val="max"/>
        <c:crossBetween val="between"/>
      </c:valAx>
      <c:catAx>
        <c:axId val="14639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146390400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'香港恆生指數(CEIC)'!$A$256:$A$502</c:f>
              <c:numCache>
                <c:formatCode>\ [$-1028]yyyy/m/d</c:formatCode>
                <c:ptCount val="247"/>
                <c:pt idx="0">
                  <c:v>41641</c:v>
                </c:pt>
                <c:pt idx="1">
                  <c:v>41642</c:v>
                </c:pt>
                <c:pt idx="2">
                  <c:v>41645</c:v>
                </c:pt>
                <c:pt idx="3">
                  <c:v>41646</c:v>
                </c:pt>
                <c:pt idx="4">
                  <c:v>41647</c:v>
                </c:pt>
                <c:pt idx="5">
                  <c:v>41648</c:v>
                </c:pt>
                <c:pt idx="6">
                  <c:v>41649</c:v>
                </c:pt>
                <c:pt idx="7">
                  <c:v>41652</c:v>
                </c:pt>
                <c:pt idx="8">
                  <c:v>41653</c:v>
                </c:pt>
                <c:pt idx="9">
                  <c:v>41654</c:v>
                </c:pt>
                <c:pt idx="10">
                  <c:v>41655</c:v>
                </c:pt>
                <c:pt idx="11">
                  <c:v>41656</c:v>
                </c:pt>
                <c:pt idx="12">
                  <c:v>41659</c:v>
                </c:pt>
                <c:pt idx="13">
                  <c:v>41660</c:v>
                </c:pt>
                <c:pt idx="14">
                  <c:v>41661</c:v>
                </c:pt>
                <c:pt idx="15">
                  <c:v>41662</c:v>
                </c:pt>
                <c:pt idx="16">
                  <c:v>41663</c:v>
                </c:pt>
                <c:pt idx="17">
                  <c:v>41666</c:v>
                </c:pt>
                <c:pt idx="18">
                  <c:v>41667</c:v>
                </c:pt>
                <c:pt idx="19">
                  <c:v>41668</c:v>
                </c:pt>
                <c:pt idx="20">
                  <c:v>41669</c:v>
                </c:pt>
                <c:pt idx="21">
                  <c:v>41674</c:v>
                </c:pt>
                <c:pt idx="22">
                  <c:v>41675</c:v>
                </c:pt>
                <c:pt idx="23">
                  <c:v>41676</c:v>
                </c:pt>
                <c:pt idx="24">
                  <c:v>41677</c:v>
                </c:pt>
                <c:pt idx="25">
                  <c:v>41680</c:v>
                </c:pt>
                <c:pt idx="26">
                  <c:v>41681</c:v>
                </c:pt>
                <c:pt idx="27">
                  <c:v>41682</c:v>
                </c:pt>
                <c:pt idx="28">
                  <c:v>41683</c:v>
                </c:pt>
                <c:pt idx="29">
                  <c:v>41684</c:v>
                </c:pt>
                <c:pt idx="30">
                  <c:v>41687</c:v>
                </c:pt>
                <c:pt idx="31">
                  <c:v>41688</c:v>
                </c:pt>
                <c:pt idx="32">
                  <c:v>41689</c:v>
                </c:pt>
                <c:pt idx="33">
                  <c:v>41690</c:v>
                </c:pt>
                <c:pt idx="34">
                  <c:v>41691</c:v>
                </c:pt>
                <c:pt idx="35">
                  <c:v>41694</c:v>
                </c:pt>
                <c:pt idx="36">
                  <c:v>41695</c:v>
                </c:pt>
                <c:pt idx="37">
                  <c:v>41696</c:v>
                </c:pt>
                <c:pt idx="38">
                  <c:v>41697</c:v>
                </c:pt>
                <c:pt idx="39">
                  <c:v>41698</c:v>
                </c:pt>
                <c:pt idx="40">
                  <c:v>41701</c:v>
                </c:pt>
                <c:pt idx="41">
                  <c:v>41702</c:v>
                </c:pt>
                <c:pt idx="42">
                  <c:v>41703</c:v>
                </c:pt>
                <c:pt idx="43">
                  <c:v>41704</c:v>
                </c:pt>
                <c:pt idx="44">
                  <c:v>41705</c:v>
                </c:pt>
                <c:pt idx="45">
                  <c:v>41708</c:v>
                </c:pt>
                <c:pt idx="46">
                  <c:v>41709</c:v>
                </c:pt>
                <c:pt idx="47">
                  <c:v>41710</c:v>
                </c:pt>
                <c:pt idx="48">
                  <c:v>41711</c:v>
                </c:pt>
                <c:pt idx="49">
                  <c:v>41712</c:v>
                </c:pt>
                <c:pt idx="50">
                  <c:v>41715</c:v>
                </c:pt>
                <c:pt idx="51">
                  <c:v>41716</c:v>
                </c:pt>
                <c:pt idx="52">
                  <c:v>41717</c:v>
                </c:pt>
                <c:pt idx="53">
                  <c:v>41718</c:v>
                </c:pt>
                <c:pt idx="54">
                  <c:v>41719</c:v>
                </c:pt>
                <c:pt idx="55">
                  <c:v>41722</c:v>
                </c:pt>
                <c:pt idx="56">
                  <c:v>41723</c:v>
                </c:pt>
                <c:pt idx="57">
                  <c:v>41724</c:v>
                </c:pt>
                <c:pt idx="58">
                  <c:v>41725</c:v>
                </c:pt>
                <c:pt idx="59">
                  <c:v>41726</c:v>
                </c:pt>
                <c:pt idx="60">
                  <c:v>41729</c:v>
                </c:pt>
                <c:pt idx="61">
                  <c:v>41730</c:v>
                </c:pt>
                <c:pt idx="62">
                  <c:v>41731</c:v>
                </c:pt>
                <c:pt idx="63">
                  <c:v>41732</c:v>
                </c:pt>
                <c:pt idx="64">
                  <c:v>41733</c:v>
                </c:pt>
                <c:pt idx="65">
                  <c:v>41736</c:v>
                </c:pt>
                <c:pt idx="66">
                  <c:v>41737</c:v>
                </c:pt>
                <c:pt idx="67">
                  <c:v>41738</c:v>
                </c:pt>
                <c:pt idx="68">
                  <c:v>41739</c:v>
                </c:pt>
                <c:pt idx="69">
                  <c:v>41740</c:v>
                </c:pt>
                <c:pt idx="70">
                  <c:v>41743</c:v>
                </c:pt>
                <c:pt idx="71">
                  <c:v>41744</c:v>
                </c:pt>
                <c:pt idx="72">
                  <c:v>41745</c:v>
                </c:pt>
                <c:pt idx="73">
                  <c:v>41746</c:v>
                </c:pt>
                <c:pt idx="74">
                  <c:v>41751</c:v>
                </c:pt>
                <c:pt idx="75">
                  <c:v>41752</c:v>
                </c:pt>
                <c:pt idx="76">
                  <c:v>41753</c:v>
                </c:pt>
                <c:pt idx="77">
                  <c:v>41754</c:v>
                </c:pt>
                <c:pt idx="78">
                  <c:v>41757</c:v>
                </c:pt>
                <c:pt idx="79">
                  <c:v>41758</c:v>
                </c:pt>
                <c:pt idx="80">
                  <c:v>41759</c:v>
                </c:pt>
                <c:pt idx="81">
                  <c:v>41761</c:v>
                </c:pt>
                <c:pt idx="82">
                  <c:v>41764</c:v>
                </c:pt>
                <c:pt idx="83">
                  <c:v>41766</c:v>
                </c:pt>
                <c:pt idx="84">
                  <c:v>41767</c:v>
                </c:pt>
                <c:pt idx="85">
                  <c:v>41768</c:v>
                </c:pt>
                <c:pt idx="86">
                  <c:v>41771</c:v>
                </c:pt>
                <c:pt idx="87">
                  <c:v>41772</c:v>
                </c:pt>
                <c:pt idx="88">
                  <c:v>41773</c:v>
                </c:pt>
                <c:pt idx="89">
                  <c:v>41774</c:v>
                </c:pt>
                <c:pt idx="90">
                  <c:v>41775</c:v>
                </c:pt>
                <c:pt idx="91">
                  <c:v>41778</c:v>
                </c:pt>
                <c:pt idx="92">
                  <c:v>41779</c:v>
                </c:pt>
                <c:pt idx="93">
                  <c:v>41780</c:v>
                </c:pt>
                <c:pt idx="94">
                  <c:v>41781</c:v>
                </c:pt>
                <c:pt idx="95">
                  <c:v>41782</c:v>
                </c:pt>
                <c:pt idx="96">
                  <c:v>41785</c:v>
                </c:pt>
                <c:pt idx="97">
                  <c:v>41786</c:v>
                </c:pt>
                <c:pt idx="98">
                  <c:v>41787</c:v>
                </c:pt>
                <c:pt idx="99">
                  <c:v>41788</c:v>
                </c:pt>
                <c:pt idx="100">
                  <c:v>41789</c:v>
                </c:pt>
                <c:pt idx="101">
                  <c:v>41793</c:v>
                </c:pt>
                <c:pt idx="102">
                  <c:v>41794</c:v>
                </c:pt>
                <c:pt idx="103">
                  <c:v>41795</c:v>
                </c:pt>
                <c:pt idx="104">
                  <c:v>41796</c:v>
                </c:pt>
                <c:pt idx="105">
                  <c:v>41799</c:v>
                </c:pt>
                <c:pt idx="106">
                  <c:v>41800</c:v>
                </c:pt>
                <c:pt idx="107">
                  <c:v>41801</c:v>
                </c:pt>
                <c:pt idx="108">
                  <c:v>41802</c:v>
                </c:pt>
                <c:pt idx="109">
                  <c:v>41803</c:v>
                </c:pt>
                <c:pt idx="110">
                  <c:v>41806</c:v>
                </c:pt>
                <c:pt idx="111">
                  <c:v>41807</c:v>
                </c:pt>
                <c:pt idx="112">
                  <c:v>41808</c:v>
                </c:pt>
                <c:pt idx="113">
                  <c:v>41809</c:v>
                </c:pt>
                <c:pt idx="114">
                  <c:v>41810</c:v>
                </c:pt>
                <c:pt idx="115">
                  <c:v>41813</c:v>
                </c:pt>
                <c:pt idx="116">
                  <c:v>41814</c:v>
                </c:pt>
                <c:pt idx="117">
                  <c:v>41815</c:v>
                </c:pt>
                <c:pt idx="118">
                  <c:v>41816</c:v>
                </c:pt>
                <c:pt idx="119">
                  <c:v>41817</c:v>
                </c:pt>
                <c:pt idx="120">
                  <c:v>41820</c:v>
                </c:pt>
                <c:pt idx="121">
                  <c:v>41822</c:v>
                </c:pt>
                <c:pt idx="122">
                  <c:v>41823</c:v>
                </c:pt>
                <c:pt idx="123">
                  <c:v>41824</c:v>
                </c:pt>
                <c:pt idx="124">
                  <c:v>41827</c:v>
                </c:pt>
                <c:pt idx="125">
                  <c:v>41828</c:v>
                </c:pt>
                <c:pt idx="126">
                  <c:v>41829</c:v>
                </c:pt>
                <c:pt idx="127">
                  <c:v>41830</c:v>
                </c:pt>
                <c:pt idx="128">
                  <c:v>41831</c:v>
                </c:pt>
                <c:pt idx="129">
                  <c:v>41834</c:v>
                </c:pt>
                <c:pt idx="130">
                  <c:v>41835</c:v>
                </c:pt>
                <c:pt idx="131">
                  <c:v>41836</c:v>
                </c:pt>
                <c:pt idx="132">
                  <c:v>41837</c:v>
                </c:pt>
                <c:pt idx="133">
                  <c:v>41838</c:v>
                </c:pt>
                <c:pt idx="134">
                  <c:v>41841</c:v>
                </c:pt>
                <c:pt idx="135">
                  <c:v>41842</c:v>
                </c:pt>
                <c:pt idx="136">
                  <c:v>41843</c:v>
                </c:pt>
                <c:pt idx="137">
                  <c:v>41844</c:v>
                </c:pt>
                <c:pt idx="138">
                  <c:v>41845</c:v>
                </c:pt>
                <c:pt idx="139">
                  <c:v>41848</c:v>
                </c:pt>
                <c:pt idx="140">
                  <c:v>41849</c:v>
                </c:pt>
                <c:pt idx="141">
                  <c:v>41850</c:v>
                </c:pt>
                <c:pt idx="142">
                  <c:v>41851</c:v>
                </c:pt>
                <c:pt idx="143">
                  <c:v>41852</c:v>
                </c:pt>
                <c:pt idx="144">
                  <c:v>41855</c:v>
                </c:pt>
                <c:pt idx="145">
                  <c:v>41856</c:v>
                </c:pt>
                <c:pt idx="146">
                  <c:v>41857</c:v>
                </c:pt>
                <c:pt idx="147">
                  <c:v>41858</c:v>
                </c:pt>
                <c:pt idx="148">
                  <c:v>41859</c:v>
                </c:pt>
                <c:pt idx="149">
                  <c:v>41862</c:v>
                </c:pt>
                <c:pt idx="150">
                  <c:v>41863</c:v>
                </c:pt>
                <c:pt idx="151">
                  <c:v>41864</c:v>
                </c:pt>
                <c:pt idx="152">
                  <c:v>41865</c:v>
                </c:pt>
                <c:pt idx="153">
                  <c:v>41866</c:v>
                </c:pt>
                <c:pt idx="154">
                  <c:v>41869</c:v>
                </c:pt>
                <c:pt idx="155">
                  <c:v>41870</c:v>
                </c:pt>
                <c:pt idx="156">
                  <c:v>41871</c:v>
                </c:pt>
                <c:pt idx="157">
                  <c:v>41872</c:v>
                </c:pt>
                <c:pt idx="158">
                  <c:v>41873</c:v>
                </c:pt>
                <c:pt idx="159">
                  <c:v>41876</c:v>
                </c:pt>
                <c:pt idx="160">
                  <c:v>41877</c:v>
                </c:pt>
                <c:pt idx="161">
                  <c:v>41878</c:v>
                </c:pt>
                <c:pt idx="162">
                  <c:v>41879</c:v>
                </c:pt>
                <c:pt idx="163">
                  <c:v>41880</c:v>
                </c:pt>
                <c:pt idx="164">
                  <c:v>41883</c:v>
                </c:pt>
                <c:pt idx="165">
                  <c:v>41884</c:v>
                </c:pt>
                <c:pt idx="166">
                  <c:v>41885</c:v>
                </c:pt>
                <c:pt idx="167">
                  <c:v>41886</c:v>
                </c:pt>
                <c:pt idx="168">
                  <c:v>41887</c:v>
                </c:pt>
                <c:pt idx="169">
                  <c:v>41890</c:v>
                </c:pt>
                <c:pt idx="170">
                  <c:v>41892</c:v>
                </c:pt>
                <c:pt idx="171">
                  <c:v>41893</c:v>
                </c:pt>
                <c:pt idx="172">
                  <c:v>41894</c:v>
                </c:pt>
                <c:pt idx="173">
                  <c:v>41897</c:v>
                </c:pt>
                <c:pt idx="174">
                  <c:v>41898</c:v>
                </c:pt>
                <c:pt idx="175">
                  <c:v>41899</c:v>
                </c:pt>
                <c:pt idx="176">
                  <c:v>41900</c:v>
                </c:pt>
                <c:pt idx="177">
                  <c:v>41901</c:v>
                </c:pt>
                <c:pt idx="178">
                  <c:v>41904</c:v>
                </c:pt>
                <c:pt idx="179">
                  <c:v>41905</c:v>
                </c:pt>
                <c:pt idx="180">
                  <c:v>41906</c:v>
                </c:pt>
                <c:pt idx="181">
                  <c:v>41907</c:v>
                </c:pt>
                <c:pt idx="182">
                  <c:v>41908</c:v>
                </c:pt>
                <c:pt idx="183">
                  <c:v>41911</c:v>
                </c:pt>
                <c:pt idx="184">
                  <c:v>41912</c:v>
                </c:pt>
                <c:pt idx="185">
                  <c:v>41915</c:v>
                </c:pt>
                <c:pt idx="186">
                  <c:v>41918</c:v>
                </c:pt>
                <c:pt idx="187">
                  <c:v>41919</c:v>
                </c:pt>
                <c:pt idx="188">
                  <c:v>41920</c:v>
                </c:pt>
                <c:pt idx="189">
                  <c:v>41921</c:v>
                </c:pt>
                <c:pt idx="190">
                  <c:v>41922</c:v>
                </c:pt>
                <c:pt idx="191">
                  <c:v>41925</c:v>
                </c:pt>
                <c:pt idx="192">
                  <c:v>41926</c:v>
                </c:pt>
                <c:pt idx="193">
                  <c:v>41927</c:v>
                </c:pt>
                <c:pt idx="194">
                  <c:v>41928</c:v>
                </c:pt>
                <c:pt idx="195">
                  <c:v>41929</c:v>
                </c:pt>
                <c:pt idx="196">
                  <c:v>41932</c:v>
                </c:pt>
                <c:pt idx="197">
                  <c:v>41933</c:v>
                </c:pt>
                <c:pt idx="198">
                  <c:v>41934</c:v>
                </c:pt>
                <c:pt idx="199">
                  <c:v>41935</c:v>
                </c:pt>
                <c:pt idx="200">
                  <c:v>41936</c:v>
                </c:pt>
                <c:pt idx="201">
                  <c:v>41939</c:v>
                </c:pt>
                <c:pt idx="202">
                  <c:v>41940</c:v>
                </c:pt>
                <c:pt idx="203">
                  <c:v>41941</c:v>
                </c:pt>
                <c:pt idx="204">
                  <c:v>41942</c:v>
                </c:pt>
                <c:pt idx="205">
                  <c:v>41943</c:v>
                </c:pt>
                <c:pt idx="206">
                  <c:v>41946</c:v>
                </c:pt>
                <c:pt idx="207">
                  <c:v>41947</c:v>
                </c:pt>
                <c:pt idx="208">
                  <c:v>41948</c:v>
                </c:pt>
                <c:pt idx="209">
                  <c:v>41949</c:v>
                </c:pt>
                <c:pt idx="210">
                  <c:v>41950</c:v>
                </c:pt>
                <c:pt idx="211">
                  <c:v>41953</c:v>
                </c:pt>
                <c:pt idx="212">
                  <c:v>41954</c:v>
                </c:pt>
                <c:pt idx="213">
                  <c:v>41955</c:v>
                </c:pt>
                <c:pt idx="214">
                  <c:v>41956</c:v>
                </c:pt>
                <c:pt idx="215">
                  <c:v>41957</c:v>
                </c:pt>
                <c:pt idx="216">
                  <c:v>41960</c:v>
                </c:pt>
                <c:pt idx="217">
                  <c:v>41961</c:v>
                </c:pt>
                <c:pt idx="218">
                  <c:v>41962</c:v>
                </c:pt>
                <c:pt idx="219">
                  <c:v>41963</c:v>
                </c:pt>
                <c:pt idx="220">
                  <c:v>41964</c:v>
                </c:pt>
                <c:pt idx="221">
                  <c:v>41967</c:v>
                </c:pt>
                <c:pt idx="222">
                  <c:v>41968</c:v>
                </c:pt>
                <c:pt idx="223">
                  <c:v>41969</c:v>
                </c:pt>
                <c:pt idx="224">
                  <c:v>41970</c:v>
                </c:pt>
                <c:pt idx="225">
                  <c:v>41971</c:v>
                </c:pt>
                <c:pt idx="226">
                  <c:v>41974</c:v>
                </c:pt>
                <c:pt idx="227">
                  <c:v>41975</c:v>
                </c:pt>
                <c:pt idx="228">
                  <c:v>41976</c:v>
                </c:pt>
                <c:pt idx="229">
                  <c:v>41977</c:v>
                </c:pt>
                <c:pt idx="230">
                  <c:v>41978</c:v>
                </c:pt>
                <c:pt idx="231">
                  <c:v>41981</c:v>
                </c:pt>
                <c:pt idx="232">
                  <c:v>41982</c:v>
                </c:pt>
                <c:pt idx="233">
                  <c:v>41983</c:v>
                </c:pt>
                <c:pt idx="234">
                  <c:v>41984</c:v>
                </c:pt>
                <c:pt idx="235">
                  <c:v>41985</c:v>
                </c:pt>
                <c:pt idx="236">
                  <c:v>41988</c:v>
                </c:pt>
                <c:pt idx="237">
                  <c:v>41989</c:v>
                </c:pt>
                <c:pt idx="238">
                  <c:v>41990</c:v>
                </c:pt>
                <c:pt idx="239">
                  <c:v>41991</c:v>
                </c:pt>
                <c:pt idx="240">
                  <c:v>41992</c:v>
                </c:pt>
                <c:pt idx="241">
                  <c:v>41995</c:v>
                </c:pt>
                <c:pt idx="242">
                  <c:v>41996</c:v>
                </c:pt>
                <c:pt idx="243">
                  <c:v>41997</c:v>
                </c:pt>
                <c:pt idx="244">
                  <c:v>42002</c:v>
                </c:pt>
                <c:pt idx="245">
                  <c:v>42003</c:v>
                </c:pt>
                <c:pt idx="246">
                  <c:v>42004</c:v>
                </c:pt>
              </c:numCache>
            </c:numRef>
          </c:cat>
          <c:val>
            <c:numRef>
              <c:f>'香港恆生指數(CEIC)'!$B$256:$B$502</c:f>
              <c:numCache>
                <c:formatCode>#,##0.000</c:formatCode>
                <c:ptCount val="247"/>
                <c:pt idx="0">
                  <c:v>23340.05</c:v>
                </c:pt>
                <c:pt idx="1">
                  <c:v>22817.279999999999</c:v>
                </c:pt>
                <c:pt idx="2">
                  <c:v>22684.15</c:v>
                </c:pt>
                <c:pt idx="3">
                  <c:v>22712.78</c:v>
                </c:pt>
                <c:pt idx="4">
                  <c:v>22996.59</c:v>
                </c:pt>
                <c:pt idx="5">
                  <c:v>22787.33</c:v>
                </c:pt>
                <c:pt idx="6">
                  <c:v>22846.25</c:v>
                </c:pt>
                <c:pt idx="7">
                  <c:v>22888.76</c:v>
                </c:pt>
                <c:pt idx="8">
                  <c:v>22791.279999999999</c:v>
                </c:pt>
                <c:pt idx="9">
                  <c:v>22902</c:v>
                </c:pt>
                <c:pt idx="10">
                  <c:v>22986.41</c:v>
                </c:pt>
                <c:pt idx="11">
                  <c:v>23133.35</c:v>
                </c:pt>
                <c:pt idx="12">
                  <c:v>22928.95</c:v>
                </c:pt>
                <c:pt idx="13">
                  <c:v>23033.119999999999</c:v>
                </c:pt>
                <c:pt idx="14">
                  <c:v>23082.25</c:v>
                </c:pt>
                <c:pt idx="15">
                  <c:v>22733.9</c:v>
                </c:pt>
                <c:pt idx="16">
                  <c:v>22450.06</c:v>
                </c:pt>
                <c:pt idx="17">
                  <c:v>21976.1</c:v>
                </c:pt>
                <c:pt idx="18">
                  <c:v>21960.639999999999</c:v>
                </c:pt>
                <c:pt idx="19">
                  <c:v>22141.61</c:v>
                </c:pt>
                <c:pt idx="20">
                  <c:v>22035.42</c:v>
                </c:pt>
                <c:pt idx="21">
                  <c:v>21397.77</c:v>
                </c:pt>
                <c:pt idx="22">
                  <c:v>21269.38</c:v>
                </c:pt>
                <c:pt idx="23">
                  <c:v>21423.13</c:v>
                </c:pt>
                <c:pt idx="24">
                  <c:v>21636.85</c:v>
                </c:pt>
                <c:pt idx="25">
                  <c:v>21579.26</c:v>
                </c:pt>
                <c:pt idx="26">
                  <c:v>21962.98</c:v>
                </c:pt>
                <c:pt idx="27">
                  <c:v>22285.79</c:v>
                </c:pt>
                <c:pt idx="28">
                  <c:v>22165.53</c:v>
                </c:pt>
                <c:pt idx="29">
                  <c:v>22298.41</c:v>
                </c:pt>
                <c:pt idx="30">
                  <c:v>22535.94</c:v>
                </c:pt>
                <c:pt idx="31">
                  <c:v>22587.72</c:v>
                </c:pt>
                <c:pt idx="32">
                  <c:v>22664.52</c:v>
                </c:pt>
                <c:pt idx="33">
                  <c:v>22394.080000000002</c:v>
                </c:pt>
                <c:pt idx="34">
                  <c:v>22568.240000000002</c:v>
                </c:pt>
                <c:pt idx="35">
                  <c:v>22388.560000000001</c:v>
                </c:pt>
                <c:pt idx="36">
                  <c:v>22317.200000000001</c:v>
                </c:pt>
                <c:pt idx="37">
                  <c:v>22437.439999999999</c:v>
                </c:pt>
                <c:pt idx="38">
                  <c:v>22828.18</c:v>
                </c:pt>
                <c:pt idx="39">
                  <c:v>22836.959999999999</c:v>
                </c:pt>
                <c:pt idx="40">
                  <c:v>22500.67</c:v>
                </c:pt>
                <c:pt idx="41">
                  <c:v>22657.63</c:v>
                </c:pt>
                <c:pt idx="42">
                  <c:v>22579.78</c:v>
                </c:pt>
                <c:pt idx="43">
                  <c:v>22702.97</c:v>
                </c:pt>
                <c:pt idx="44">
                  <c:v>22660.49</c:v>
                </c:pt>
                <c:pt idx="45">
                  <c:v>22264.93</c:v>
                </c:pt>
                <c:pt idx="46">
                  <c:v>22269.61</c:v>
                </c:pt>
                <c:pt idx="47">
                  <c:v>21901.95</c:v>
                </c:pt>
                <c:pt idx="48">
                  <c:v>21756.080000000002</c:v>
                </c:pt>
                <c:pt idx="49">
                  <c:v>21539.49</c:v>
                </c:pt>
                <c:pt idx="50">
                  <c:v>21473.95</c:v>
                </c:pt>
                <c:pt idx="51">
                  <c:v>21583.5</c:v>
                </c:pt>
                <c:pt idx="52">
                  <c:v>21568.69</c:v>
                </c:pt>
                <c:pt idx="53">
                  <c:v>21182.16</c:v>
                </c:pt>
                <c:pt idx="54">
                  <c:v>21436.7</c:v>
                </c:pt>
                <c:pt idx="55">
                  <c:v>21846.45</c:v>
                </c:pt>
                <c:pt idx="56">
                  <c:v>21732.32</c:v>
                </c:pt>
                <c:pt idx="57">
                  <c:v>21887.75</c:v>
                </c:pt>
                <c:pt idx="58">
                  <c:v>21834.45</c:v>
                </c:pt>
                <c:pt idx="59">
                  <c:v>22065.53</c:v>
                </c:pt>
                <c:pt idx="60">
                  <c:v>22151.06</c:v>
                </c:pt>
                <c:pt idx="61">
                  <c:v>22448.54</c:v>
                </c:pt>
                <c:pt idx="62">
                  <c:v>22523.94</c:v>
                </c:pt>
                <c:pt idx="63">
                  <c:v>22565.08</c:v>
                </c:pt>
                <c:pt idx="64">
                  <c:v>22510.080000000002</c:v>
                </c:pt>
                <c:pt idx="65">
                  <c:v>22377.15</c:v>
                </c:pt>
                <c:pt idx="66">
                  <c:v>22596.97</c:v>
                </c:pt>
                <c:pt idx="67">
                  <c:v>22843.17</c:v>
                </c:pt>
                <c:pt idx="68">
                  <c:v>23186.959999999999</c:v>
                </c:pt>
                <c:pt idx="69">
                  <c:v>23003.64</c:v>
                </c:pt>
                <c:pt idx="70">
                  <c:v>23038.799999999999</c:v>
                </c:pt>
                <c:pt idx="71">
                  <c:v>22671.26</c:v>
                </c:pt>
                <c:pt idx="72">
                  <c:v>22696.01</c:v>
                </c:pt>
                <c:pt idx="73">
                  <c:v>22760.240000000002</c:v>
                </c:pt>
                <c:pt idx="74">
                  <c:v>22730.68</c:v>
                </c:pt>
                <c:pt idx="75">
                  <c:v>22509.64</c:v>
                </c:pt>
                <c:pt idx="76">
                  <c:v>22562.799999999999</c:v>
                </c:pt>
                <c:pt idx="77">
                  <c:v>22223.53</c:v>
                </c:pt>
                <c:pt idx="78">
                  <c:v>22132.53</c:v>
                </c:pt>
                <c:pt idx="79">
                  <c:v>22453.89</c:v>
                </c:pt>
                <c:pt idx="80">
                  <c:v>22133.97</c:v>
                </c:pt>
                <c:pt idx="81">
                  <c:v>22260.67</c:v>
                </c:pt>
                <c:pt idx="82">
                  <c:v>21976.33</c:v>
                </c:pt>
                <c:pt idx="83">
                  <c:v>21746.26</c:v>
                </c:pt>
                <c:pt idx="84">
                  <c:v>21837.119999999999</c:v>
                </c:pt>
                <c:pt idx="85">
                  <c:v>21862.99</c:v>
                </c:pt>
                <c:pt idx="86">
                  <c:v>22261.61</c:v>
                </c:pt>
                <c:pt idx="87">
                  <c:v>22352.38</c:v>
                </c:pt>
                <c:pt idx="88">
                  <c:v>22582.77</c:v>
                </c:pt>
                <c:pt idx="89">
                  <c:v>22730.86</c:v>
                </c:pt>
                <c:pt idx="90">
                  <c:v>22712.91</c:v>
                </c:pt>
                <c:pt idx="91">
                  <c:v>22704.5</c:v>
                </c:pt>
                <c:pt idx="92">
                  <c:v>22834.68</c:v>
                </c:pt>
                <c:pt idx="93">
                  <c:v>22836.52</c:v>
                </c:pt>
                <c:pt idx="94">
                  <c:v>22953.759999999998</c:v>
                </c:pt>
                <c:pt idx="95">
                  <c:v>22965.86</c:v>
                </c:pt>
                <c:pt idx="96">
                  <c:v>22963.18</c:v>
                </c:pt>
                <c:pt idx="97">
                  <c:v>22944.3</c:v>
                </c:pt>
                <c:pt idx="98">
                  <c:v>23080.03</c:v>
                </c:pt>
                <c:pt idx="99">
                  <c:v>23010.14</c:v>
                </c:pt>
                <c:pt idx="100">
                  <c:v>23081.65</c:v>
                </c:pt>
                <c:pt idx="101">
                  <c:v>23291.040000000001</c:v>
                </c:pt>
                <c:pt idx="102">
                  <c:v>23151.71</c:v>
                </c:pt>
                <c:pt idx="103">
                  <c:v>23109.66</c:v>
                </c:pt>
                <c:pt idx="104">
                  <c:v>22951</c:v>
                </c:pt>
                <c:pt idx="105">
                  <c:v>23117.47</c:v>
                </c:pt>
                <c:pt idx="106">
                  <c:v>23315.74</c:v>
                </c:pt>
                <c:pt idx="107">
                  <c:v>23257.29</c:v>
                </c:pt>
                <c:pt idx="108">
                  <c:v>23175.02</c:v>
                </c:pt>
                <c:pt idx="109">
                  <c:v>23319.17</c:v>
                </c:pt>
                <c:pt idx="110">
                  <c:v>23300.67</c:v>
                </c:pt>
                <c:pt idx="111">
                  <c:v>23203.59</c:v>
                </c:pt>
                <c:pt idx="112">
                  <c:v>23181.72</c:v>
                </c:pt>
                <c:pt idx="113">
                  <c:v>23167.73</c:v>
                </c:pt>
                <c:pt idx="114">
                  <c:v>23194.06</c:v>
                </c:pt>
                <c:pt idx="115">
                  <c:v>22804.81</c:v>
                </c:pt>
                <c:pt idx="116">
                  <c:v>22880.639999999999</c:v>
                </c:pt>
                <c:pt idx="117">
                  <c:v>22866.7</c:v>
                </c:pt>
                <c:pt idx="118">
                  <c:v>23197.83</c:v>
                </c:pt>
                <c:pt idx="119">
                  <c:v>23221.52</c:v>
                </c:pt>
                <c:pt idx="120">
                  <c:v>23190.720000000001</c:v>
                </c:pt>
                <c:pt idx="121">
                  <c:v>23549.62</c:v>
                </c:pt>
                <c:pt idx="122">
                  <c:v>23531.439999999999</c:v>
                </c:pt>
                <c:pt idx="123">
                  <c:v>23546.36</c:v>
                </c:pt>
                <c:pt idx="124">
                  <c:v>23540.92</c:v>
                </c:pt>
                <c:pt idx="125">
                  <c:v>23541.38</c:v>
                </c:pt>
                <c:pt idx="126">
                  <c:v>23176.07</c:v>
                </c:pt>
                <c:pt idx="127">
                  <c:v>23238.99</c:v>
                </c:pt>
                <c:pt idx="128">
                  <c:v>23233.45</c:v>
                </c:pt>
                <c:pt idx="129">
                  <c:v>23346.67</c:v>
                </c:pt>
                <c:pt idx="130">
                  <c:v>23459.96</c:v>
                </c:pt>
                <c:pt idx="131">
                  <c:v>23523.279999999999</c:v>
                </c:pt>
                <c:pt idx="132">
                  <c:v>23520.87</c:v>
                </c:pt>
                <c:pt idx="133">
                  <c:v>23454.79</c:v>
                </c:pt>
                <c:pt idx="134">
                  <c:v>23387.14</c:v>
                </c:pt>
                <c:pt idx="135">
                  <c:v>23782.11</c:v>
                </c:pt>
                <c:pt idx="136">
                  <c:v>23971.87</c:v>
                </c:pt>
                <c:pt idx="137">
                  <c:v>24141.5</c:v>
                </c:pt>
                <c:pt idx="138">
                  <c:v>24216.01</c:v>
                </c:pt>
                <c:pt idx="139">
                  <c:v>24428.63</c:v>
                </c:pt>
                <c:pt idx="140">
                  <c:v>24640.53</c:v>
                </c:pt>
                <c:pt idx="141">
                  <c:v>24732.21</c:v>
                </c:pt>
                <c:pt idx="142">
                  <c:v>24756.85</c:v>
                </c:pt>
                <c:pt idx="143">
                  <c:v>24532.43</c:v>
                </c:pt>
                <c:pt idx="144">
                  <c:v>24600.080000000002</c:v>
                </c:pt>
                <c:pt idx="145">
                  <c:v>24648.26</c:v>
                </c:pt>
                <c:pt idx="146">
                  <c:v>24584.13</c:v>
                </c:pt>
                <c:pt idx="147">
                  <c:v>24387.56</c:v>
                </c:pt>
                <c:pt idx="148">
                  <c:v>24331.41</c:v>
                </c:pt>
                <c:pt idx="149">
                  <c:v>24646.02</c:v>
                </c:pt>
                <c:pt idx="150">
                  <c:v>24689.41</c:v>
                </c:pt>
                <c:pt idx="151">
                  <c:v>24890.34</c:v>
                </c:pt>
                <c:pt idx="152">
                  <c:v>24801.360000000001</c:v>
                </c:pt>
                <c:pt idx="153">
                  <c:v>24954.94</c:v>
                </c:pt>
                <c:pt idx="154">
                  <c:v>24955.46</c:v>
                </c:pt>
                <c:pt idx="155">
                  <c:v>25122.95</c:v>
                </c:pt>
                <c:pt idx="156">
                  <c:v>25159.759999999998</c:v>
                </c:pt>
                <c:pt idx="157">
                  <c:v>24994.1</c:v>
                </c:pt>
                <c:pt idx="158">
                  <c:v>25112.23</c:v>
                </c:pt>
                <c:pt idx="159">
                  <c:v>25166.91</c:v>
                </c:pt>
                <c:pt idx="160">
                  <c:v>25074.5</c:v>
                </c:pt>
                <c:pt idx="161">
                  <c:v>24918.75</c:v>
                </c:pt>
                <c:pt idx="162">
                  <c:v>24741</c:v>
                </c:pt>
                <c:pt idx="163">
                  <c:v>24742.06</c:v>
                </c:pt>
                <c:pt idx="164">
                  <c:v>24752.09</c:v>
                </c:pt>
                <c:pt idx="165">
                  <c:v>24749.02</c:v>
                </c:pt>
                <c:pt idx="166">
                  <c:v>25317.95</c:v>
                </c:pt>
                <c:pt idx="167">
                  <c:v>25297.919999999998</c:v>
                </c:pt>
                <c:pt idx="168">
                  <c:v>25240.15</c:v>
                </c:pt>
                <c:pt idx="169">
                  <c:v>25190.45</c:v>
                </c:pt>
                <c:pt idx="170">
                  <c:v>24705.360000000001</c:v>
                </c:pt>
                <c:pt idx="171">
                  <c:v>24662.639999999999</c:v>
                </c:pt>
                <c:pt idx="172">
                  <c:v>24595.32</c:v>
                </c:pt>
                <c:pt idx="173">
                  <c:v>24356.99</c:v>
                </c:pt>
                <c:pt idx="174">
                  <c:v>24136.01</c:v>
                </c:pt>
                <c:pt idx="175">
                  <c:v>24376.41</c:v>
                </c:pt>
                <c:pt idx="176">
                  <c:v>24168.720000000001</c:v>
                </c:pt>
                <c:pt idx="177">
                  <c:v>24306.16</c:v>
                </c:pt>
                <c:pt idx="178">
                  <c:v>23955.49</c:v>
                </c:pt>
                <c:pt idx="179">
                  <c:v>23837.07</c:v>
                </c:pt>
                <c:pt idx="180">
                  <c:v>23921.61</c:v>
                </c:pt>
                <c:pt idx="181">
                  <c:v>23768.13</c:v>
                </c:pt>
                <c:pt idx="182">
                  <c:v>23678.41</c:v>
                </c:pt>
                <c:pt idx="183">
                  <c:v>23229.21</c:v>
                </c:pt>
                <c:pt idx="184">
                  <c:v>22932.98</c:v>
                </c:pt>
                <c:pt idx="185">
                  <c:v>23064.560000000001</c:v>
                </c:pt>
                <c:pt idx="186">
                  <c:v>23315.040000000001</c:v>
                </c:pt>
                <c:pt idx="187">
                  <c:v>23422.52</c:v>
                </c:pt>
                <c:pt idx="188">
                  <c:v>23263.33</c:v>
                </c:pt>
                <c:pt idx="189">
                  <c:v>23534.53</c:v>
                </c:pt>
                <c:pt idx="190">
                  <c:v>23088.54</c:v>
                </c:pt>
                <c:pt idx="191">
                  <c:v>23143.38</c:v>
                </c:pt>
                <c:pt idx="192">
                  <c:v>23047.97</c:v>
                </c:pt>
                <c:pt idx="193">
                  <c:v>23140.05</c:v>
                </c:pt>
                <c:pt idx="194">
                  <c:v>22900.94</c:v>
                </c:pt>
                <c:pt idx="195">
                  <c:v>23023.21</c:v>
                </c:pt>
                <c:pt idx="196">
                  <c:v>23070.26</c:v>
                </c:pt>
                <c:pt idx="197">
                  <c:v>23088.58</c:v>
                </c:pt>
                <c:pt idx="198">
                  <c:v>23403.97</c:v>
                </c:pt>
                <c:pt idx="199">
                  <c:v>23333.18</c:v>
                </c:pt>
                <c:pt idx="200">
                  <c:v>23302.2</c:v>
                </c:pt>
                <c:pt idx="201">
                  <c:v>23143.23</c:v>
                </c:pt>
                <c:pt idx="202">
                  <c:v>23520.36</c:v>
                </c:pt>
                <c:pt idx="203">
                  <c:v>23819.87</c:v>
                </c:pt>
                <c:pt idx="204">
                  <c:v>23702.04</c:v>
                </c:pt>
                <c:pt idx="205">
                  <c:v>23998.06</c:v>
                </c:pt>
                <c:pt idx="206">
                  <c:v>23915.97</c:v>
                </c:pt>
                <c:pt idx="207">
                  <c:v>23845.66</c:v>
                </c:pt>
                <c:pt idx="208">
                  <c:v>23695.62</c:v>
                </c:pt>
                <c:pt idx="209">
                  <c:v>23649.31</c:v>
                </c:pt>
                <c:pt idx="210">
                  <c:v>23550.240000000002</c:v>
                </c:pt>
                <c:pt idx="211">
                  <c:v>23744.7</c:v>
                </c:pt>
                <c:pt idx="212">
                  <c:v>23808.28</c:v>
                </c:pt>
                <c:pt idx="213">
                  <c:v>23938.18</c:v>
                </c:pt>
                <c:pt idx="214">
                  <c:v>24019.94</c:v>
                </c:pt>
                <c:pt idx="215">
                  <c:v>24087.38</c:v>
                </c:pt>
                <c:pt idx="216">
                  <c:v>23797.08</c:v>
                </c:pt>
                <c:pt idx="217">
                  <c:v>23529.17</c:v>
                </c:pt>
                <c:pt idx="218">
                  <c:v>23373.31</c:v>
                </c:pt>
                <c:pt idx="219">
                  <c:v>23349.64</c:v>
                </c:pt>
                <c:pt idx="220">
                  <c:v>23437.119999999999</c:v>
                </c:pt>
                <c:pt idx="221">
                  <c:v>23893.14</c:v>
                </c:pt>
                <c:pt idx="222">
                  <c:v>23843.91</c:v>
                </c:pt>
                <c:pt idx="223">
                  <c:v>24111.98</c:v>
                </c:pt>
                <c:pt idx="224">
                  <c:v>24004.28</c:v>
                </c:pt>
                <c:pt idx="225">
                  <c:v>23987.45</c:v>
                </c:pt>
                <c:pt idx="226">
                  <c:v>23367.45</c:v>
                </c:pt>
                <c:pt idx="227">
                  <c:v>23654.3</c:v>
                </c:pt>
                <c:pt idx="228">
                  <c:v>23428.62</c:v>
                </c:pt>
                <c:pt idx="229">
                  <c:v>23832.560000000001</c:v>
                </c:pt>
                <c:pt idx="230">
                  <c:v>24002.639999999999</c:v>
                </c:pt>
                <c:pt idx="231">
                  <c:v>24047.67</c:v>
                </c:pt>
                <c:pt idx="232">
                  <c:v>23485.83</c:v>
                </c:pt>
                <c:pt idx="233">
                  <c:v>23524.52</c:v>
                </c:pt>
                <c:pt idx="234">
                  <c:v>23312.54</c:v>
                </c:pt>
                <c:pt idx="235">
                  <c:v>23249.200000000001</c:v>
                </c:pt>
                <c:pt idx="236">
                  <c:v>23027.85</c:v>
                </c:pt>
                <c:pt idx="237">
                  <c:v>22670.5</c:v>
                </c:pt>
                <c:pt idx="238">
                  <c:v>22585.84</c:v>
                </c:pt>
                <c:pt idx="239">
                  <c:v>22832.21</c:v>
                </c:pt>
                <c:pt idx="240">
                  <c:v>23116.63</c:v>
                </c:pt>
                <c:pt idx="241">
                  <c:v>23408.57</c:v>
                </c:pt>
                <c:pt idx="242">
                  <c:v>23333.69</c:v>
                </c:pt>
                <c:pt idx="243">
                  <c:v>23349.34</c:v>
                </c:pt>
                <c:pt idx="244">
                  <c:v>23773.18</c:v>
                </c:pt>
                <c:pt idx="245">
                  <c:v>23501.1</c:v>
                </c:pt>
                <c:pt idx="246">
                  <c:v>23605.040000000001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249216"/>
        <c:axId val="144250752"/>
      </c:lineChart>
      <c:dateAx>
        <c:axId val="144249216"/>
        <c:scaling>
          <c:orientation val="minMax"/>
        </c:scaling>
        <c:delete val="0"/>
        <c:axPos val="b"/>
        <c:numFmt formatCode="\ [$-1028]yyyy/m" sourceLinked="0"/>
        <c:majorTickMark val="out"/>
        <c:minorTickMark val="none"/>
        <c:tickLblPos val="nextTo"/>
        <c:crossAx val="144250752"/>
        <c:crosses val="autoZero"/>
        <c:auto val="1"/>
        <c:lblOffset val="100"/>
        <c:baseTimeUnit val="days"/>
      </c:dateAx>
      <c:valAx>
        <c:axId val="144250752"/>
        <c:scaling>
          <c:orientation val="minMax"/>
          <c:max val="26000"/>
          <c:min val="20000"/>
        </c:scaling>
        <c:delete val="0"/>
        <c:axPos val="l"/>
        <c:majorGridlines/>
        <c:numFmt formatCode="0_ " sourceLinked="0"/>
        <c:majorTickMark val="out"/>
        <c:minorTickMark val="none"/>
        <c:tickLblPos val="nextTo"/>
        <c:crossAx val="144249216"/>
        <c:crosses val="autoZero"/>
        <c:crossBetween val="between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5561412261484"/>
          <c:y val="0.10556685589818825"/>
          <c:w val="0.78117647484147124"/>
          <c:h val="0.669852839602479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'香港人民幣存款(HKMA)'!$A$8</c:f>
              <c:strCache>
                <c:ptCount val="1"/>
                <c:pt idx="0">
                  <c:v>活期及活儲</c:v>
                </c:pt>
              </c:strCache>
            </c:strRef>
          </c:tx>
          <c:spPr>
            <a:pattFill prst="dk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'香港人民幣存款(HKMA)'!$B$7:$Q$7</c:f>
              <c:strCache>
                <c:ptCount val="16"/>
                <c:pt idx="0">
                  <c:v>2011/3</c:v>
                </c:pt>
                <c:pt idx="1">
                  <c:v>2011/6</c:v>
                </c:pt>
                <c:pt idx="2">
                  <c:v>2011/9</c:v>
                </c:pt>
                <c:pt idx="3">
                  <c:v>2011/12</c:v>
                </c:pt>
                <c:pt idx="4">
                  <c:v>2012/3</c:v>
                </c:pt>
                <c:pt idx="5">
                  <c:v>2012/6</c:v>
                </c:pt>
                <c:pt idx="6">
                  <c:v>2012/9</c:v>
                </c:pt>
                <c:pt idx="7">
                  <c:v>2012/12</c:v>
                </c:pt>
                <c:pt idx="8">
                  <c:v>2013/3</c:v>
                </c:pt>
                <c:pt idx="9">
                  <c:v>2013/6</c:v>
                </c:pt>
                <c:pt idx="10">
                  <c:v>2013/9</c:v>
                </c:pt>
                <c:pt idx="11">
                  <c:v>2013/12</c:v>
                </c:pt>
                <c:pt idx="12">
                  <c:v>2014/3</c:v>
                </c:pt>
                <c:pt idx="13">
                  <c:v>2014/6</c:v>
                </c:pt>
                <c:pt idx="14">
                  <c:v>2014/9</c:v>
                </c:pt>
                <c:pt idx="15">
                  <c:v>2014/12</c:v>
                </c:pt>
              </c:strCache>
            </c:strRef>
          </c:cat>
          <c:val>
            <c:numRef>
              <c:f>'香港人民幣存款(HKMA)'!$B$8:$Q$8</c:f>
              <c:numCache>
                <c:formatCode>#,##0_ </c:formatCode>
                <c:ptCount val="16"/>
                <c:pt idx="0">
                  <c:v>137454</c:v>
                </c:pt>
                <c:pt idx="1">
                  <c:v>180346</c:v>
                </c:pt>
                <c:pt idx="2">
                  <c:v>191528</c:v>
                </c:pt>
                <c:pt idx="3">
                  <c:v>176398</c:v>
                </c:pt>
                <c:pt idx="4">
                  <c:v>156758</c:v>
                </c:pt>
                <c:pt idx="5">
                  <c:v>136616</c:v>
                </c:pt>
                <c:pt idx="6">
                  <c:v>118997</c:v>
                </c:pt>
                <c:pt idx="7">
                  <c:v>123542</c:v>
                </c:pt>
                <c:pt idx="8">
                  <c:v>144314</c:v>
                </c:pt>
                <c:pt idx="9">
                  <c:v>127512</c:v>
                </c:pt>
                <c:pt idx="10">
                  <c:v>135217</c:v>
                </c:pt>
                <c:pt idx="11">
                  <c:v>151055</c:v>
                </c:pt>
                <c:pt idx="12">
                  <c:v>167082</c:v>
                </c:pt>
                <c:pt idx="13">
                  <c:v>150695.516</c:v>
                </c:pt>
                <c:pt idx="14">
                  <c:v>144305.85200000001</c:v>
                </c:pt>
                <c:pt idx="15">
                  <c:v>176967.16500000001</c:v>
                </c:pt>
              </c:numCache>
            </c:numRef>
          </c:val>
        </c:ser>
        <c:ser>
          <c:idx val="1"/>
          <c:order val="1"/>
          <c:tx>
            <c:strRef>
              <c:f>'香港人民幣存款(HKMA)'!$A$9</c:f>
              <c:strCache>
                <c:ptCount val="1"/>
                <c:pt idx="0">
                  <c:v>定期</c:v>
                </c:pt>
              </c:strCache>
            </c:strRef>
          </c:tx>
          <c:invertIfNegative val="0"/>
          <c:cat>
            <c:strRef>
              <c:f>'香港人民幣存款(HKMA)'!$B$7:$Q$7</c:f>
              <c:strCache>
                <c:ptCount val="16"/>
                <c:pt idx="0">
                  <c:v>2011/3</c:v>
                </c:pt>
                <c:pt idx="1">
                  <c:v>2011/6</c:v>
                </c:pt>
                <c:pt idx="2">
                  <c:v>2011/9</c:v>
                </c:pt>
                <c:pt idx="3">
                  <c:v>2011/12</c:v>
                </c:pt>
                <c:pt idx="4">
                  <c:v>2012/3</c:v>
                </c:pt>
                <c:pt idx="5">
                  <c:v>2012/6</c:v>
                </c:pt>
                <c:pt idx="6">
                  <c:v>2012/9</c:v>
                </c:pt>
                <c:pt idx="7">
                  <c:v>2012/12</c:v>
                </c:pt>
                <c:pt idx="8">
                  <c:v>2013/3</c:v>
                </c:pt>
                <c:pt idx="9">
                  <c:v>2013/6</c:v>
                </c:pt>
                <c:pt idx="10">
                  <c:v>2013/9</c:v>
                </c:pt>
                <c:pt idx="11">
                  <c:v>2013/12</c:v>
                </c:pt>
                <c:pt idx="12">
                  <c:v>2014/3</c:v>
                </c:pt>
                <c:pt idx="13">
                  <c:v>2014/6</c:v>
                </c:pt>
                <c:pt idx="14">
                  <c:v>2014/9</c:v>
                </c:pt>
                <c:pt idx="15">
                  <c:v>2014/12</c:v>
                </c:pt>
              </c:strCache>
            </c:strRef>
          </c:cat>
          <c:val>
            <c:numRef>
              <c:f>'香港人民幣存款(HKMA)'!$B$9:$Q$9</c:f>
              <c:numCache>
                <c:formatCode>#,##0_ </c:formatCode>
                <c:ptCount val="16"/>
                <c:pt idx="0">
                  <c:v>313965</c:v>
                </c:pt>
                <c:pt idx="1">
                  <c:v>373256</c:v>
                </c:pt>
                <c:pt idx="2">
                  <c:v>430708</c:v>
                </c:pt>
                <c:pt idx="3">
                  <c:v>412132</c:v>
                </c:pt>
                <c:pt idx="4">
                  <c:v>397528</c:v>
                </c:pt>
                <c:pt idx="5">
                  <c:v>421094</c:v>
                </c:pt>
                <c:pt idx="6">
                  <c:v>426703</c:v>
                </c:pt>
                <c:pt idx="7">
                  <c:v>479453</c:v>
                </c:pt>
                <c:pt idx="8">
                  <c:v>523744</c:v>
                </c:pt>
                <c:pt idx="9">
                  <c:v>570447</c:v>
                </c:pt>
                <c:pt idx="10">
                  <c:v>594801</c:v>
                </c:pt>
                <c:pt idx="11">
                  <c:v>709417</c:v>
                </c:pt>
                <c:pt idx="12">
                  <c:v>777828</c:v>
                </c:pt>
                <c:pt idx="13">
                  <c:v>775218.18900000001</c:v>
                </c:pt>
                <c:pt idx="14">
                  <c:v>800167.51800000004</c:v>
                </c:pt>
                <c:pt idx="15">
                  <c:v>826590.11699999997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4286464"/>
        <c:axId val="144288000"/>
      </c:barChart>
      <c:lineChart>
        <c:grouping val="standard"/>
        <c:varyColors val="0"/>
        <c:ser>
          <c:idx val="2"/>
          <c:order val="2"/>
          <c:tx>
            <c:strRef>
              <c:f>'香港人民幣存款(HKMA)'!$A$10</c:f>
              <c:strCache>
                <c:ptCount val="1"/>
                <c:pt idx="0">
                  <c:v>人民幣存款較上季成長</c:v>
                </c:pt>
              </c:strCache>
            </c:strRef>
          </c:tx>
          <c:dLbls>
            <c:dLbl>
              <c:idx val="13"/>
              <c:layout>
                <c:manualLayout>
                  <c:x val="-4.46638457921955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4916201117318434E-2"/>
                  <c:y val="-8.255933952528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139577594123052E-2"/>
                  <c:y val="-6.1919504643962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'香港人民幣存款(HKMA)'!$B$7:$Q$7</c:f>
              <c:strCache>
                <c:ptCount val="16"/>
                <c:pt idx="0">
                  <c:v>2011/3</c:v>
                </c:pt>
                <c:pt idx="1">
                  <c:v>2011/6</c:v>
                </c:pt>
                <c:pt idx="2">
                  <c:v>2011/9</c:v>
                </c:pt>
                <c:pt idx="3">
                  <c:v>2011/12</c:v>
                </c:pt>
                <c:pt idx="4">
                  <c:v>2012/3</c:v>
                </c:pt>
                <c:pt idx="5">
                  <c:v>2012/6</c:v>
                </c:pt>
                <c:pt idx="6">
                  <c:v>2012/9</c:v>
                </c:pt>
                <c:pt idx="7">
                  <c:v>2012/12</c:v>
                </c:pt>
                <c:pt idx="8">
                  <c:v>2013/3</c:v>
                </c:pt>
                <c:pt idx="9">
                  <c:v>2013/6</c:v>
                </c:pt>
                <c:pt idx="10">
                  <c:v>2013/9</c:v>
                </c:pt>
                <c:pt idx="11">
                  <c:v>2013/12</c:v>
                </c:pt>
                <c:pt idx="12">
                  <c:v>2014/3</c:v>
                </c:pt>
                <c:pt idx="13">
                  <c:v>2014/6</c:v>
                </c:pt>
                <c:pt idx="14">
                  <c:v>2014/9</c:v>
                </c:pt>
                <c:pt idx="15">
                  <c:v>2014/12</c:v>
                </c:pt>
              </c:strCache>
            </c:strRef>
          </c:cat>
          <c:val>
            <c:numRef>
              <c:f>'香港人民幣存款(HKMA)'!$B$10:$Q$10</c:f>
              <c:numCache>
                <c:formatCode>#,##0.00_ </c:formatCode>
                <c:ptCount val="16"/>
                <c:pt idx="0">
                  <c:v>43.34</c:v>
                </c:pt>
                <c:pt idx="1">
                  <c:v>22.635954623088526</c:v>
                </c:pt>
                <c:pt idx="2">
                  <c:v>12.397715326172955</c:v>
                </c:pt>
                <c:pt idx="3">
                  <c:v>-5.417076479020821</c:v>
                </c:pt>
                <c:pt idx="4">
                  <c:v>-5.8131375004460271</c:v>
                </c:pt>
                <c:pt idx="5">
                  <c:v>0.61210462605332328</c:v>
                </c:pt>
                <c:pt idx="6">
                  <c:v>-2.1396424665148555</c:v>
                </c:pt>
                <c:pt idx="7">
                  <c:v>10.483952236902617</c:v>
                </c:pt>
                <c:pt idx="8">
                  <c:v>10.78978965034594</c:v>
                </c:pt>
                <c:pt idx="9">
                  <c:v>4.4758089866448723</c:v>
                </c:pt>
                <c:pt idx="10">
                  <c:v>4.5932497467616296</c:v>
                </c:pt>
                <c:pt idx="11">
                  <c:v>17.869970329498724</c:v>
                </c:pt>
                <c:pt idx="12">
                  <c:v>9.8129863609739765</c:v>
                </c:pt>
                <c:pt idx="13">
                  <c:v>-2.010381411986331</c:v>
                </c:pt>
                <c:pt idx="14">
                  <c:v>2.0044702762013915</c:v>
                </c:pt>
                <c:pt idx="15">
                  <c:v>6.2557520282440588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296192"/>
        <c:axId val="144294272"/>
      </c:lineChart>
      <c:catAx>
        <c:axId val="14428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44288000"/>
        <c:crosses val="autoZero"/>
        <c:auto val="1"/>
        <c:lblAlgn val="ctr"/>
        <c:lblOffset val="100"/>
        <c:noMultiLvlLbl val="0"/>
      </c:catAx>
      <c:valAx>
        <c:axId val="1442880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zh-TW" altLang="en-US" b="0"/>
                  <a:t>百萬元人民幣</a:t>
                </a:r>
              </a:p>
            </c:rich>
          </c:tx>
          <c:layout>
            <c:manualLayout>
              <c:xMode val="edge"/>
              <c:yMode val="edge"/>
              <c:x val="1.8280155037037863E-3"/>
              <c:y val="3.8391940137917418E-4"/>
            </c:manualLayout>
          </c:layout>
          <c:overlay val="0"/>
        </c:title>
        <c:numFmt formatCode="#,##0_ " sourceLinked="1"/>
        <c:majorTickMark val="out"/>
        <c:minorTickMark val="none"/>
        <c:tickLblPos val="nextTo"/>
        <c:crossAx val="144286464"/>
        <c:crosses val="autoZero"/>
        <c:crossBetween val="between"/>
      </c:valAx>
      <c:valAx>
        <c:axId val="144294272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altLang="zh-TW"/>
                  <a:t>%</a:t>
                </a:r>
                <a:endParaRPr lang="zh-TW" altLang="en-US"/>
              </a:p>
            </c:rich>
          </c:tx>
          <c:layout>
            <c:manualLayout>
              <c:xMode val="edge"/>
              <c:yMode val="edge"/>
              <c:x val="0.92832350469590452"/>
              <c:y val="2.347532645375829E-4"/>
            </c:manualLayout>
          </c:layout>
          <c:overlay val="0"/>
        </c:title>
        <c:numFmt formatCode="#,##0.00_ " sourceLinked="1"/>
        <c:majorTickMark val="out"/>
        <c:minorTickMark val="none"/>
        <c:tickLblPos val="nextTo"/>
        <c:crossAx val="144296192"/>
        <c:crosses val="max"/>
        <c:crossBetween val="between"/>
      </c:valAx>
      <c:catAx>
        <c:axId val="144296192"/>
        <c:scaling>
          <c:orientation val="minMax"/>
        </c:scaling>
        <c:delete val="1"/>
        <c:axPos val="b"/>
        <c:majorTickMark val="out"/>
        <c:minorTickMark val="none"/>
        <c:tickLblPos val="nextTo"/>
        <c:crossAx val="144294272"/>
        <c:crosses val="autoZero"/>
        <c:auto val="1"/>
        <c:lblAlgn val="ctr"/>
        <c:lblOffset val="100"/>
        <c:noMultiLvlLbl val="0"/>
      </c:cat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0.91256</cdr:x>
      <cdr:y>0</cdr:y>
    </cdr:from>
    <cdr:to>
      <cdr:x>0.97923</cdr:x>
      <cdr:y>0.0868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343396" y="0"/>
          <a:ext cx="171204" cy="1878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altLang="zh-TW">
              <a:solidFill>
                <a:sysClr val="windowText" lastClr="000000"/>
              </a:solidFill>
            </a:rPr>
            <a:t>%</a:t>
          </a:r>
          <a:endParaRPr lang="zh-TW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0.01111</cdr:x>
      <cdr:y>0.01852</cdr:y>
    </cdr:from>
    <cdr:to>
      <cdr:x>0.20772</cdr:x>
      <cdr:y>0.11268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28530" y="40078"/>
          <a:ext cx="504870" cy="2037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>
              <a:solidFill>
                <a:sysClr val="windowText" lastClr="000000"/>
              </a:solidFill>
            </a:rPr>
            <a:t>兆元</a:t>
          </a:r>
          <a:endParaRPr lang="zh-TW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0.90985</cdr:x>
      <cdr:y>0</cdr:y>
    </cdr:from>
    <cdr:to>
      <cdr:x>0.97652</cdr:x>
      <cdr:y>0.0868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2287905" y="-4145280"/>
          <a:ext cx="167648" cy="1858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altLang="zh-TW">
              <a:solidFill>
                <a:sysClr val="windowText" lastClr="000000"/>
              </a:solidFill>
            </a:rPr>
            <a:t>%</a:t>
          </a:r>
          <a:endParaRPr lang="zh-TW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0.19192</cdr:x>
      <cdr:y>0.08824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0" y="0"/>
          <a:ext cx="482603" cy="1889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>
              <a:solidFill>
                <a:sysClr val="windowText" lastClr="000000"/>
              </a:solidFill>
            </a:rPr>
            <a:t>兆元</a:t>
          </a:r>
          <a:endParaRPr lang="zh-TW">
            <a:solidFill>
              <a:sysClr val="windowText" lastClr="0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0.92154</cdr:x>
      <cdr:y>0.02618</cdr:y>
    </cdr:from>
    <cdr:to>
      <cdr:x>0.99821</cdr:x>
      <cdr:y>0.10732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5217437" y="81291"/>
          <a:ext cx="434079" cy="251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TW" sz="1100"/>
            <a:t>%</a:t>
          </a:r>
          <a:endParaRPr lang="zh-TW" altLang="en-US" sz="1100"/>
        </a:p>
      </cdr:txBody>
    </cdr:sp>
  </cdr:relSizeAnchor>
  <cdr:relSizeAnchor xmlns:cdr="http://schemas.openxmlformats.org/drawingml/2006/chartDrawing">
    <cdr:from>
      <cdr:x>0.00897</cdr:x>
      <cdr:y>0.01636</cdr:y>
    </cdr:from>
    <cdr:to>
      <cdr:x>0.14608</cdr:x>
      <cdr:y>0.0975</cdr:y>
    </cdr:to>
    <cdr:sp macro="" textlink="">
      <cdr:nvSpPr>
        <cdr:cNvPr id="3" name="文字方塊 1"/>
        <cdr:cNvSpPr txBox="1"/>
      </cdr:nvSpPr>
      <cdr:spPr>
        <a:xfrm xmlns:a="http://schemas.openxmlformats.org/drawingml/2006/main">
          <a:off x="45385" y="45627"/>
          <a:ext cx="693755" cy="226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100"/>
            <a:t>億元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0.05401</cdr:x>
      <cdr:y>0.58847</cdr:y>
    </cdr:from>
    <cdr:to>
      <cdr:x>0.97271</cdr:x>
      <cdr:y>0.58847</cdr:y>
    </cdr:to>
    <cdr:cxnSp macro="">
      <cdr:nvCxnSpPr>
        <cdr:cNvPr id="2" name="直線接點 1"/>
        <cdr:cNvCxnSpPr/>
      </cdr:nvCxnSpPr>
      <cdr:spPr>
        <a:xfrm xmlns:a="http://schemas.openxmlformats.org/drawingml/2006/main">
          <a:off x="301671" y="1811593"/>
          <a:ext cx="5131389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A891-69D4-48B7-AFAE-E1FE21F3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53</Pages>
  <Words>21316</Words>
  <Characters>14197</Characters>
  <Application>Microsoft Office Word</Application>
  <DocSecurity>0</DocSecurity>
  <Lines>118</Lines>
  <Paragraphs>70</Paragraphs>
  <ScaleCrop>false</ScaleCrop>
  <Company>CEPD</Company>
  <LinksUpToDate>false</LinksUpToDate>
  <CharactersWithSpaces>35443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參、中國經濟</dc:title>
  <dc:creator>user</dc:creator>
  <cp:lastModifiedBy>ACER</cp:lastModifiedBy>
  <cp:revision>7</cp:revision>
  <cp:lastPrinted>2015-03-11T01:57:00Z</cp:lastPrinted>
  <dcterms:created xsi:type="dcterms:W3CDTF">2015-03-10T10:23:00Z</dcterms:created>
  <dcterms:modified xsi:type="dcterms:W3CDTF">2015-03-11T05:55:00Z</dcterms:modified>
</cp:coreProperties>
</file>