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4317E2" w:rsidRDefault="00B60C4E" w:rsidP="00EE0A5A">
      <w:pPr>
        <w:jc w:val="center"/>
        <w:rPr>
          <w:rFonts w:ascii="標楷體" w:eastAsia="標楷體" w:hAnsi="標楷體"/>
          <w:b/>
          <w:snapToGrid w:val="0"/>
          <w:spacing w:val="20"/>
          <w:kern w:val="0"/>
          <w:sz w:val="40"/>
          <w:szCs w:val="36"/>
        </w:rPr>
      </w:pPr>
      <w:r w:rsidRPr="004317E2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>國家級投資公司推動進程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 xml:space="preserve">    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109.02.29</w:t>
      </w:r>
    </w:p>
    <w:p w:rsidR="00B60C4E" w:rsidRPr="00127416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臺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127416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127416">
        <w:rPr>
          <w:rFonts w:ascii="Times New Roman" w:hAnsi="Times New Roman" w:cs="Times New Roman"/>
          <w:color w:val="000000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國家級投資公司定名為台杉投資管理顧問股份有限公司</w:t>
      </w:r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(以下簡稱台杉公司)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，目前實收資本額為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2,600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萬元，由國家發展基金、創新工業技術移轉公司及台灣銀行分別投資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7,500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</w:t>
      </w:r>
    </w:p>
    <w:p w:rsidR="003E0086" w:rsidRPr="00127416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127416">
        <w:rPr>
          <w:rFonts w:ascii="Times New Roman" w:hAnsi="Times New Roman" w:cs="Times New Roman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國家發展基金、創新工業技術移轉公司及台灣銀行於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日召開台杉公司發起人會議選任五位董事與一位監察人，並於董事會中選任總統府資政吳榮義先生擔任董事長，翁嘉盛先生擔任總經理後，正式成立運作。</w:t>
      </w:r>
    </w:p>
    <w:p w:rsidR="00D036DF" w:rsidRDefault="003E0086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月募集完成第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檔規模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億元之物聯網基金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16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34.41%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另於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億元生技基金</w:t>
      </w:r>
      <w:r w:rsid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國發基金參與投資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20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33.89%)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412063" w:rsidRDefault="00D036DF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5. 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截至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10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9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年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月底止，物聯網基金已投資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10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6.5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億元；另生技基金已投資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7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lastRenderedPageBreak/>
        <w:t>公司，投資總金額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13.3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億元。</w:t>
      </w:r>
    </w:p>
    <w:p w:rsidR="0069714D" w:rsidRPr="00127416" w:rsidRDefault="0069714D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5.</w:t>
      </w:r>
      <w:r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 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國家發展基金將持續促請台杉公司盱衡資金市場與產業發展趨勢，籌募五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二產業創新投資基金，積極投資五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二產業創新，期達成政府推動成立國家級投資公司，促進投資我國五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二產業創新之政策目</w:t>
      </w:r>
      <w:bookmarkStart w:id="0" w:name="_GoBack"/>
      <w:bookmarkEnd w:id="0"/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標。</w:t>
      </w:r>
    </w:p>
    <w:sectPr w:rsidR="0069714D" w:rsidRPr="00127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17" w:rsidRDefault="00BC3017" w:rsidP="00B60C4E">
      <w:r>
        <w:separator/>
      </w:r>
    </w:p>
  </w:endnote>
  <w:endnote w:type="continuationSeparator" w:id="0">
    <w:p w:rsidR="00BC3017" w:rsidRDefault="00BC3017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17" w:rsidRDefault="00BC3017" w:rsidP="00B60C4E">
      <w:r>
        <w:separator/>
      </w:r>
    </w:p>
  </w:footnote>
  <w:footnote w:type="continuationSeparator" w:id="0">
    <w:p w:rsidR="00BC3017" w:rsidRDefault="00BC3017" w:rsidP="00B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47556"/>
    <w:rsid w:val="00086A7A"/>
    <w:rsid w:val="000D0B55"/>
    <w:rsid w:val="00127416"/>
    <w:rsid w:val="00156CCC"/>
    <w:rsid w:val="0019074E"/>
    <w:rsid w:val="001A6EBA"/>
    <w:rsid w:val="001B0AE4"/>
    <w:rsid w:val="001C56F9"/>
    <w:rsid w:val="001C6045"/>
    <w:rsid w:val="00221793"/>
    <w:rsid w:val="002936C3"/>
    <w:rsid w:val="002E04AC"/>
    <w:rsid w:val="00303B6E"/>
    <w:rsid w:val="003A6A16"/>
    <w:rsid w:val="003E0086"/>
    <w:rsid w:val="00412063"/>
    <w:rsid w:val="004317E2"/>
    <w:rsid w:val="00440741"/>
    <w:rsid w:val="00465E59"/>
    <w:rsid w:val="004D3634"/>
    <w:rsid w:val="004E0402"/>
    <w:rsid w:val="0052191D"/>
    <w:rsid w:val="005567DD"/>
    <w:rsid w:val="005607EA"/>
    <w:rsid w:val="005669A2"/>
    <w:rsid w:val="005B5011"/>
    <w:rsid w:val="00667C5B"/>
    <w:rsid w:val="0069714D"/>
    <w:rsid w:val="007164B6"/>
    <w:rsid w:val="007418BB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C7412"/>
    <w:rsid w:val="009E5A42"/>
    <w:rsid w:val="00A5299D"/>
    <w:rsid w:val="00A6238E"/>
    <w:rsid w:val="00A66C2B"/>
    <w:rsid w:val="00A82670"/>
    <w:rsid w:val="00AA19F9"/>
    <w:rsid w:val="00AE6449"/>
    <w:rsid w:val="00B04E32"/>
    <w:rsid w:val="00B60C4E"/>
    <w:rsid w:val="00BA003B"/>
    <w:rsid w:val="00BC3017"/>
    <w:rsid w:val="00C1680E"/>
    <w:rsid w:val="00C45C49"/>
    <w:rsid w:val="00C52D20"/>
    <w:rsid w:val="00CA3803"/>
    <w:rsid w:val="00CD43E4"/>
    <w:rsid w:val="00D036DF"/>
    <w:rsid w:val="00DA35A4"/>
    <w:rsid w:val="00DC799F"/>
    <w:rsid w:val="00DD4705"/>
    <w:rsid w:val="00E02A1A"/>
    <w:rsid w:val="00E04218"/>
    <w:rsid w:val="00ED3356"/>
    <w:rsid w:val="00EE0A5A"/>
    <w:rsid w:val="00F302BD"/>
    <w:rsid w:val="00F359CF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李坤忠 Peter Lee</cp:lastModifiedBy>
  <cp:revision>7</cp:revision>
  <cp:lastPrinted>2018-12-12T00:57:00Z</cp:lastPrinted>
  <dcterms:created xsi:type="dcterms:W3CDTF">2019-12-25T08:48:00Z</dcterms:created>
  <dcterms:modified xsi:type="dcterms:W3CDTF">2020-03-31T06:22:00Z</dcterms:modified>
</cp:coreProperties>
</file>